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15, 2022</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43" w:lineRule="exact"/>
        <w:rPr>
          <w:sz w:val="24"/>
          <w:szCs w:val="24"/>
          <w:color w:val="auto"/>
        </w:rPr>
      </w:pPr>
    </w:p>
    <w:p>
      <w:pPr>
        <w:ind w:right="5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On September 15, 2022, Exagen Inc., or the Company, entered into a Sales Agreement, or the Sales Agreement, with Cowen and Company, LLC, or Cowen, with respect to an at the market offering program under which the Company may offer and sell, from time to time at its sole discretion, shares of its common stock, par value $0.001 per share, or Common Stock, having an aggregate offering price of up to $50.0 million, or the Placement Shares, through Cowen as its sales agent.</w:t>
      </w:r>
    </w:p>
    <w:p>
      <w:pPr>
        <w:spacing w:after="0" w:line="181" w:lineRule="exact"/>
        <w:rPr>
          <w:sz w:val="20"/>
          <w:szCs w:val="20"/>
          <w:color w:val="auto"/>
        </w:rPr>
      </w:pPr>
    </w:p>
    <w:p>
      <w:pPr>
        <w:ind w:right="120" w:firstLine="648"/>
        <w:spacing w:after="0" w:line="235" w:lineRule="auto"/>
        <w:rPr>
          <w:sz w:val="20"/>
          <w:szCs w:val="20"/>
          <w:color w:val="auto"/>
        </w:rPr>
      </w:pPr>
      <w:r>
        <w:rPr>
          <w:rFonts w:ascii="Times New Roman" w:cs="Times New Roman" w:eastAsia="Times New Roman" w:hAnsi="Times New Roman"/>
          <w:sz w:val="18"/>
          <w:szCs w:val="18"/>
          <w:color w:val="auto"/>
        </w:rPr>
        <w:t>Under the Sales Agreement, the Company will set the parameters for the sale of the Placement Shares, including the number of Placement Shares to be issued, the time period during which sales are requested to be made, limitations on the number of Placement Shares that may be sold in any one trading day and any minimum price below which sales may not be made. Subject to the terms of the Sales Agreement, Cowen may sell the Placement Shares by any method permitted by law deemed to be an “at the market offering” as defined in Rule 415 of the Securities Act of 1933, as amended, including, without limitation, sales made through the Nasdaq Global Market or on any other trading market for the Common Stock. Cowen will use commercially reasonable efforts to sell the Placement Shares from time to time, based upon instructions from the Company (including any price, time or size limits or other customary parameters or conditions the Company may impose). The Company will pay Cowen a commission equal to three percent</w:t>
      </w:r>
    </w:p>
    <w:p>
      <w:pPr>
        <w:spacing w:after="0" w:line="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(3.0%) of the gross sales proceeds of any Placement Shares sold through Cowen under the Sales Agreement, and also has provided Cowen with customary indemnification and contribution rights.</w:t>
      </w:r>
    </w:p>
    <w:p>
      <w:pPr>
        <w:spacing w:after="0" w:line="182"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The Company is not obligated to make any sales of Common Stock under the Sales Agreement. The offering of Placement Shares pursuant to the Sales Agreement will terminate upon the earlier of (i) the sale of all Placement Shares subject to the Sales Agreement or (ii) termination of the Sales Agreement in accordance with its terms.</w:t>
      </w:r>
    </w:p>
    <w:p>
      <w:pPr>
        <w:spacing w:after="0" w:line="177" w:lineRule="exact"/>
        <w:rPr>
          <w:sz w:val="20"/>
          <w:szCs w:val="20"/>
          <w:color w:val="auto"/>
        </w:rPr>
      </w:pPr>
    </w:p>
    <w:p>
      <w:pPr>
        <w:ind w:firstLine="648"/>
        <w:spacing w:after="0" w:line="211" w:lineRule="exact"/>
        <w:rPr>
          <w:sz w:val="20"/>
          <w:szCs w:val="20"/>
          <w:color w:val="auto"/>
        </w:rPr>
      </w:pPr>
      <w:r>
        <w:rPr>
          <w:rFonts w:ascii="Times New Roman" w:cs="Times New Roman" w:eastAsia="Times New Roman" w:hAnsi="Times New Roman"/>
          <w:sz w:val="18"/>
          <w:szCs w:val="18"/>
          <w:color w:val="auto"/>
        </w:rPr>
        <w:t>Any Placement Shares to be offered and sold under the Sales Agreement will be issued and sold pursuant to the Company’s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(File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250015), which became effective on November 19, 2020, or the Registration Statement. The Company plans to file a prospectus supplement with the Securities and Exchange Commission on September 15, 2022 in connection with the offer and sale of the Placement Shares pursuant to the Sales Agreement.</w:t>
      </w:r>
    </w:p>
    <w:p>
      <w:pPr>
        <w:spacing w:after="0" w:line="17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Sales Agreement is not complete and is qualified in its entirety by reference to the full text of the form of the Sales Agreement filed as Exhibit 1.1 hereto, which is incorporated herein by reference.</w:t>
      </w:r>
    </w:p>
    <w:p>
      <w:pPr>
        <w:spacing w:after="0" w:line="134" w:lineRule="exact"/>
        <w:rPr>
          <w:sz w:val="20"/>
          <w:szCs w:val="20"/>
          <w:color w:val="auto"/>
        </w:rPr>
      </w:pPr>
    </w:p>
    <w:p>
      <w:pPr>
        <w:ind w:right="120" w:firstLine="648"/>
        <w:spacing w:after="0" w:line="223" w:lineRule="exact"/>
        <w:rPr>
          <w:sz w:val="20"/>
          <w:szCs w:val="20"/>
          <w:color w:val="auto"/>
        </w:rPr>
      </w:pPr>
      <w:r>
        <w:rPr>
          <w:rFonts w:ascii="Times New Roman" w:cs="Times New Roman" w:eastAsia="Times New Roman" w:hAnsi="Times New Roman"/>
          <w:sz w:val="18"/>
          <w:szCs w:val="18"/>
          <w:color w:val="auto"/>
        </w:rPr>
        <w:t>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K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18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opinion of the Company’s counsel regarding the validity of the Placement Shares is filed as Exhibit 5.1 hereto. This opinion is also filed with reference to, and is hereby incorporated by reference into, the Registration Statement.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182"/>
        </w:trPr>
        <w:tc>
          <w:tcPr>
            <w:tcW w:w="8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40" w:type="dxa"/>
            <w:vAlign w:val="bottom"/>
            <w:tcBorders>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Sales Agreement, dated as of September 15, 2022, by and between Exagen Inc. and Cowen and Company, LLC</w:t>
            </w:r>
          </w:p>
        </w:tc>
        <w:tc>
          <w:tcPr>
            <w:tcW w:w="2180" w:type="dxa"/>
            <w:vAlign w:val="bottom"/>
          </w:tcPr>
          <w:p>
            <w:pPr>
              <w:spacing w:after="0"/>
              <w:rPr>
                <w:sz w:val="15"/>
                <w:szCs w:val="15"/>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Opinion of Mintz, Levin, Cohn, Ferris, Glovsky and Popeo, P.C.</w:t>
            </w:r>
          </w:p>
        </w:tc>
        <w:tc>
          <w:tcPr>
            <w:tcW w:w="1860" w:type="dxa"/>
            <w:vAlign w:val="bottom"/>
          </w:tcPr>
          <w:p>
            <w:pPr>
              <w:spacing w:after="0"/>
              <w:rPr>
                <w:sz w:val="18"/>
                <w:szCs w:val="18"/>
                <w:color w:val="auto"/>
              </w:rPr>
            </w:pPr>
          </w:p>
        </w:tc>
        <w:tc>
          <w:tcPr>
            <w:tcW w:w="3720" w:type="dxa"/>
            <w:vAlign w:val="bottom"/>
            <w:gridSpan w:val="2"/>
          </w:tcPr>
          <w:p>
            <w:pPr>
              <w:spacing w:after="0"/>
              <w:rPr>
                <w:sz w:val="18"/>
                <w:szCs w:val="18"/>
                <w:color w:val="auto"/>
              </w:rPr>
            </w:pPr>
          </w:p>
        </w:tc>
      </w:tr>
      <w:tr>
        <w:trPr>
          <w:trHeight w:val="23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Mintz, Levin, Cohn, Ferris, Glovsky and Popeo, P.C. (included in Exhibit 5.1).</w:t>
            </w:r>
          </w:p>
        </w:tc>
        <w:tc>
          <w:tcPr>
            <w:tcW w:w="3720" w:type="dxa"/>
            <w:vAlign w:val="bottom"/>
            <w:gridSpan w:val="2"/>
          </w:tcPr>
          <w:p>
            <w:pPr>
              <w:spacing w:after="0"/>
              <w:rPr>
                <w:sz w:val="20"/>
                <w:szCs w:val="20"/>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Attachments omitted pursuant to Item 601(a)(5) of Regulation S-K. The names of the omitted attachments are referenced in the as-filed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EXAGEN INC.</w:t>
      </w:r>
    </w:p>
    <w:p>
      <w:pPr>
        <w:spacing w:after="0" w:line="283" w:lineRule="exact"/>
        <w:rPr>
          <w:sz w:val="20"/>
          <w:szCs w:val="20"/>
          <w:color w:val="auto"/>
        </w:rPr>
      </w:pPr>
    </w:p>
    <w:p>
      <w:pPr>
        <w:ind w:left="20"/>
        <w:spacing w:after="0"/>
        <w:tabs>
          <w:tab w:leader="none" w:pos="5200" w:val="left"/>
          <w:tab w:leader="none" w:pos="5820" w:val="left"/>
        </w:tabs>
        <w:rPr>
          <w:sz w:val="20"/>
          <w:szCs w:val="20"/>
          <w:color w:val="auto"/>
        </w:rPr>
      </w:pPr>
      <w:r>
        <w:rPr>
          <w:rFonts w:ascii="Times New Roman" w:cs="Times New Roman" w:eastAsia="Times New Roman" w:hAnsi="Times New Roman"/>
          <w:sz w:val="18"/>
          <w:szCs w:val="18"/>
          <w:color w:val="auto"/>
        </w:rPr>
        <w:t>Date: September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34290</wp:posOffset>
            </wp:positionV>
            <wp:extent cx="2837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Kamal Adawi</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920"/>
          </w:cols>
          <w:pgMar w:left="320" w:top="1089" w:right="659" w:bottom="1440" w:gutter="0" w:footer="0" w:header="0"/>
        </w:sectPr>
      </w:pPr>
    </w:p>
    <w:bookmarkStart w:id="3" w:name="page4"/>
    <w:bookmarkEnd w:id="3"/>
    <w:p>
      <w:pPr>
        <w:ind w:left="10240"/>
        <w:spacing w:after="0"/>
        <w:rPr>
          <w:sz w:val="20"/>
          <w:szCs w:val="20"/>
          <w:color w:val="auto"/>
        </w:rPr>
      </w:pPr>
      <w:r>
        <w:rPr>
          <w:rFonts w:ascii="Times New Roman" w:cs="Times New Roman" w:eastAsia="Times New Roman" w:hAnsi="Times New Roman"/>
          <w:sz w:val="21"/>
          <w:szCs w:val="21"/>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EXAGEN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$50,000,000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SALES AGREEMENT</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September 15,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Cowen and Company,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599 Lexington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5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Exagen Inc.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confirms its agreement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with Cowen and Company, LLC (“</w:t>
      </w:r>
      <w:r>
        <w:rPr>
          <w:rFonts w:ascii="Times New Roman" w:cs="Times New Roman" w:eastAsia="Times New Roman" w:hAnsi="Times New Roman"/>
          <w:sz w:val="22"/>
          <w:szCs w:val="22"/>
          <w:b w:val="1"/>
          <w:bCs w:val="1"/>
          <w:u w:val="single" w:color="auto"/>
          <w:color w:val="auto"/>
        </w:rPr>
        <w:t>Cowen</w:t>
      </w:r>
      <w:r>
        <w:rPr>
          <w:rFonts w:ascii="Times New Roman" w:cs="Times New Roman" w:eastAsia="Times New Roman" w:hAnsi="Times New Roman"/>
          <w:sz w:val="22"/>
          <w:szCs w:val="22"/>
          <w:color w:val="auto"/>
        </w:rPr>
        <w:t>”), as follows:</w:t>
      </w:r>
    </w:p>
    <w:p>
      <w:pPr>
        <w:spacing w:after="0" w:line="153" w:lineRule="exact"/>
        <w:rPr>
          <w:sz w:val="20"/>
          <w:szCs w:val="20"/>
          <w:color w:val="auto"/>
        </w:rPr>
      </w:pPr>
    </w:p>
    <w:p>
      <w:pPr>
        <w:jc w:val="both"/>
        <w:ind w:firstLine="656"/>
        <w:spacing w:after="0" w:line="249" w:lineRule="auto"/>
        <w:tabs>
          <w:tab w:leader="none" w:pos="1309"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and Sale of Shares</w:t>
      </w:r>
      <w:r>
        <w:rPr>
          <w:rFonts w:ascii="Times New Roman" w:cs="Times New Roman" w:eastAsia="Times New Roman" w:hAnsi="Times New Roman"/>
          <w:sz w:val="22"/>
          <w:szCs w:val="22"/>
          <w:color w:val="auto"/>
        </w:rPr>
        <w:t>. The Company agrees that, from time to time during the term of this Agreement, on the terms and subject to the conditions set forth herein, it may issue and sell through Cowen, acting as agent and/or principal, shares (the “</w:t>
      </w:r>
      <w:r>
        <w:rPr>
          <w:rFonts w:ascii="Times New Roman" w:cs="Times New Roman" w:eastAsia="Times New Roman" w:hAnsi="Times New Roman"/>
          <w:sz w:val="22"/>
          <w:szCs w:val="22"/>
          <w:b w:val="1"/>
          <w:bCs w:val="1"/>
          <w:u w:val="single" w:color="auto"/>
          <w:color w:val="auto"/>
        </w:rPr>
        <w:t>Placement Shares</w:t>
      </w:r>
      <w:r>
        <w:rPr>
          <w:rFonts w:ascii="Times New Roman" w:cs="Times New Roman" w:eastAsia="Times New Roman" w:hAnsi="Times New Roman"/>
          <w:sz w:val="22"/>
          <w:szCs w:val="22"/>
          <w:color w:val="auto"/>
        </w:rPr>
        <w:t>”) of the Company’s common stock, par value $0.001 per share (the “</w:t>
      </w: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color w:val="auto"/>
        </w:rPr>
        <w:t>”), having an aggregate offering price of up to $50,000,000 (the “</w:t>
      </w:r>
      <w:r>
        <w:rPr>
          <w:rFonts w:ascii="Times New Roman" w:cs="Times New Roman" w:eastAsia="Times New Roman" w:hAnsi="Times New Roman"/>
          <w:sz w:val="22"/>
          <w:szCs w:val="22"/>
          <w:b w:val="1"/>
          <w:bCs w:val="1"/>
          <w:u w:val="single" w:color="auto"/>
          <w:color w:val="auto"/>
        </w:rPr>
        <w:t>Maximum Amount</w:t>
      </w:r>
      <w:r>
        <w:rPr>
          <w:rFonts w:ascii="Times New Roman" w:cs="Times New Roman" w:eastAsia="Times New Roman" w:hAnsi="Times New Roman"/>
          <w:sz w:val="22"/>
          <w:szCs w:val="22"/>
          <w:color w:val="auto"/>
        </w:rPr>
        <w:t xml:space="preserve">”). Notwithstanding anything to the contrary contained herein, the parties hereto agree that compliance with the limitation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on the number of shares of Common Stock issued and sold under this Agreement shall be the sole responsibility of the Company, and Cowen shall have no obligation in connection with such compliance. The issuance and sale of Common Stock through Cowen will be effected pursuant to the Registration Statement (as defined below) filed by the Company and declared effective by the Securities and Exchange Commission (the “</w:t>
      </w:r>
      <w:r>
        <w:rPr>
          <w:rFonts w:ascii="Times New Roman" w:cs="Times New Roman" w:eastAsia="Times New Roman" w:hAnsi="Times New Roman"/>
          <w:sz w:val="22"/>
          <w:szCs w:val="22"/>
          <w:b w:val="1"/>
          <w:bCs w:val="1"/>
          <w:u w:val="single" w:color="auto"/>
          <w:color w:val="auto"/>
        </w:rPr>
        <w:t>Commission</w:t>
      </w:r>
      <w:r>
        <w:rPr>
          <w:rFonts w:ascii="Times New Roman" w:cs="Times New Roman" w:eastAsia="Times New Roman" w:hAnsi="Times New Roman"/>
          <w:sz w:val="22"/>
          <w:szCs w:val="22"/>
          <w:color w:val="auto"/>
        </w:rPr>
        <w:t>”), although nothing in this Agreement shall be construed as requiring the Company to use the Registration Statement (as defined below) to issue the Common Stock.</w:t>
      </w:r>
    </w:p>
    <w:p>
      <w:pPr>
        <w:spacing w:after="0" w:line="18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Company has filed, in accordance with the provisions of the Securities Act of 1933, as amended, and the rules and regulations thereunder (collectively, the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color w:val="auto"/>
        </w:rPr>
        <w:t>”), with the Commission a registration statement on Form S-3 (File No. 333-250015),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The Company has prepared a prospectus supplement specifically relating to the Placement Shares (the “</w:t>
      </w:r>
      <w:r>
        <w:rPr>
          <w:rFonts w:ascii="Times New Roman" w:cs="Times New Roman" w:eastAsia="Times New Roman" w:hAnsi="Times New Roman"/>
          <w:sz w:val="22"/>
          <w:szCs w:val="22"/>
          <w:b w:val="1"/>
          <w:bCs w:val="1"/>
          <w:u w:val="single" w:color="auto"/>
          <w:color w:val="auto"/>
        </w:rPr>
        <w:t>Prospectus Supplement</w:t>
      </w:r>
      <w:r>
        <w:rPr>
          <w:rFonts w:ascii="Times New Roman" w:cs="Times New Roman" w:eastAsia="Times New Roman" w:hAnsi="Times New Roman"/>
          <w:sz w:val="22"/>
          <w:szCs w:val="22"/>
          <w:color w:val="auto"/>
        </w:rPr>
        <w:t>”) to the base prospectus included as part of such registration statement. The Company has furnished to Cowen, for use by Cowen, copies of the prospectus included as part of such registration statement, as supplemented by the Prospectus Supplement, relating to the Placement Shares. Except where the context otherwise requires, such registration statement, and any post-effective amendment thereto, as amended when it became effective, including all documents filed as part thereof or incorporated by reference therein, and including any information contained in a Prospectus (as defined below) subsequently filed with the</w:t>
      </w:r>
    </w:p>
    <w:p>
      <w:pPr>
        <w:sectPr>
          <w:pgSz w:w="11900" w:h="16838" w:orient="portrait"/>
          <w:cols w:equalWidth="0" w:num="1">
            <w:col w:w="11240"/>
          </w:cols>
          <w:pgMar w:left="320" w:top="94" w:right="339" w:bottom="144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21"/>
          <w:szCs w:val="21"/>
          <w:color w:val="auto"/>
        </w:rPr>
        <w:t>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with respect to the Placement Shares, is herein called the “</w:t>
      </w:r>
      <w:r>
        <w:rPr>
          <w:rFonts w:ascii="Times New Roman" w:cs="Times New Roman" w:eastAsia="Times New Roman" w:hAnsi="Times New Roman"/>
          <w:sz w:val="21"/>
          <w:szCs w:val="21"/>
          <w:b w:val="1"/>
          <w:bCs w:val="1"/>
          <w:u w:val="single" w:color="auto"/>
          <w:color w:val="auto"/>
        </w:rPr>
        <w:t>Registration Statement.</w:t>
      </w:r>
      <w:r>
        <w:rPr>
          <w:rFonts w:ascii="Times New Roman" w:cs="Times New Roman" w:eastAsia="Times New Roman" w:hAnsi="Times New Roman"/>
          <w:sz w:val="21"/>
          <w:szCs w:val="21"/>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under the Securities Act (“</w:t>
      </w:r>
      <w:r>
        <w:rPr>
          <w:rFonts w:ascii="Times New Roman" w:cs="Times New Roman" w:eastAsia="Times New Roman" w:hAnsi="Times New Roman"/>
          <w:sz w:val="21"/>
          <w:szCs w:val="21"/>
          <w:b w:val="1"/>
          <w:bCs w:val="1"/>
          <w:u w:val="single" w:color="auto"/>
          <w:color w:val="auto"/>
        </w:rPr>
        <w:t>Rule 433</w:t>
      </w:r>
      <w:r>
        <w:rPr>
          <w:rFonts w:ascii="Times New Roman" w:cs="Times New Roman" w:eastAsia="Times New Roman" w:hAnsi="Times New Roman"/>
          <w:sz w:val="21"/>
          <w:szCs w:val="21"/>
          <w:color w:val="auto"/>
        </w:rPr>
        <w:t>”), relating to the Placement Shares that (i) is consented to by Cowen, hereinafter referred to as a “</w:t>
      </w:r>
      <w:r>
        <w:rPr>
          <w:rFonts w:ascii="Times New Roman" w:cs="Times New Roman" w:eastAsia="Times New Roman" w:hAnsi="Times New Roman"/>
          <w:sz w:val="21"/>
          <w:szCs w:val="21"/>
          <w:b w:val="1"/>
          <w:bCs w:val="1"/>
          <w:u w:val="single" w:color="auto"/>
          <w:color w:val="auto"/>
        </w:rPr>
        <w:t>Permitted Free Writing Prospectus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21"/>
          <w:szCs w:val="21"/>
          <w:b w:val="1"/>
          <w:bCs w:val="1"/>
          <w:u w:val="single" w:color="auto"/>
          <w:color w:val="auto"/>
        </w:rPr>
        <w:t>Prospectus</w:t>
      </w:r>
      <w:r>
        <w:rPr>
          <w:rFonts w:ascii="Times New Roman" w:cs="Times New Roman" w:eastAsia="Times New Roman" w:hAnsi="Times New Roman"/>
          <w:sz w:val="21"/>
          <w:szCs w:val="21"/>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(the “</w:t>
      </w:r>
      <w:r>
        <w:rPr>
          <w:rFonts w:ascii="Times New Roman" w:cs="Times New Roman" w:eastAsia="Times New Roman" w:hAnsi="Times New Roman"/>
          <w:sz w:val="21"/>
          <w:szCs w:val="21"/>
          <w:b w:val="1"/>
          <w:bCs w:val="1"/>
          <w:u w:val="single" w:color="auto"/>
          <w:color w:val="auto"/>
        </w:rPr>
        <w:t>Incorporated Documents</w:t>
      </w:r>
      <w:r>
        <w:rPr>
          <w:rFonts w:ascii="Times New Roman" w:cs="Times New Roman" w:eastAsia="Times New Roman" w:hAnsi="Times New Roman"/>
          <w:sz w:val="21"/>
          <w:szCs w:val="21"/>
          <w:color w:val="auto"/>
        </w:rPr>
        <w:t>”).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cs="Times New Roman" w:eastAsia="Times New Roman" w:hAnsi="Times New Roman"/>
          <w:sz w:val="21"/>
          <w:szCs w:val="21"/>
          <w:b w:val="1"/>
          <w:bCs w:val="1"/>
          <w:u w:val="single" w:color="auto"/>
          <w:color w:val="auto"/>
        </w:rPr>
        <w:t>EDGAR</w:t>
      </w: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656"/>
        <w:spacing w:after="0" w:line="247" w:lineRule="auto"/>
        <w:tabs>
          <w:tab w:leader="none" w:pos="137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Placements</w:t>
      </w:r>
      <w:r>
        <w:rPr>
          <w:rFonts w:ascii="Times New Roman" w:cs="Times New Roman" w:eastAsia="Times New Roman" w:hAnsi="Times New Roman"/>
          <w:sz w:val="22"/>
          <w:szCs w:val="22"/>
          <w:color w:val="auto"/>
        </w:rPr>
        <w:t>. Each time that the Company wishes to issue and sell the Placement Shares hereunder (each, a “</w:t>
      </w:r>
      <w:r>
        <w:rPr>
          <w:rFonts w:ascii="Times New Roman" w:cs="Times New Roman" w:eastAsia="Times New Roman" w:hAnsi="Times New Roman"/>
          <w:sz w:val="22"/>
          <w:szCs w:val="22"/>
          <w:b w:val="1"/>
          <w:bCs w:val="1"/>
          <w:u w:val="single" w:color="auto"/>
          <w:color w:val="auto"/>
        </w:rPr>
        <w:t>Placement</w:t>
      </w:r>
      <w:r>
        <w:rPr>
          <w:rFonts w:ascii="Times New Roman" w:cs="Times New Roman" w:eastAsia="Times New Roman" w:hAnsi="Times New Roman"/>
          <w:sz w:val="22"/>
          <w:szCs w:val="22"/>
          <w:color w:val="auto"/>
        </w:rPr>
        <w:t>”), it will notify Cowen by email notice (or other method mutually agreed to in writing by the parties) (a “</w:t>
      </w:r>
      <w:r>
        <w:rPr>
          <w:rFonts w:ascii="Times New Roman" w:cs="Times New Roman" w:eastAsia="Times New Roman" w:hAnsi="Times New Roman"/>
          <w:sz w:val="22"/>
          <w:szCs w:val="22"/>
          <w:b w:val="1"/>
          <w:bCs w:val="1"/>
          <w:u w:val="single" w:color="auto"/>
          <w:color w:val="auto"/>
        </w:rPr>
        <w:t>Placement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containing the parameters in accordance with which it desires the Placement Shares to be sold, which shall 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minimum include the number of shares of Placement Shares to be issued, the time period during which sales are requested to be made, any limitation on the number of Placement Shares that may be sold in any one Trading Day (as defined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any minimum price below which sales may not be made, a form of which containing such minimum sales parameters necessary is attached hereto as </w:t>
      </w:r>
      <w:r>
        <w:rPr>
          <w:rFonts w:ascii="Times New Roman" w:cs="Times New Roman" w:eastAsia="Times New Roman" w:hAnsi="Times New Roman"/>
          <w:sz w:val="22"/>
          <w:szCs w:val="22"/>
          <w:b w:val="1"/>
          <w:bCs w:val="1"/>
          <w:u w:val="single" w:color="auto"/>
          <w:color w:val="auto"/>
        </w:rPr>
        <w:t>Schedule 1</w:t>
      </w:r>
      <w:r>
        <w:rPr>
          <w:rFonts w:ascii="Times New Roman" w:cs="Times New Roman" w:eastAsia="Times New Roman" w:hAnsi="Times New Roman"/>
          <w:sz w:val="22"/>
          <w:szCs w:val="22"/>
          <w:color w:val="auto"/>
        </w:rPr>
        <w:t xml:space="preserve">. The Placement Notice shall originate from any of the individuals from the Company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 copy to each of the other individuals from the Company listed on such schedule), and shall be addressed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each of the individuals from Cowen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as such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may be amended from time to time. The Placement Notice shall be effective upon receipt by Cowen unless and until (i) in accordance with the notice requirements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Cowen declines to accept the terms contained therein for any reason, in its sole discretion, (ii) the entire amount of the Placement Shares have been sold, (iii) in accordance with the notice requirements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the Company suspends or terminates the Placement Notice, (iv) the Company issues a subsequent Placement Notice with parameters superseding those on the earlier dated Placement Notice, or (v) this Agreement has been terminated under the provisions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The amount of any discount, commission or other compensation to be paid by the Company to Cowen in connection with the sale of the Placement Shares shall be calculated in accordance with the terms set forth in </w:t>
      </w:r>
      <w:r>
        <w:rPr>
          <w:rFonts w:ascii="Times New Roman" w:cs="Times New Roman" w:eastAsia="Times New Roman" w:hAnsi="Times New Roman"/>
          <w:sz w:val="22"/>
          <w:szCs w:val="22"/>
          <w:b w:val="1"/>
          <w:bCs w:val="1"/>
          <w:u w:val="single" w:color="auto"/>
          <w:color w:val="auto"/>
        </w:rPr>
        <w:t>Schedule 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It is expressly acknowledged and agreed that neither the Company nor Cowen will have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65"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22"/>
          <w:szCs w:val="22"/>
          <w:color w:val="auto"/>
        </w:rPr>
        <w:t>obligation whatsoever with respect to a Placement or any Placement Shares unless and until the Company delivers a Placement Notice to Cowen and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93" w:lineRule="exact"/>
        <w:rPr>
          <w:sz w:val="20"/>
          <w:szCs w:val="20"/>
          <w:color w:val="auto"/>
        </w:rPr>
      </w:pPr>
    </w:p>
    <w:p>
      <w:pPr>
        <w:jc w:val="both"/>
        <w:ind w:firstLine="656"/>
        <w:spacing w:after="0" w:line="246" w:lineRule="auto"/>
        <w:tabs>
          <w:tab w:leader="none" w:pos="133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Placement Shares by Cowen.</w:t>
      </w:r>
      <w:r>
        <w:rPr>
          <w:rFonts w:ascii="Times New Roman" w:cs="Times New Roman" w:eastAsia="Times New Roman" w:hAnsi="Times New Roman"/>
          <w:sz w:val="22"/>
          <w:szCs w:val="22"/>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Cowen,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Times New Roman" w:cs="Times New Roman" w:eastAsia="Times New Roman" w:hAnsi="Times New Roman"/>
          <w:sz w:val="22"/>
          <w:szCs w:val="22"/>
          <w:b w:val="1"/>
          <w:bCs w:val="1"/>
          <w:u w:val="single" w:color="auto"/>
          <w:color w:val="auto"/>
        </w:rPr>
        <w:t>Nasdaq</w:t>
      </w:r>
      <w:r>
        <w:rPr>
          <w:rFonts w:ascii="Times New Roman" w:cs="Times New Roman" w:eastAsia="Times New Roman" w:hAnsi="Times New Roman"/>
          <w:sz w:val="22"/>
          <w:szCs w:val="22"/>
          <w:color w:val="auto"/>
        </w:rPr>
        <w:t xml:space="preserve">”) to sell such Placement Shares up to the amount specified, and otherwise in accordance with the terms of such Placement Notice. Cowen will provide written confirmation to the Company (including by email correspondence to each of the individuals of the Company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if receipt of such correspondence is actually acknowledged by any of the individuals to whom the notice is 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Cowen for a sale of Placement Shares that would constitute a “block” within the meaning of Rule 10b-18(a)(5) under the Exchange Act (a “</w:t>
      </w:r>
      <w:r>
        <w:rPr>
          <w:rFonts w:ascii="Times New Roman" w:cs="Times New Roman" w:eastAsia="Times New Roman" w:hAnsi="Times New Roman"/>
          <w:sz w:val="22"/>
          <w:szCs w:val="22"/>
          <w:b w:val="1"/>
          <w:bCs w:val="1"/>
          <w:u w:val="single" w:color="auto"/>
          <w:color w:val="auto"/>
        </w:rPr>
        <w:t>Block Sale</w:t>
      </w:r>
      <w:r>
        <w:rPr>
          <w:rFonts w:ascii="Times New Roman" w:cs="Times New Roman" w:eastAsia="Times New Roman" w:hAnsi="Times New Roman"/>
          <w:sz w:val="22"/>
          <w:szCs w:val="22"/>
          <w:color w:val="auto"/>
        </w:rPr>
        <w:t xml:space="preserve">”), the Company will provide Cowen, at Cowen’s request and upon reasonable advance notice to the Company, on or prior to the Settlement Date (as defined below), the opinions of counsel, accountant’s letter and officers’ certificates set forth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hereof, each dated the Settlement Date, and such other documents and information as Cowen shall reasonably request. Cowen may sell Placement Shares by any method permitted by law deemed to be an “at the market” offering as defined in Rule 415 of the Securities Act, including without limitation sales made through Nasdaq or on any other existing trading market for the Common Stock. Cowen shall not purchase Placement Shares for its own account as principal unless expressly authorized to do so by the Company in a Placement Notice. The Company acknowledges and agrees that (i) there can be no assurance that Cowen will be successful in selling Placement Shares, and (ii) Cowen will incur no liability or obligation to the Company or any other person or entity if it does not sell Placement Shares for any reason other than a failure by Cowen to use its commercially reasonable efforts consistent with its normal trading and sales practices to sell such Placement Shares as required under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For the purposes hereof, “</w:t>
      </w:r>
      <w:r>
        <w:rPr>
          <w:rFonts w:ascii="Times New Roman" w:cs="Times New Roman" w:eastAsia="Times New Roman" w:hAnsi="Times New Roman"/>
          <w:sz w:val="22"/>
          <w:szCs w:val="22"/>
          <w:b w:val="1"/>
          <w:bCs w:val="1"/>
          <w:u w:val="single" w:color="auto"/>
          <w:color w:val="auto"/>
        </w:rPr>
        <w:t>Trading Day</w:t>
      </w:r>
      <w:r>
        <w:rPr>
          <w:rFonts w:ascii="Times New Roman" w:cs="Times New Roman" w:eastAsia="Times New Roman" w:hAnsi="Times New Roman"/>
          <w:sz w:val="22"/>
          <w:szCs w:val="22"/>
          <w:color w:val="auto"/>
        </w:rPr>
        <w:t>” means any day on which the Company’s Common Stock is purchased and sold on the principal market on which the Common Stock is listed or quoted.</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Notwithstanding any other provision of this Agreement, the Company shall not offer, sell or deliver, or request the offer or sale, of any Placement Shares pursuant to this Agreement and, by notice to Cowen given by telephone (confirmed promptly by email), shall cancel any instructions for the offer or sale of any Placement Shares, and Cowen shall not be obligated to offer or sell any Placement Shares, (i) during any period in which the Company is in possession of material non-public information, or (ii) at any time from and including the date on which the Company shall issue a press release containing, or shall otherwise publicly announce, its earnings,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65" w:right="339" w:bottom="1440" w:gutter="0" w:footer="0" w:header="0"/>
        </w:sectPr>
      </w:pPr>
    </w:p>
    <w:bookmarkStart w:id="6" w:name="page7"/>
    <w:bookmarkEnd w:id="6"/>
    <w:p>
      <w:pPr>
        <w:jc w:val="both"/>
        <w:spacing w:after="0" w:line="259" w:lineRule="auto"/>
        <w:rPr>
          <w:sz w:val="20"/>
          <w:szCs w:val="20"/>
          <w:color w:val="auto"/>
        </w:rPr>
      </w:pPr>
      <w:r>
        <w:rPr>
          <w:rFonts w:ascii="Times New Roman" w:cs="Times New Roman" w:eastAsia="Times New Roman" w:hAnsi="Times New Roman"/>
          <w:sz w:val="22"/>
          <w:szCs w:val="22"/>
          <w:color w:val="auto"/>
        </w:rPr>
        <w:t>or other results of operations (an “</w:t>
      </w:r>
      <w:r>
        <w:rPr>
          <w:rFonts w:ascii="Times New Roman" w:cs="Times New Roman" w:eastAsia="Times New Roman" w:hAnsi="Times New Roman"/>
          <w:sz w:val="22"/>
          <w:szCs w:val="22"/>
          <w:b w:val="1"/>
          <w:bCs w:val="1"/>
          <w:u w:val="single" w:color="auto"/>
          <w:color w:val="auto"/>
        </w:rPr>
        <w:t>Earnings Announcement</w:t>
      </w:r>
      <w:r>
        <w:rPr>
          <w:rFonts w:ascii="Times New Roman" w:cs="Times New Roman" w:eastAsia="Times New Roman" w:hAnsi="Times New Roman"/>
          <w:sz w:val="22"/>
          <w:szCs w:val="22"/>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spacing w:after="0" w:line="170"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Sales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60" w:lineRule="auto"/>
        <w:tabs>
          <w:tab w:leader="none" w:pos="1137"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or Cowen may, upon notice to the other party in writing (including by email correspondence to each of the individuals of the other party set forth on </w:t>
      </w: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color w:val="auto"/>
        </w:rPr>
        <w:t xml:space="preserve">), suspend any sale of Placement Shares;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such suspension shall not affect or impair either party’s obligations with respect to any Placement Shares sold hereunder prior to the receipt of such notice. While a suspension is in effect, any obligations under </w:t>
      </w:r>
      <w:r>
        <w:rPr>
          <w:rFonts w:ascii="Times New Roman" w:cs="Times New Roman" w:eastAsia="Times New Roman" w:hAnsi="Times New Roman"/>
          <w:sz w:val="21"/>
          <w:szCs w:val="21"/>
          <w:u w:val="single" w:color="auto"/>
          <w:color w:val="auto"/>
        </w:rPr>
        <w:t>Section 7(m)</w:t>
      </w:r>
      <w:r>
        <w:rPr>
          <w:rFonts w:ascii="Times New Roman" w:cs="Times New Roman" w:eastAsia="Times New Roman" w:hAnsi="Times New Roman"/>
          <w:sz w:val="21"/>
          <w:szCs w:val="21"/>
          <w:color w:val="auto"/>
        </w:rPr>
        <w:t xml:space="preserve">, 7(p) and </w:t>
      </w:r>
      <w:r>
        <w:rPr>
          <w:rFonts w:ascii="Times New Roman" w:cs="Times New Roman" w:eastAsia="Times New Roman" w:hAnsi="Times New Roman"/>
          <w:sz w:val="21"/>
          <w:szCs w:val="21"/>
          <w:u w:val="single" w:color="auto"/>
          <w:color w:val="auto"/>
        </w:rPr>
        <w:t>7(n)</w:t>
      </w:r>
      <w:r>
        <w:rPr>
          <w:rFonts w:ascii="Times New Roman" w:cs="Times New Roman" w:eastAsia="Times New Roman" w:hAnsi="Times New Roman"/>
          <w:sz w:val="21"/>
          <w:szCs w:val="21"/>
          <w:color w:val="auto"/>
        </w:rPr>
        <w:t xml:space="preserve"> with respect to delivery of certificates, opinions or comfort letters to Cowen, shall be waived;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certificates, opinions or comfort letters shall be delivered to Cowen prior to the resumption of sales of any Placement Shares. Each of the parties agrees that no such notice under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be effective against the other unless it is made to one of the individuals named on </w:t>
      </w: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color w:val="auto"/>
        </w:rPr>
        <w:t xml:space="preserve"> hereto, as such schedule may be amended from time to time.</w:t>
      </w:r>
    </w:p>
    <w:p>
      <w:pPr>
        <w:spacing w:after="0" w:line="178" w:lineRule="exact"/>
        <w:rPr>
          <w:rFonts w:ascii="Times New Roman" w:cs="Times New Roman" w:eastAsia="Times New Roman" w:hAnsi="Times New Roman"/>
          <w:sz w:val="21"/>
          <w:szCs w:val="21"/>
          <w:color w:val="auto"/>
        </w:rPr>
      </w:pPr>
    </w:p>
    <w:p>
      <w:pPr>
        <w:jc w:val="both"/>
        <w:ind w:firstLine="656"/>
        <w:spacing w:after="0" w:line="256" w:lineRule="auto"/>
        <w:tabs>
          <w:tab w:leader="none" w:pos="11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was declared effective on November 19, 2020. Notwithstanding any other provision of this Agreement, during any period in which the Registration Statement is no longer effective under the Securities Act, the Company shall promptly notify Cowen, the Company shall not request the sale of any Placement Shares, and Cowen shall not be obligated to sell or offer to sell any Placement Shares.</w:t>
      </w:r>
    </w:p>
    <w:p>
      <w:pPr>
        <w:spacing w:after="0" w:line="20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p>
    <w:p>
      <w:pPr>
        <w:spacing w:after="0" w:line="220" w:lineRule="exact"/>
        <w:rPr>
          <w:sz w:val="20"/>
          <w:szCs w:val="20"/>
          <w:color w:val="auto"/>
        </w:rPr>
      </w:pPr>
    </w:p>
    <w:p>
      <w:pPr>
        <w:jc w:val="both"/>
        <w:ind w:firstLine="656"/>
        <w:spacing w:after="0" w:line="241" w:lineRule="auto"/>
        <w:tabs>
          <w:tab w:leader="none" w:pos="1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Placement Shares</w:t>
      </w:r>
      <w:r>
        <w:rPr>
          <w:rFonts w:ascii="Times New Roman" w:cs="Times New Roman" w:eastAsia="Times New Roman" w:hAnsi="Times New Roman"/>
          <w:sz w:val="22"/>
          <w:szCs w:val="22"/>
          <w:color w:val="auto"/>
        </w:rPr>
        <w:t>. Unless otherwise specified in the applicable Placement Notice, settlement for sales of Placement Shares will occur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Trading Day (or such earlier day as is industry practice for regular-way trading) following the date on which such sales are made (each, a “</w:t>
      </w:r>
      <w:r>
        <w:rPr>
          <w:rFonts w:ascii="Times New Roman" w:cs="Times New Roman" w:eastAsia="Times New Roman" w:hAnsi="Times New Roman"/>
          <w:sz w:val="22"/>
          <w:szCs w:val="22"/>
          <w:b w:val="1"/>
          <w:bCs w:val="1"/>
          <w:u w:val="single" w:color="auto"/>
          <w:color w:val="auto"/>
        </w:rPr>
        <w:t>Settlement Date</w:t>
      </w:r>
      <w:r>
        <w:rPr>
          <w:rFonts w:ascii="Times New Roman" w:cs="Times New Roman" w:eastAsia="Times New Roman" w:hAnsi="Times New Roman"/>
          <w:sz w:val="22"/>
          <w:szCs w:val="22"/>
          <w:color w:val="auto"/>
        </w:rPr>
        <w:t>” and the first such Settlement Date, the “</w:t>
      </w:r>
      <w:r>
        <w:rPr>
          <w:rFonts w:ascii="Times New Roman" w:cs="Times New Roman" w:eastAsia="Times New Roman" w:hAnsi="Times New Roman"/>
          <w:sz w:val="22"/>
          <w:szCs w:val="22"/>
          <w:b w:val="1"/>
          <w:bCs w:val="1"/>
          <w:u w:val="single" w:color="auto"/>
          <w:color w:val="auto"/>
        </w:rPr>
        <w:t>First Delivery Date</w:t>
      </w:r>
      <w:r>
        <w:rPr>
          <w:rFonts w:ascii="Times New Roman" w:cs="Times New Roman" w:eastAsia="Times New Roman" w:hAnsi="Times New Roman"/>
          <w:sz w:val="22"/>
          <w:szCs w:val="22"/>
          <w:color w:val="auto"/>
        </w:rPr>
        <w:t>”). The amount of proceeds to be delivered to the Company on a Settlement Date against receipt of the Placement Shares sold (the “</w:t>
      </w:r>
      <w:r>
        <w:rPr>
          <w:rFonts w:ascii="Times New Roman" w:cs="Times New Roman" w:eastAsia="Times New Roman" w:hAnsi="Times New Roman"/>
          <w:sz w:val="22"/>
          <w:szCs w:val="22"/>
          <w:b w:val="1"/>
          <w:bCs w:val="1"/>
          <w:u w:val="single" w:color="auto"/>
          <w:color w:val="auto"/>
        </w:rPr>
        <w:t>Net Proceeds</w:t>
      </w:r>
      <w:r>
        <w:rPr>
          <w:rFonts w:ascii="Times New Roman" w:cs="Times New Roman" w:eastAsia="Times New Roman" w:hAnsi="Times New Roman"/>
          <w:sz w:val="22"/>
          <w:szCs w:val="22"/>
          <w:color w:val="auto"/>
        </w:rPr>
        <w:t xml:space="preserve">”) will be equal to the aggregate sales price received by Cowen at which such Placement Shares were sold, after deduction for (i) Cowen’s commission, discount or other compensation for such sales payable by the Company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(ii) any other amounts due and payable by the Company to Cowen hereunder pursuant to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(Expenses) hereof, and (iii) any transaction fees imposed by any governmental or self-regulatory organization in respect of such sales.</w:t>
      </w:r>
    </w:p>
    <w:p>
      <w:pPr>
        <w:spacing w:after="0" w:line="195" w:lineRule="exact"/>
        <w:rPr>
          <w:rFonts w:ascii="Times New Roman" w:cs="Times New Roman" w:eastAsia="Times New Roman" w:hAnsi="Times New Roman"/>
          <w:sz w:val="22"/>
          <w:szCs w:val="22"/>
          <w:color w:val="auto"/>
        </w:rPr>
      </w:pPr>
    </w:p>
    <w:p>
      <w:pPr>
        <w:jc w:val="both"/>
        <w:ind w:firstLine="656"/>
        <w:spacing w:after="0" w:line="256" w:lineRule="auto"/>
        <w:tabs>
          <w:tab w:leader="none" w:pos="130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Placement Shares</w:t>
      </w:r>
      <w:r>
        <w:rPr>
          <w:rFonts w:ascii="Times New Roman" w:cs="Times New Roman" w:eastAsia="Times New Roman" w:hAnsi="Times New Roman"/>
          <w:sz w:val="22"/>
          <w:szCs w:val="22"/>
          <w:color w:val="auto"/>
        </w:rPr>
        <w:t>. On or before each Settlement Date, the Company will, or will cause its transfer agent to, electronically transfer the Placement Shares being sold by crediting Cowen’s or its designee’s account (provided Cowen shall have given the Company written notice of such designee prior to the Settlement Date) at The Depository Trust Company through its Deposit and Withdrawal at Custodian System or by such other means of delivery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61" w:right="339" w:bottom="1440" w:gutter="0" w:footer="0" w:header="0"/>
        </w:sectPr>
      </w:pPr>
    </w:p>
    <w:bookmarkStart w:id="7" w:name="page8"/>
    <w:bookmarkEnd w:id="7"/>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may be mutually agreed upon by the parties hereto which in all cases shall be freely tradeable, transferable, registered shares in good deliverable form. On each Settlement Date, Cowen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the Company agrees that in addition to and in no way limiting the rights and obligations set forth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(Indemnification and Contribution) hereto, it will (i) hold Cowen harmless against any loss, claim, damage, or expense (including reasonable legal fees and expenses), as incurred, arising out of or in connection with such default by the Company and (ii) pay to Cowen (without duplication) any commission, discount, or other compensation to which it would otherwise have been entitled absent such default.</w:t>
      </w:r>
    </w:p>
    <w:p>
      <w:pPr>
        <w:spacing w:after="0" w:line="185" w:lineRule="exact"/>
        <w:rPr>
          <w:sz w:val="20"/>
          <w:szCs w:val="20"/>
          <w:color w:val="auto"/>
        </w:rPr>
      </w:pPr>
    </w:p>
    <w:p>
      <w:pPr>
        <w:jc w:val="both"/>
        <w:ind w:firstLine="656"/>
        <w:spacing w:after="0" w:line="256" w:lineRule="auto"/>
        <w:tabs>
          <w:tab w:leader="none" w:pos="12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Except as disclosed in the Registration Statement, the Prospectus or the Prospectus Supplement, including the Incorporated Documents, the Company represents and warrants to, and agrees with, Cowen that as of (i) the date of this Agreement, (ii) each Time of Sale (as defined below), (iii) each Settlement Date, and (iv) each Bring-Down Date (as defined below) (each date included in (i) through (iv), a “</w:t>
      </w:r>
      <w:r>
        <w:rPr>
          <w:rFonts w:ascii="Times New Roman" w:cs="Times New Roman" w:eastAsia="Times New Roman" w:hAnsi="Times New Roman"/>
          <w:sz w:val="22"/>
          <w:szCs w:val="22"/>
          <w:b w:val="1"/>
          <w:bCs w:val="1"/>
          <w:u w:val="single" w:color="auto"/>
          <w:color w:val="auto"/>
        </w:rPr>
        <w:t>Representation Date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56"/>
        <w:spacing w:after="0" w:line="250" w:lineRule="auto"/>
        <w:tabs>
          <w:tab w:leader="none" w:pos="129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and Prospectuses</w:t>
      </w:r>
      <w:r>
        <w:rPr>
          <w:rFonts w:ascii="Times New Roman" w:cs="Times New Roman" w:eastAsia="Times New Roman" w:hAnsi="Times New Roman"/>
          <w:sz w:val="22"/>
          <w:szCs w:val="22"/>
          <w:color w:val="auto"/>
        </w:rPr>
        <w:t>. The Company meets the requirements for use of Form S-3 under the Securities Act. Each of the Registration Statement and any amendment thereto has become effective under the Securities Act. No stop order suspending the effectiveness of the Registration Statement or any post-effective amendment thereto has been issued by the Commission under the Securities Act, no order preventing or suspending the use of the Prospectus has been issued and no proceedings for any of those purposes have been instituted by the Commission or are pending or, to the Company’s knowledge, contemplated by the Commission. The Company has complied with each request (if any) from the Commission for additional information.</w:t>
      </w:r>
    </w:p>
    <w:p>
      <w:pPr>
        <w:spacing w:after="0" w:line="19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Each of the Registration Statement and any post-effective amendment thereto, at the time it became effective, complied in all material respects with the requirements of the Securities Act and the rules and regulations of the Commission under the Securities Act (the “</w:t>
      </w:r>
      <w:r>
        <w:rPr>
          <w:rFonts w:ascii="Times New Roman" w:cs="Times New Roman" w:eastAsia="Times New Roman" w:hAnsi="Times New Roman"/>
          <w:sz w:val="22"/>
          <w:szCs w:val="22"/>
          <w:u w:val="single" w:color="auto"/>
          <w:color w:val="auto"/>
        </w:rPr>
        <w:t>Securities Act Regulations</w:t>
      </w:r>
      <w:r>
        <w:rPr>
          <w:rFonts w:ascii="Times New Roman" w:cs="Times New Roman" w:eastAsia="Times New Roman" w:hAnsi="Times New Roman"/>
          <w:sz w:val="22"/>
          <w:szCs w:val="22"/>
          <w:color w:val="auto"/>
        </w:rPr>
        <w:t>”). The Prospectus and any amendment or supplement thereto, at the time each was filed with the Commission, complied in all material respects with the requirements of the Securities Act and the Securities Act Regulations. The Prospectus was or will be identical to the electronically transmitted copies thereof filed with the Commission pursuant to EDGAR, except to the extent permitted by Regulation S-T.</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Exchange Act and the rules and regulations of the Commission under the Exchange Act (the “</w:t>
      </w:r>
      <w:r>
        <w:rPr>
          <w:rFonts w:ascii="Times New Roman" w:cs="Times New Roman" w:eastAsia="Times New Roman" w:hAnsi="Times New Roman"/>
          <w:sz w:val="22"/>
          <w:szCs w:val="22"/>
          <w:u w:val="single" w:color="auto"/>
          <w:color w:val="auto"/>
        </w:rPr>
        <w:t>Exchange Act Regulations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63" w:lineRule="auto"/>
        <w:tabs>
          <w:tab w:leader="none" w:pos="129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Accurate Disclosure</w:t>
      </w:r>
      <w:r>
        <w:rPr>
          <w:rFonts w:ascii="Times New Roman" w:cs="Times New Roman" w:eastAsia="Times New Roman" w:hAnsi="Times New Roman"/>
          <w:sz w:val="22"/>
          <w:szCs w:val="22"/>
          <w:color w:val="auto"/>
        </w:rPr>
        <w:t>. Neither the Registration Statement nor any amendment thereto, at its effective time, and as of each Representation Date, contained, contains or will contain an untrue statement of a material fact or omitted, omits or will omit to state a material fact required to be stated therein or necessary to make the statements therein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65" w:right="339" w:bottom="1440" w:gutter="0" w:footer="0" w:header="0"/>
        </w:sectPr>
      </w:pPr>
    </w:p>
    <w:bookmarkStart w:id="8" w:name="page9"/>
    <w:bookmarkEnd w:id="8"/>
    <w:p>
      <w:pPr>
        <w:jc w:val="both"/>
        <w:spacing w:after="0" w:line="251" w:lineRule="auto"/>
        <w:rPr>
          <w:sz w:val="20"/>
          <w:szCs w:val="20"/>
          <w:color w:val="auto"/>
        </w:rPr>
      </w:pPr>
      <w:r>
        <w:rPr>
          <w:rFonts w:ascii="Times New Roman" w:cs="Times New Roman" w:eastAsia="Times New Roman" w:hAnsi="Times New Roman"/>
          <w:sz w:val="22"/>
          <w:szCs w:val="22"/>
          <w:color w:val="auto"/>
        </w:rPr>
        <w:t>Neither the Prospectus nor any amendment or supplement thereto (including any prospectus wrapper), as of its issue date, at the time of any filing with the Commission pursuant to Rule 424(b), at each Representation Date, included, includes or will include an untrue statement of a material fact or omitted, omits or will omit to state a material fact necessary in order to make the statements therein, in the light of the circumstances under which they were made, not misleading. As used herein, “</w:t>
      </w:r>
      <w:r>
        <w:rPr>
          <w:rFonts w:ascii="Times New Roman" w:cs="Times New Roman" w:eastAsia="Times New Roman" w:hAnsi="Times New Roman"/>
          <w:sz w:val="22"/>
          <w:szCs w:val="22"/>
          <w:u w:val="single" w:color="auto"/>
          <w:color w:val="auto"/>
        </w:rPr>
        <w:t>Time of Sale</w:t>
      </w:r>
      <w:r>
        <w:rPr>
          <w:rFonts w:ascii="Times New Roman" w:cs="Times New Roman" w:eastAsia="Times New Roman" w:hAnsi="Times New Roman"/>
          <w:sz w:val="22"/>
          <w:szCs w:val="22"/>
          <w:color w:val="auto"/>
        </w:rPr>
        <w:t>” means with respect to each offering of Placement Shares pursuant to this Agreement, the time of Cowen’s initial entry into contracts with purchasers for the sale of such Placement Shares.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representations and warranties in this subsection shall not apply to statements in or omissions from the Registration Statement (or any amendment thereto) or the Prospectus (or any amendment or supplement thereto, including any prospectus wrapper) made in reliance upon and in conformity with written information furnished to the Company by Cowen expressly for use therein. For purposes of this Agreement, the only information so furnished shall be made in reliance upon and in conformity with information relating to Agent’s Information (as defined below).</w:t>
      </w:r>
    </w:p>
    <w:p>
      <w:pPr>
        <w:spacing w:after="0" w:line="179" w:lineRule="exact"/>
        <w:rPr>
          <w:sz w:val="20"/>
          <w:szCs w:val="20"/>
          <w:color w:val="auto"/>
        </w:rPr>
      </w:pPr>
    </w:p>
    <w:p>
      <w:pPr>
        <w:jc w:val="both"/>
        <w:ind w:firstLine="656"/>
        <w:spacing w:after="0" w:line="257" w:lineRule="auto"/>
        <w:tabs>
          <w:tab w:leader="none" w:pos="129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Free Writing Prospectuses</w:t>
      </w:r>
      <w:r>
        <w:rPr>
          <w:rFonts w:ascii="Times New Roman" w:cs="Times New Roman" w:eastAsia="Times New Roman" w:hAnsi="Times New Roman"/>
          <w:sz w:val="22"/>
          <w:szCs w:val="22"/>
          <w:color w:val="auto"/>
        </w:rPr>
        <w:t>. No Permitted Free Writing Prospectus conflicts or will conflict with the information contained in the Registration Statement or the Prospectus and any preliminary or other prospectus deemed to be a part thereof that has not been superseded or modified.</w:t>
      </w:r>
    </w:p>
    <w:p>
      <w:pPr>
        <w:spacing w:after="0" w:line="19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Not Ineligible Issuer</w:t>
      </w:r>
      <w:r>
        <w:rPr>
          <w:rFonts w:ascii="Times New Roman" w:cs="Times New Roman" w:eastAsia="Times New Roman" w:hAnsi="Times New Roman"/>
          <w:sz w:val="22"/>
          <w:szCs w:val="22"/>
          <w:color w:val="auto"/>
        </w:rPr>
        <w:t>. At the time of filing the Registration Statement and any post-effective amendment thereto, at the earliest time thereafter that the Company or another offering participant made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offer” (within the meaning of Rule 164(h)(2) of the Securities Act Regulations) of the Placement Shares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205"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 of Offering Material By the Company</w:t>
      </w:r>
      <w:r>
        <w:rPr>
          <w:rFonts w:ascii="Times New Roman" w:cs="Times New Roman" w:eastAsia="Times New Roman" w:hAnsi="Times New Roman"/>
          <w:sz w:val="22"/>
          <w:szCs w:val="22"/>
          <w:color w:val="auto"/>
        </w:rPr>
        <w:t>. The Company has not distributed and will not distribute, prior to the completion of Cowen’s distribution of the Placement Shares, any offering material in connection with the offering and sale of the Placement Shares other than the Prospectus or the Registration Statement.</w:t>
      </w:r>
    </w:p>
    <w:p>
      <w:pPr>
        <w:spacing w:after="0" w:line="194"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Emerging Growth Company Status.</w:t>
      </w:r>
      <w:r>
        <w:rPr>
          <w:rFonts w:ascii="Times New Roman" w:cs="Times New Roman" w:eastAsia="Times New Roman" w:hAnsi="Times New Roman"/>
          <w:sz w:val="22"/>
          <w:szCs w:val="22"/>
          <w:color w:val="auto"/>
        </w:rPr>
        <w:t xml:space="preserve"> From the time of the initial filing of the Registration Statement with the Commission, the Company has been and is an “emerging growth company,” as defined in Section 2(a) of the Securities Act (an “</w:t>
      </w:r>
      <w:r>
        <w:rPr>
          <w:rFonts w:ascii="Times New Roman" w:cs="Times New Roman" w:eastAsia="Times New Roman" w:hAnsi="Times New Roman"/>
          <w:sz w:val="22"/>
          <w:szCs w:val="22"/>
          <w:u w:val="single" w:color="auto"/>
          <w:color w:val="auto"/>
        </w:rPr>
        <w:t>Emerging Growth Company</w:t>
      </w:r>
      <w:r>
        <w:rPr>
          <w:rFonts w:ascii="Times New Roman" w:cs="Times New Roman" w:eastAsia="Times New Roman" w:hAnsi="Times New Roman"/>
          <w:sz w:val="22"/>
          <w:szCs w:val="22"/>
          <w:color w:val="auto"/>
        </w:rPr>
        <w:t>”). The Company agrees to notify Cowen promptly upon the Company ceasing to be an Emerging Growth Company.</w:t>
      </w:r>
    </w:p>
    <w:p>
      <w:pPr>
        <w:spacing w:after="0" w:line="219"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Accountants</w:t>
      </w:r>
      <w:r>
        <w:rPr>
          <w:rFonts w:ascii="Times New Roman" w:cs="Times New Roman" w:eastAsia="Times New Roman" w:hAnsi="Times New Roman"/>
          <w:sz w:val="22"/>
          <w:szCs w:val="22"/>
          <w:color w:val="auto"/>
        </w:rPr>
        <w:t>. The accountants who certified the financial statements and supporting schedules included or incorporated by reference in the Registration Statement and the Prospectus are an independent registered public accounting firm as required by the Securities Act, the Securities Act Regulations and the Public Company Accounting Oversight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65" w:right="339" w:bottom="1440" w:gutter="0" w:footer="0" w:header="0"/>
        </w:sectPr>
      </w:pPr>
    </w:p>
    <w:bookmarkStart w:id="9" w:name="page10"/>
    <w:bookmarkEnd w:id="9"/>
    <w:p>
      <w:pPr>
        <w:jc w:val="both"/>
        <w:ind w:firstLine="656"/>
        <w:spacing w:after="0" w:line="247" w:lineRule="auto"/>
        <w:tabs>
          <w:tab w:leader="none" w:pos="129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financial statements included or incorporated by reference in the Registration Statement and the Prospectus, together with the related schedules and notes, present fairly, in all material respects, the financial position of the Company at the dates indicated and the statement of operations, stockholders’ equity and cash flows of the Company for the periods specified; said financial statements have been prepared in conformity with U.S. generally accepted accounting principles (“</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applied on a consistent basis throughout the periods involved, except in the case of unaudited interim financial statements, subject to year-end audit adjustments and the exclusion of certain footnotes as permitted by the applicable rules of the Commission. The supporting schedules included in the Registration Statement, if any, present fairly, in all material respects, in accordance with GAAP the information required to be stated therein. The selected financial data and the summary financial information included in the Registration Statement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or the Prospectus under the Securities Act or the Securities Act Regulations.</w:t>
      </w:r>
    </w:p>
    <w:p>
      <w:pPr>
        <w:spacing w:after="0" w:line="192" w:lineRule="exact"/>
        <w:rPr>
          <w:rFonts w:ascii="Times New Roman" w:cs="Times New Roman" w:eastAsia="Times New Roman" w:hAnsi="Times New Roman"/>
          <w:sz w:val="22"/>
          <w:szCs w:val="22"/>
          <w:color w:val="auto"/>
        </w:rPr>
      </w:pPr>
    </w:p>
    <w:p>
      <w:pPr>
        <w:jc w:val="both"/>
        <w:ind w:firstLine="656"/>
        <w:spacing w:after="0" w:line="263" w:lineRule="auto"/>
        <w:tabs>
          <w:tab w:leader="none" w:pos="128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XBRL</w:t>
      </w:r>
      <w:r>
        <w:rPr>
          <w:rFonts w:ascii="Times New Roman" w:cs="Times New Roman" w:eastAsia="Times New Roman" w:hAnsi="Times New Roman"/>
          <w:sz w:val="22"/>
          <w:szCs w:val="22"/>
          <w:color w:val="auto"/>
        </w:rPr>
        <w:t>. The interactive data in eXtensible Business Reporting Language included or incorporated by reference in each Registration Statement fairly presents the information called for in all material respects and has been prepared in accordance with the Commission’s rules and guidelines applicable thereto.</w:t>
      </w:r>
    </w:p>
    <w:p>
      <w:pPr>
        <w:spacing w:after="0" w:line="167" w:lineRule="exact"/>
        <w:rPr>
          <w:rFonts w:ascii="Times New Roman" w:cs="Times New Roman" w:eastAsia="Times New Roman" w:hAnsi="Times New Roman"/>
          <w:sz w:val="22"/>
          <w:szCs w:val="22"/>
          <w:color w:val="auto"/>
        </w:rPr>
      </w:pPr>
    </w:p>
    <w:p>
      <w:pPr>
        <w:jc w:val="both"/>
        <w:ind w:firstLine="656"/>
        <w:spacing w:after="0" w:line="251" w:lineRule="auto"/>
        <w:tabs>
          <w:tab w:leader="none" w:pos="128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 in Business</w:t>
      </w:r>
      <w:r>
        <w:rPr>
          <w:rFonts w:ascii="Times New Roman" w:cs="Times New Roman" w:eastAsia="Times New Roman" w:hAnsi="Times New Roman"/>
          <w:sz w:val="22"/>
          <w:szCs w:val="22"/>
          <w:color w:val="auto"/>
        </w:rPr>
        <w:t>. Except as otherwise stated therein, since the respective dates as of which information is given in the Registration Statement or the Prospectus, (A) there has been no material adverse change in the condition, financial or otherwise, or in the earnings, business affairs or business prospects of the Company, whether or not arising in the ordinary course of business (a “</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(B) there have been no transactions entered into by the Company, other than those in the ordinary course of business, which are material with respect to the Company, and (C) there has been no dividend or distribution of any kind declared, paid or made by the Company on any class of its capital stock.</w:t>
      </w:r>
    </w:p>
    <w:p>
      <w:pPr>
        <w:spacing w:after="0" w:line="208"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Standing of the Company</w:t>
      </w:r>
      <w:r>
        <w:rPr>
          <w:rFonts w:ascii="Times New Roman" w:cs="Times New Roman" w:eastAsia="Times New Roman" w:hAnsi="Times New Roman"/>
          <w:sz w:val="22"/>
          <w:szCs w:val="22"/>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Change.</w:t>
      </w:r>
    </w:p>
    <w:p>
      <w:pPr>
        <w:spacing w:after="0" w:line="20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Subsidiaries</w:t>
      </w:r>
      <w:r>
        <w:rPr>
          <w:rFonts w:ascii="Times New Roman" w:cs="Times New Roman" w:eastAsia="Times New Roman" w:hAnsi="Times New Roman"/>
          <w:sz w:val="22"/>
          <w:szCs w:val="22"/>
          <w:color w:val="auto"/>
        </w:rPr>
        <w:t>. The Company has no subsidiaries.</w:t>
      </w:r>
    </w:p>
    <w:p>
      <w:pPr>
        <w:spacing w:after="0" w:line="246" w:lineRule="exact"/>
        <w:rPr>
          <w:rFonts w:ascii="Times New Roman" w:cs="Times New Roman" w:eastAsia="Times New Roman" w:hAnsi="Times New Roman"/>
          <w:sz w:val="22"/>
          <w:szCs w:val="22"/>
          <w:color w:val="auto"/>
        </w:rPr>
      </w:pPr>
    </w:p>
    <w:p>
      <w:pPr>
        <w:jc w:val="both"/>
        <w:ind w:firstLine="656"/>
        <w:spacing w:after="0" w:line="263" w:lineRule="auto"/>
        <w:tabs>
          <w:tab w:leader="none" w:pos="128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Capitalization</w:t>
      </w:r>
      <w:r>
        <w:rPr>
          <w:rFonts w:ascii="Times New Roman" w:cs="Times New Roman" w:eastAsia="Times New Roman" w:hAnsi="Times New Roman"/>
          <w:sz w:val="22"/>
          <w:szCs w:val="22"/>
          <w:color w:val="auto"/>
        </w:rPr>
        <w:t>. The authorized, issued and outstanding shares of capital stock of the Company are as set forth in the Registration Statement and the Prospectus under the heading “Description of Capital Stock” (except for subsequent issuances, if any, pursuant to this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65" w:right="339" w:bottom="144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22"/>
          <w:szCs w:val="22"/>
          <w:color w:val="auto"/>
        </w:rPr>
        <w:t>Agreement, pursuant to reservations, agreements or employee benefit plans referred to in the Registration Statement and the Prospectus or pursuant to the exercise of convertible securities or options referred to in the Registration Statement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w:t>
      </w:r>
    </w:p>
    <w:p>
      <w:pPr>
        <w:spacing w:after="0" w:line="206"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of Agreement</w:t>
      </w:r>
      <w:r>
        <w:rPr>
          <w:rFonts w:ascii="Times New Roman" w:cs="Times New Roman" w:eastAsia="Times New Roman" w:hAnsi="Times New Roman"/>
          <w:sz w:val="21"/>
          <w:szCs w:val="21"/>
          <w:color w:val="auto"/>
        </w:rPr>
        <w:t>. This Agreement has been duly authorized, executed and delivered by the Company.</w:t>
      </w:r>
    </w:p>
    <w:p>
      <w:pPr>
        <w:spacing w:after="0" w:line="258" w:lineRule="exact"/>
        <w:rPr>
          <w:rFonts w:ascii="Times New Roman" w:cs="Times New Roman" w:eastAsia="Times New Roman" w:hAnsi="Times New Roman"/>
          <w:sz w:val="21"/>
          <w:szCs w:val="21"/>
          <w:color w:val="auto"/>
        </w:rPr>
      </w:pPr>
    </w:p>
    <w:p>
      <w:pPr>
        <w:jc w:val="both"/>
        <w:ind w:firstLine="656"/>
        <w:spacing w:after="0" w:line="250" w:lineRule="auto"/>
        <w:tabs>
          <w:tab w:leader="none" w:pos="129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and Description of Common Stock</w:t>
      </w:r>
      <w:r>
        <w:rPr>
          <w:rFonts w:ascii="Times New Roman" w:cs="Times New Roman" w:eastAsia="Times New Roman" w:hAnsi="Times New Roman"/>
          <w:sz w:val="22"/>
          <w:szCs w:val="22"/>
          <w:color w:val="auto"/>
        </w:rPr>
        <w:t>. The Placement Shares have been duly authorized for issuance and sale pursuant to this Agreement and, when issued and delivered by the Company pursuant to this Agreement against payment of the consideration set forth herein, will be validly issued and fully paid and nonassessable; and the issuance of the Placement Shares is not subject to the preemptive or other similar rights of any securityholder of the Company. The Common Stock conforms to all statements relating thereto contained in the Registration Statement and the Prospectus and such description conforms in all material respects to the rights set forth in the instruments defining the same. No holder of Placement Shares will be subject to personal liability by reason of being such a holder.</w:t>
      </w:r>
    </w:p>
    <w:p>
      <w:pPr>
        <w:spacing w:after="0" w:line="20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Rights</w:t>
      </w:r>
      <w:r>
        <w:rPr>
          <w:rFonts w:ascii="Times New Roman" w:cs="Times New Roman" w:eastAsia="Times New Roman" w:hAnsi="Times New Roman"/>
          <w:sz w:val="22"/>
          <w:szCs w:val="22"/>
          <w:color w:val="auto"/>
        </w:rPr>
        <w:t>. There are no persons with registration rights or other similar rights to have any securities registered for sale pursuant to the Registration Statement or otherwise registered for sale or sold by the Company under the Securities Act pursuant to this Agreement, other than those rights that have been disclosed in the Registration Statement and the Prospectus and have been waived.</w:t>
      </w:r>
    </w:p>
    <w:p>
      <w:pPr>
        <w:spacing w:after="0" w:line="203"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Violations, Defaults and Conflicts</w:t>
      </w:r>
      <w:r>
        <w:rPr>
          <w:rFonts w:ascii="Times New Roman" w:cs="Times New Roman" w:eastAsia="Times New Roman" w:hAnsi="Times New Roman"/>
          <w:sz w:val="22"/>
          <w:szCs w:val="22"/>
          <w:color w:val="auto"/>
        </w:rPr>
        <w:t>. The Company is not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properties or assets of the Company is subject (collectively, “</w:t>
      </w:r>
      <w:r>
        <w:rPr>
          <w:rFonts w:ascii="Times New Roman" w:cs="Times New Roman" w:eastAsia="Times New Roman" w:hAnsi="Times New Roman"/>
          <w:sz w:val="22"/>
          <w:szCs w:val="22"/>
          <w:u w:val="single" w:color="auto"/>
          <w:color w:val="auto"/>
        </w:rPr>
        <w:t>Agreements and Instruments</w:t>
      </w:r>
      <w:r>
        <w:rPr>
          <w:rFonts w:ascii="Times New Roman" w:cs="Times New Roman" w:eastAsia="Times New Roman" w:hAnsi="Times New Roman"/>
          <w:sz w:val="22"/>
          <w:szCs w:val="22"/>
          <w:color w:val="auto"/>
        </w:rPr>
        <w:t>”), except for such defaults that would not, singly or in the aggregate, result in a Material Adverse Change, or (C) in violation of any law, statute, rule, regulation, judgment, order, writ or decree of any arbitrator, court, governmental body, regulatory body, administrative agency or other authority, body or agency having jurisdiction over the Company or any of its respective properties, assets or operations (each, a “</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except for such violations that would not, singly or in the aggregate, result in a Material Adverse Change. The execution, delivery and performance of this Agreement and the consummation of the transactions contemplated herein and in the Registration Statement and the Prospectus (including the issuance and sale of the Placement Shares and the use of the proceeds from the sale of the Placement Shares as described therein under the caption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pursuant to, the Agreements and Instruments (except for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165" w:right="339" w:bottom="1440" w:gutter="0" w:footer="0" w:header="0"/>
        </w:sectPr>
      </w:pPr>
    </w:p>
    <w:bookmarkStart w:id="11" w:name="page12"/>
    <w:bookmarkEnd w:id="11"/>
    <w:p>
      <w:pPr>
        <w:jc w:val="both"/>
        <w:spacing w:after="0" w:line="265" w:lineRule="auto"/>
        <w:rPr>
          <w:sz w:val="20"/>
          <w:szCs w:val="20"/>
          <w:color w:val="auto"/>
        </w:rPr>
      </w:pPr>
      <w:r>
        <w:rPr>
          <w:rFonts w:ascii="Times New Roman" w:cs="Times New Roman" w:eastAsia="Times New Roman" w:hAnsi="Times New Roman"/>
          <w:sz w:val="21"/>
          <w:szCs w:val="21"/>
          <w:color w:val="auto"/>
        </w:rPr>
        <w:t>such conflicts, breaches, defaults or Repayment Events or liens, charges or encumbrances that would not, singly or in the aggregate, result in a Material Adverse Change), nor will such action result in any violation of the provisions of the charter, by-laws or similar organizational document of the Company or any material violation of any law, statute, rule, regulation, judgment, order, writ or decree of any Governmental Entity. As used herein, a “</w:t>
      </w:r>
      <w:r>
        <w:rPr>
          <w:rFonts w:ascii="Times New Roman" w:cs="Times New Roman" w:eastAsia="Times New Roman" w:hAnsi="Times New Roman"/>
          <w:sz w:val="21"/>
          <w:szCs w:val="21"/>
          <w:u w:val="single" w:color="auto"/>
          <w:color w:val="auto"/>
        </w:rPr>
        <w:t>Repayment Event</w:t>
      </w:r>
      <w:r>
        <w:rPr>
          <w:rFonts w:ascii="Times New Roman" w:cs="Times New Roman" w:eastAsia="Times New Roman" w:hAnsi="Times New Roman"/>
          <w:sz w:val="21"/>
          <w:szCs w:val="21"/>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w:t>
      </w:r>
    </w:p>
    <w:p>
      <w:pPr>
        <w:spacing w:after="0" w:line="196" w:lineRule="exact"/>
        <w:rPr>
          <w:sz w:val="20"/>
          <w:szCs w:val="20"/>
          <w:color w:val="auto"/>
        </w:rPr>
      </w:pPr>
    </w:p>
    <w:p>
      <w:pPr>
        <w:ind w:firstLine="656"/>
        <w:spacing w:after="0" w:line="271" w:lineRule="auto"/>
        <w:tabs>
          <w:tab w:leader="none" w:pos="12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Reliance</w:t>
      </w:r>
      <w:r>
        <w:rPr>
          <w:rFonts w:ascii="Times New Roman" w:cs="Times New Roman" w:eastAsia="Times New Roman" w:hAnsi="Times New Roman"/>
          <w:sz w:val="22"/>
          <w:szCs w:val="22"/>
          <w:color w:val="auto"/>
        </w:rPr>
        <w:t>. The Company has not relied upon Cowen or legal counsel for Cowen for any legal, tax or accounting advice in connection with the offering and sale of the Placement Shares.</w:t>
      </w:r>
    </w:p>
    <w:p>
      <w:pPr>
        <w:spacing w:after="0" w:line="184" w:lineRule="exact"/>
        <w:rPr>
          <w:rFonts w:ascii="Times New Roman" w:cs="Times New Roman" w:eastAsia="Times New Roman" w:hAnsi="Times New Roman"/>
          <w:sz w:val="22"/>
          <w:szCs w:val="22"/>
          <w:color w:val="auto"/>
        </w:rPr>
      </w:pPr>
    </w:p>
    <w:p>
      <w:pPr>
        <w:jc w:val="both"/>
        <w:ind w:firstLine="656"/>
        <w:spacing w:after="0" w:line="281" w:lineRule="auto"/>
        <w:tabs>
          <w:tab w:leader="none" w:pos="1294"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Absence of Labor Dispute</w:t>
      </w:r>
      <w:r>
        <w:rPr>
          <w:rFonts w:ascii="Times New Roman" w:cs="Times New Roman" w:eastAsia="Times New Roman" w:hAnsi="Times New Roman"/>
          <w:sz w:val="21"/>
          <w:szCs w:val="21"/>
          <w:color w:val="auto"/>
        </w:rPr>
        <w:t>. No labor dispute with the employees of the Company exists or, to the knowledge of the Company, is imminent, and the Company is not aware of any existing or imminent labor disturbance by the employees of any of its principal suppliers, manufacturers, customers or contractors, which, in either case, would result in a Material Adverse Change.</w:t>
      </w:r>
    </w:p>
    <w:p>
      <w:pPr>
        <w:spacing w:after="0" w:line="177" w:lineRule="exact"/>
        <w:rPr>
          <w:rFonts w:ascii="Times New Roman" w:cs="Times New Roman" w:eastAsia="Times New Roman" w:hAnsi="Times New Roman"/>
          <w:sz w:val="21"/>
          <w:szCs w:val="21"/>
          <w:color w:val="auto"/>
        </w:rPr>
      </w:pPr>
    </w:p>
    <w:p>
      <w:pPr>
        <w:jc w:val="both"/>
        <w:ind w:firstLine="656"/>
        <w:spacing w:after="0" w:line="262" w:lineRule="auto"/>
        <w:tabs>
          <w:tab w:leader="none" w:pos="1284"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Absence of Proceedings</w:t>
      </w:r>
      <w:r>
        <w:rPr>
          <w:rFonts w:ascii="Times New Roman" w:cs="Times New Roman" w:eastAsia="Times New Roman" w:hAnsi="Times New Roman"/>
          <w:sz w:val="21"/>
          <w:szCs w:val="21"/>
          <w:color w:val="auto"/>
        </w:rPr>
        <w:t>. Except as disclosed in the Registration Statement and the Prospectus, there is no action, suit, proceeding, inquiry or investigation before or brought by any Governmental Entity now pending or, to the knowledge of the Company, threatened, against or affecting the Company, which would reasonably be expected to result in a Material Adverse Change, or which would reasonably be expected to materially and adversely affect its properties or assets or the consummation of the transactions contemplated in this Agreement or the performance by the Company of its obligations hereunder; and the aggregate of all pending legal or governmental proceedings to which the Company is a party or of which any of its respective properties or assets is the subject which are not described in the Registration Statement and the Prospectus, including ordinary routine litigation incidental to the business, would not reasonably be expected to result in a Material Adverse Change.</w:t>
      </w:r>
    </w:p>
    <w:p>
      <w:pPr>
        <w:spacing w:after="0" w:line="199" w:lineRule="exact"/>
        <w:rPr>
          <w:rFonts w:ascii="Times New Roman" w:cs="Times New Roman" w:eastAsia="Times New Roman" w:hAnsi="Times New Roman"/>
          <w:sz w:val="21"/>
          <w:szCs w:val="21"/>
          <w:color w:val="auto"/>
        </w:rPr>
      </w:pPr>
    </w:p>
    <w:p>
      <w:pPr>
        <w:jc w:val="both"/>
        <w:ind w:firstLine="656"/>
        <w:spacing w:after="0" w:line="263" w:lineRule="auto"/>
        <w:tabs>
          <w:tab w:leader="none" w:pos="12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Exhibits</w:t>
      </w:r>
      <w:r>
        <w:rPr>
          <w:rFonts w:ascii="Times New Roman" w:cs="Times New Roman" w:eastAsia="Times New Roman" w:hAnsi="Times New Roman"/>
          <w:sz w:val="22"/>
          <w:szCs w:val="22"/>
          <w:color w:val="auto"/>
        </w:rPr>
        <w:t>. There are no contracts or documents which are required to be described in the Registration Statement or the Prospectus or filed as exhibits to the Registration Statement which have not been so described and filed as required.</w:t>
      </w:r>
    </w:p>
    <w:p>
      <w:pPr>
        <w:spacing w:after="0" w:line="194"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Further Requirements</w:t>
      </w:r>
      <w:r>
        <w:rPr>
          <w:rFonts w:ascii="Times New Roman" w:cs="Times New Roman" w:eastAsia="Times New Roman" w:hAnsi="Times New Roman"/>
          <w:sz w:val="22"/>
          <w:szCs w:val="22"/>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Placement Shares hereunder or the consummation of the transactions contemplated by this Agreement, except such as have been already obtained or as may be required under the Securities Act, the Securities Act Regulations, the rules of the Nasdaq Stock Market LLC, state securities laws or the rules of the Financial Industry Regulatory Authority, Inc. (“FINRA”).</w:t>
      </w:r>
    </w:p>
    <w:p>
      <w:pPr>
        <w:spacing w:after="0" w:line="208"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Possession of Licenses and Permits</w:t>
      </w:r>
      <w:r>
        <w:rPr>
          <w:rFonts w:ascii="Times New Roman" w:cs="Times New Roman" w:eastAsia="Times New Roman" w:hAnsi="Times New Roman"/>
          <w:sz w:val="22"/>
          <w:szCs w:val="22"/>
          <w:color w:val="auto"/>
        </w:rPr>
        <w:t>. The Company possesses such permits, licenses, approvals, consents and other authorizations (collectively, “</w:t>
      </w:r>
      <w:r>
        <w:rPr>
          <w:rFonts w:ascii="Times New Roman" w:cs="Times New Roman" w:eastAsia="Times New Roman" w:hAnsi="Times New Roman"/>
          <w:sz w:val="22"/>
          <w:szCs w:val="22"/>
          <w:u w:val="single" w:color="auto"/>
          <w:color w:val="auto"/>
        </w:rPr>
        <w:t>Governmental Licenses</w:t>
      </w:r>
      <w:r>
        <w:rPr>
          <w:rFonts w:ascii="Times New Roman" w:cs="Times New Roman" w:eastAsia="Times New Roman" w:hAnsi="Times New Roman"/>
          <w:sz w:val="22"/>
          <w:szCs w:val="22"/>
          <w:color w:val="auto"/>
        </w:rPr>
        <w:t>”) issued by the appropriate Governmental Entities necessary to conduct the business as now</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165" w:right="339" w:bottom="1440" w:gutter="0" w:footer="0" w:header="0"/>
        </w:sectPr>
      </w:pPr>
    </w:p>
    <w:bookmarkStart w:id="12" w:name="page13"/>
    <w:bookmarkEnd w:id="12"/>
    <w:p>
      <w:pPr>
        <w:jc w:val="both"/>
        <w:spacing w:after="0" w:line="247" w:lineRule="auto"/>
        <w:rPr>
          <w:sz w:val="20"/>
          <w:szCs w:val="20"/>
          <w:color w:val="auto"/>
        </w:rPr>
      </w:pPr>
      <w:r>
        <w:rPr>
          <w:rFonts w:ascii="Times New Roman" w:cs="Times New Roman" w:eastAsia="Times New Roman" w:hAnsi="Times New Roman"/>
          <w:sz w:val="22"/>
          <w:szCs w:val="22"/>
          <w:color w:val="auto"/>
        </w:rPr>
        <w:t>operated by it (including without limitation, all such certificates, authorizations, registrations, permits, licenses, approvals and consents required by the United States Food and Drug Administration (the “</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or any other federal, state, local or foreign agencies or bodies engaged in the regulation of clinical laboratories, clinical trials, diagnostic products or other medical devices), except where the failure so to possess would not, singly or in the aggregate, result in a Material Adverse Change. The Company is in compliance with the terms and conditions of all Governmental Licenses, except where the failure so to comply would not, singly or in the aggregate, result in a Material Adverse Change. All of the Governmental Licenses are valid and in full force and effect, except when the invalidity of such Governmental Licenses or the failure of such Governmental Licenses to be in full force and effect would not, singly or in the aggregate, result in a Material Adverse Change. The Company has not received any written notice of proceedings relating to the revocation or modification of any Governmental Licenses which, singly or in the aggregate, if the subject of an unfavorable decision, ruling or finding, would result in a Material Adverse Change. All applications, notifications, submissions, information, claims, reports and statistics, and other data and conclusions derived therefrom, utilized as the basis for any and all requests for a Governmental License from the FDA or other Governmental Entity relating to the Company, its business and the products and services of the Company,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w:t>
      </w:r>
    </w:p>
    <w:p>
      <w:pPr>
        <w:spacing w:after="0" w:line="222" w:lineRule="exact"/>
        <w:rPr>
          <w:sz w:val="20"/>
          <w:szCs w:val="20"/>
          <w:color w:val="auto"/>
        </w:rPr>
      </w:pPr>
    </w:p>
    <w:p>
      <w:pPr>
        <w:jc w:val="both"/>
        <w:ind w:firstLine="656"/>
        <w:spacing w:after="0" w:line="247" w:lineRule="auto"/>
        <w:tabs>
          <w:tab w:leader="none" w:pos="129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Property</w:t>
      </w:r>
      <w:r>
        <w:rPr>
          <w:rFonts w:ascii="Times New Roman" w:cs="Times New Roman" w:eastAsia="Times New Roman" w:hAnsi="Times New Roman"/>
          <w:sz w:val="22"/>
          <w:szCs w:val="22"/>
          <w:color w:val="auto"/>
        </w:rPr>
        <w:t>. The Company has good and marketable title to all real property owned by it and good title to all other properties owned by it, in each case, free and clear of all mortgages, pledges, liens, security interests, claims, restrictions or encumbrances of any kind except such as (A) are described in the Registration Statement and the Prospectus or (B) do not, singly or in the aggregate, materially affect the value of such property and do not materially interfere with the use made and proposed to be made of such property by the Company; and all of the leases and subleases material to the business of the Company, considered as one enterprise, and under which the Company holds properties described in the Registration Statement or the Prospectus, are in full force and effect, and the Company has no written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w:t>
      </w:r>
    </w:p>
    <w:p>
      <w:pPr>
        <w:spacing w:after="0" w:line="23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(i) The Company owns or has valid, binding and enforceable licenses or other rights under the patents, patent applications, copyrights, know-how (including trade secrets and other unpatented and/or unpatentable proprietary or confidential information, systems or procedures), trademarks, service marks, trade names or other intellectual property necessary for, or used in the conduct of the business of the Company and (ii) has, or to the knowledge of the Company, can acquire or license on reasonable terms such intellectual property that is necessary for the proposed conduct of, the business of the Company, in each case, as described in the Registration Statement and the Prospectus (collectively, the “</w:t>
      </w:r>
      <w:r>
        <w:rPr>
          <w:rFonts w:ascii="Times New Roman" w:cs="Times New Roman" w:eastAsia="Times New Roman" w:hAnsi="Times New Roman"/>
          <w:sz w:val="22"/>
          <w:szCs w:val="22"/>
          <w:u w:val="single" w:color="auto"/>
          <w:color w:val="auto"/>
        </w:rPr>
        <w:t>Intellectual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to the knowledge of the Company, the registered patents, trademarks, and copyrights, if any, included within the Intellectual Property and which are purported to be owned or exclusively licensed by the Company are valid, enforceable, and subsisting; other than as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165"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21"/>
          <w:szCs w:val="21"/>
          <w:color w:val="auto"/>
        </w:rPr>
        <w:t>disclosed in the Registration Statement and the Prospectus, (A) the Company is not obligated to pay a material royalty, grant a license to any material portion of the Intellectual Property, or provide other material consideration to any third party in connection with the Intellectual Property, (B) the Company has not received any written notice of any claim of infringement, misappropriation or conflict with any asserted rights of others with respect to any of the Company’s products, processes or Intellectual Property, (C) to the knowledge of the Company, neither the sale nor use of any of the discoveries, inventions, products or processes of the Company referred to in the Registration Statement or the Prospectus do or will, to the knowledge of the Company, infringe, misappropriate or violate any right or valid patent claim of any third party, and (D) to the knowledge of the Company, no third party has any ownership right in or to any Intellectual Property that is owned by the Company, other than any co-owner of any patent constituting Intellectual Property who is listed on the records of the U.S. Patent and Trademark Office (the “</w:t>
      </w:r>
      <w:r>
        <w:rPr>
          <w:rFonts w:ascii="Times New Roman" w:cs="Times New Roman" w:eastAsia="Times New Roman" w:hAnsi="Times New Roman"/>
          <w:sz w:val="21"/>
          <w:szCs w:val="21"/>
          <w:u w:val="single" w:color="auto"/>
          <w:color w:val="auto"/>
        </w:rPr>
        <w:t>USPTO</w:t>
      </w:r>
      <w:r>
        <w:rPr>
          <w:rFonts w:ascii="Times New Roman" w:cs="Times New Roman" w:eastAsia="Times New Roman" w:hAnsi="Times New Roman"/>
          <w:sz w:val="21"/>
          <w:szCs w:val="21"/>
          <w:color w:val="auto"/>
        </w:rPr>
        <w:t>”) and any co-owner of any patent application constituting Intellectual Property who is named in such patent application, and, to the knowledge of the Company, no third party has any ownership right in or to any Intellectual Property in any field of use that is exclusively licensed to the Company, other than any licensor to the Company of such Intellectual Property.</w:t>
      </w:r>
    </w:p>
    <w:p>
      <w:pPr>
        <w:spacing w:after="0" w:line="197" w:lineRule="exact"/>
        <w:rPr>
          <w:sz w:val="20"/>
          <w:szCs w:val="20"/>
          <w:color w:val="auto"/>
        </w:rPr>
      </w:pPr>
    </w:p>
    <w:p>
      <w:pPr>
        <w:jc w:val="both"/>
        <w:ind w:firstLine="656"/>
        <w:spacing w:after="0" w:line="250" w:lineRule="auto"/>
        <w:tabs>
          <w:tab w:leader="none" w:pos="129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Patents and Patent Applications</w:t>
      </w:r>
      <w:r>
        <w:rPr>
          <w:rFonts w:ascii="Times New Roman" w:cs="Times New Roman" w:eastAsia="Times New Roman" w:hAnsi="Times New Roman"/>
          <w:sz w:val="22"/>
          <w:szCs w:val="22"/>
          <w:color w:val="auto"/>
        </w:rPr>
        <w:t>. All patents and patent applications owned by or exclusively licensed to the Company have, to the knowledge of the Company, been duly and properly filed and maintained;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(A) preclude the grant of a patent in connection with any such application or (B) reasonably be expected to form the basis of a finding of invalidity with respect to any patents that have issued with respect to such applications.</w:t>
      </w:r>
    </w:p>
    <w:p>
      <w:pPr>
        <w:spacing w:after="0" w:line="207" w:lineRule="exact"/>
        <w:rPr>
          <w:sz w:val="20"/>
          <w:szCs w:val="20"/>
          <w:color w:val="auto"/>
        </w:rPr>
      </w:pPr>
    </w:p>
    <w:p>
      <w:pPr>
        <w:jc w:val="both"/>
        <w:ind w:firstLine="656"/>
        <w:spacing w:after="0" w:line="259" w:lineRule="auto"/>
        <w:tabs>
          <w:tab w:leader="none" w:pos="1213"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Except as described in the Registration Statement and the Prospectus or would not, singly or in the aggregate, result in a Material Adverse Change, (A)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or to the manufacture, processing, distribution, use, treatment, storage, disposal, transport or handling of Hazardous Materials (collectively, “</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(B) the Company has all permits, authorizations and approvals required under any applicable Environmental Laws and is in compliance with their requirements,</w:t>
      </w:r>
    </w:p>
    <w:p>
      <w:pPr>
        <w:spacing w:after="0" w:line="10" w:lineRule="exact"/>
        <w:rPr>
          <w:rFonts w:ascii="Times New Roman" w:cs="Times New Roman" w:eastAsia="Times New Roman" w:hAnsi="Times New Roman"/>
          <w:sz w:val="21"/>
          <w:szCs w:val="21"/>
          <w:color w:val="auto"/>
        </w:rPr>
      </w:pPr>
    </w:p>
    <w:p>
      <w:pPr>
        <w:jc w:val="both"/>
        <w:ind w:firstLine="8"/>
        <w:spacing w:after="0" w:line="249" w:lineRule="auto"/>
        <w:tabs>
          <w:tab w:leader="none" w:pos="36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to the knowledge of the Company threatened, administrative, regulatory or judicial actions, suits, demands, demand letters, claims, liens, notices of noncompliance or violation, investigation or proceedings relating to any Environmental Law against the Company and (D) there are no events or circumstances that would reasonably be expected to form the basis of an order for clean-up or remediation, or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165" w:right="339" w:bottom="1440" w:gutter="0" w:footer="0" w:header="0"/>
        </w:sectPr>
      </w:pPr>
    </w:p>
    <w:bookmarkStart w:id="14" w:name="page15"/>
    <w:bookmarkEnd w:id="14"/>
    <w:p>
      <w:pPr>
        <w:spacing w:after="0" w:line="271" w:lineRule="auto"/>
        <w:rPr>
          <w:sz w:val="20"/>
          <w:szCs w:val="20"/>
          <w:color w:val="auto"/>
        </w:rPr>
      </w:pPr>
      <w:r>
        <w:rPr>
          <w:rFonts w:ascii="Times New Roman" w:cs="Times New Roman" w:eastAsia="Times New Roman" w:hAnsi="Times New Roman"/>
          <w:sz w:val="22"/>
          <w:szCs w:val="22"/>
          <w:color w:val="auto"/>
        </w:rPr>
        <w:t>an action, suit or proceeding by any private party or Governmental Entity, against or affecting the Company relating to Hazardous Materials or any Environmental Laws.</w:t>
      </w:r>
    </w:p>
    <w:p>
      <w:pPr>
        <w:spacing w:after="0" w:line="185" w:lineRule="exact"/>
        <w:rPr>
          <w:sz w:val="20"/>
          <w:szCs w:val="20"/>
          <w:color w:val="auto"/>
        </w:rPr>
      </w:pPr>
    </w:p>
    <w:p>
      <w:pPr>
        <w:jc w:val="both"/>
        <w:ind w:firstLine="656"/>
        <w:spacing w:after="0" w:line="248" w:lineRule="auto"/>
        <w:tabs>
          <w:tab w:leader="none" w:pos="131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Controls and Disclosure Controls</w:t>
      </w:r>
      <w:r>
        <w:rPr>
          <w:rFonts w:ascii="Times New Roman" w:cs="Times New Roman" w:eastAsia="Times New Roman" w:hAnsi="Times New Roman"/>
          <w:sz w:val="22"/>
          <w:szCs w:val="22"/>
          <w:color w:val="auto"/>
        </w:rPr>
        <w:t>. The Company maintains effective internal control over financial reporting (as defined under Rule 13a15 and 15d15 under the Exchange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adversely affected, or is reasonably likely to materially adversely affect, the Company’s internal control over financial reporting.</w:t>
      </w:r>
    </w:p>
    <w:p>
      <w:pPr>
        <w:spacing w:after="0" w:line="215" w:lineRule="exact"/>
        <w:rPr>
          <w:rFonts w:ascii="Times New Roman" w:cs="Times New Roman" w:eastAsia="Times New Roman" w:hAnsi="Times New Roman"/>
          <w:sz w:val="22"/>
          <w:szCs w:val="22"/>
          <w:color w:val="auto"/>
        </w:rPr>
      </w:pPr>
    </w:p>
    <w:p>
      <w:pPr>
        <w:jc w:val="both"/>
        <w:ind w:firstLine="656"/>
        <w:spacing w:after="0" w:line="259" w:lineRule="auto"/>
        <w:tabs>
          <w:tab w:leader="none" w:pos="1281"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Health Care Laws</w:t>
      </w:r>
      <w:r>
        <w:rPr>
          <w:rFonts w:ascii="Times New Roman" w:cs="Times New Roman" w:eastAsia="Times New Roman" w:hAnsi="Times New Roman"/>
          <w:sz w:val="21"/>
          <w:szCs w:val="21"/>
          <w:color w:val="auto"/>
        </w:rPr>
        <w:t>. Except as described in the Registration Statement and the Prospectus or as would not, singly or in the aggregate, reasonably be expected to give rise to a material liability of the Company, the Company is, and since January 1, 2010 has been, in compliance with, all health care laws applicable to the Company or any of its products or activities, including, but not limited to, the federal Anti-Kickback Statute (42 U.S.C. § 1320a-7b(b)), the Anti-Inducement Law (42 U.S.C. § 1320a-7a(a)(5)), the civil False Claims Act (31 U.S.C. §§ 3729 et seq.), the criminal False Claims Law (42 U.S.C. § 1320a-7b(a)), the Stark law (42 U.S.C. § 1395nn), the Health Insurance Portability and Accountability Act of 1996 (42 U.S.C. §§ 1320d et seq.) as amended by the Health Information Technology for Economic and Clinical Health Act (42 U.S.C. §§ 17921 et seq.), the exclusion laws (42 U.S.C. § 1320a-7), the Federal Food Drug and Cosmetic Act (21 U.S.C. §§ 301 et seq.), Medicare (Title XVIII of the Social Security Act), Medicaid (Title XIX of the Social Security Act), the Clinical Laboratory Improvement Amendments (42 U.S.C. § 263a et seq.), the regulations promulgated pursuant to such laws, and any other similar state or federal law (collectively, “</w:t>
      </w:r>
      <w:r>
        <w:rPr>
          <w:rFonts w:ascii="Times New Roman" w:cs="Times New Roman" w:eastAsia="Times New Roman" w:hAnsi="Times New Roman"/>
          <w:sz w:val="21"/>
          <w:szCs w:val="21"/>
          <w:u w:val="single" w:color="auto"/>
          <w:color w:val="auto"/>
        </w:rPr>
        <w:t>Health Care Laws</w:t>
      </w:r>
      <w:r>
        <w:rPr>
          <w:rFonts w:ascii="Times New Roman" w:cs="Times New Roman" w:eastAsia="Times New Roman" w:hAnsi="Times New Roman"/>
          <w:sz w:val="21"/>
          <w:szCs w:val="21"/>
          <w:color w:val="auto"/>
        </w:rPr>
        <w:t>”). The Company has not received any written notification, correspondence or other communication, including notification of any pending or threatened claim, suit, proceeding, hearing, enforcement, investigation, arbitration or other action from any governmental authority, including, without limitation, the FDA, the Federal Trade Commission, the Centers for Medicare &amp; Medicaid Services, or the U.S. Department of Health and Human Services Office of Inspector General, of potential or actual non-compliance by, or liability of, the Company under any Health Care Laws, except, with respect to any of the foregoing, such as would not, in the aggregate, reasonably be expected to have a Material Adverse Change. To the Company’s knowledge, there are no facts or circumstances that would reasonably be expected to give rise to material liability of the Company under any Health Care Laws. The Company has not had any product or clinical laboratory (whether Company owned or that of a third party manufacturer) subject to a governmental authority (including FDA) shutdown or import or export prohibition, nor received any FDA Form 483 or other governmental authority notice of inspectional observations, “warning letters,” “untitled letters,” requests to make changes to the Company products, processes or operations, or similar written notice from the FDA or other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165" w:right="339" w:bottom="1440" w:gutter="0" w:footer="0" w:header="0"/>
        </w:sectPr>
      </w:pPr>
    </w:p>
    <w:bookmarkStart w:id="15" w:name="page16"/>
    <w:bookmarkEnd w:id="15"/>
    <w:p>
      <w:pPr>
        <w:jc w:val="both"/>
        <w:spacing w:after="0" w:line="250" w:lineRule="auto"/>
        <w:rPr>
          <w:sz w:val="20"/>
          <w:szCs w:val="20"/>
          <w:color w:val="auto"/>
        </w:rPr>
      </w:pPr>
      <w:r>
        <w:rPr>
          <w:rFonts w:ascii="Times New Roman" w:cs="Times New Roman" w:eastAsia="Times New Roman" w:hAnsi="Times New Roman"/>
          <w:sz w:val="22"/>
          <w:szCs w:val="22"/>
          <w:color w:val="auto"/>
        </w:rPr>
        <w:t>alleging or asserting material noncompliance with any applicable Health Care Laws. To the Company’s knowledge, neither the FDA nor any other governmental authority is considering such action. The Company is not a party to any corporate integrity agreements, monitoring agreements, consent decrees, settlement orders, or similar agreements with or imposed by any governmental or regulatory authority. Additionally, neither the Company nor any of its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207" w:lineRule="exact"/>
        <w:rPr>
          <w:sz w:val="20"/>
          <w:szCs w:val="20"/>
          <w:color w:val="auto"/>
        </w:rPr>
      </w:pPr>
    </w:p>
    <w:p>
      <w:pPr>
        <w:jc w:val="both"/>
        <w:ind w:firstLine="656"/>
        <w:spacing w:after="0" w:line="253" w:lineRule="auto"/>
        <w:tabs>
          <w:tab w:leader="none" w:pos="131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Safety Notices</w:t>
      </w:r>
      <w:r>
        <w:rPr>
          <w:rFonts w:ascii="Times New Roman" w:cs="Times New Roman" w:eastAsia="Times New Roman" w:hAnsi="Times New Roman"/>
          <w:sz w:val="22"/>
          <w:szCs w:val="22"/>
          <w:color w:val="auto"/>
        </w:rPr>
        <w:t>. (a) There have been no recalls, field notifications, field corrections, market withdrawals or replacements, warnings, “dear doctor” letters, investigator notices, safety alerts or other notice of action relating to an alleged lack of safety, efficacy, or regulatory compliance of the Company’s products (“</w:t>
      </w:r>
      <w:r>
        <w:rPr>
          <w:rFonts w:ascii="Times New Roman" w:cs="Times New Roman" w:eastAsia="Times New Roman" w:hAnsi="Times New Roman"/>
          <w:sz w:val="22"/>
          <w:szCs w:val="22"/>
          <w:u w:val="single" w:color="auto"/>
          <w:color w:val="auto"/>
        </w:rPr>
        <w:t>Safety Notices</w:t>
      </w:r>
      <w:r>
        <w:rPr>
          <w:rFonts w:ascii="Times New Roman" w:cs="Times New Roman" w:eastAsia="Times New Roman" w:hAnsi="Times New Roman"/>
          <w:sz w:val="22"/>
          <w:szCs w:val="22"/>
          <w:color w:val="auto"/>
        </w:rPr>
        <w:t>”) and (b) to the Company’s knowledge, there are no facts that would be reasonably likely to result in (x) a Safety Notice with respect to the Company’s products or services, or (y) a termination or suspension of marketing or testing of any of the Company’s products or services.</w:t>
      </w:r>
    </w:p>
    <w:p>
      <w:pPr>
        <w:spacing w:after="0" w:line="205" w:lineRule="exact"/>
        <w:rPr>
          <w:rFonts w:ascii="Times New Roman" w:cs="Times New Roman" w:eastAsia="Times New Roman" w:hAnsi="Times New Roman"/>
          <w:sz w:val="22"/>
          <w:szCs w:val="22"/>
          <w:color w:val="auto"/>
        </w:rPr>
      </w:pPr>
    </w:p>
    <w:p>
      <w:pPr>
        <w:jc w:val="both"/>
        <w:ind w:firstLine="656"/>
        <w:spacing w:after="0" w:line="249" w:lineRule="auto"/>
        <w:tabs>
          <w:tab w:leader="none" w:pos="125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All United States federal income tax returns of the Company required by law to be filed have been filed and all taxes shown by such returns or otherwise assessed, which are due and payable, have been paid, except assessments against which appeals have been or will be promptly taken and as to which adequate reserves have been provided. The Company has filed all other tax returns that are required to have been filed by it pursuant to applicable foreign, state, local or other law except insofar as the failure to file such returns would not result in a Material Adverse Change, and has paid all material taxes due pursuant to such returns or pursuant to any assessment received by the Company, except for such taxes, if any, as are being contested in good faith and as to which adequate reserves have been established by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Change.</w:t>
      </w:r>
    </w:p>
    <w:p>
      <w:pPr>
        <w:spacing w:after="0" w:line="21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4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carries or is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will not be able (A) to renew its existing insurance coverage as and when such policies expire or (B) to obtain comparable coverage from similar institutions as may be necessary or appropriate to conduct its business as now conducted and at a cost that would not result in a Material Adverse Change. The Company has not been denied any insurance coverage which it has sought or for which it has applied.</w:t>
      </w:r>
    </w:p>
    <w:p>
      <w:pPr>
        <w:spacing w:after="0" w:line="20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2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Company is not required, and upon the issuance and sale of the Placement Shares as herein contemplated and the application of the net proceeds therefrom as described in the Registration Statement and the Prospectus will not be required, to</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1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1"/>
          <w:szCs w:val="21"/>
          <w:color w:val="auto"/>
        </w:rPr>
        <w:t>register as an “investment company” under the Investment Company Act of 1940, as amended (the “</w:t>
      </w:r>
      <w:r>
        <w:rPr>
          <w:rFonts w:ascii="Times New Roman" w:cs="Times New Roman" w:eastAsia="Times New Roman" w:hAnsi="Times New Roman"/>
          <w:sz w:val="21"/>
          <w:szCs w:val="21"/>
          <w:u w:val="single" w:color="auto"/>
          <w:color w:val="auto"/>
        </w:rPr>
        <w:t>Investment Company Act</w:t>
      </w:r>
      <w:r>
        <w:rPr>
          <w:rFonts w:ascii="Times New Roman" w:cs="Times New Roman" w:eastAsia="Times New Roman" w:hAnsi="Times New Roman"/>
          <w:sz w:val="21"/>
          <w:szCs w:val="21"/>
          <w:color w:val="auto"/>
        </w:rPr>
        <w:t>”).</w:t>
      </w:r>
    </w:p>
    <w:p>
      <w:pPr>
        <w:spacing w:after="0" w:line="258" w:lineRule="exact"/>
        <w:rPr>
          <w:sz w:val="20"/>
          <w:szCs w:val="20"/>
          <w:color w:val="auto"/>
        </w:rPr>
      </w:pPr>
    </w:p>
    <w:p>
      <w:pPr>
        <w:jc w:val="both"/>
        <w:ind w:firstLine="656"/>
        <w:spacing w:after="0" w:line="253" w:lineRule="auto"/>
        <w:tabs>
          <w:tab w:leader="none" w:pos="127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Manipulation</w:t>
      </w:r>
      <w:r>
        <w:rPr>
          <w:rFonts w:ascii="Times New Roman" w:cs="Times New Roman" w:eastAsia="Times New Roman" w:hAnsi="Times New Roman"/>
          <w:sz w:val="22"/>
          <w:szCs w:val="22"/>
          <w:color w:val="auto"/>
        </w:rPr>
        <w:t>. Neither the Company nor, to the Company’s knowledge, any affiliate of the Company has taken, nor will the Company or at the direction of the Company any affiliate take, directly or indirectly, any action which is designed, or would be reasonably expected, to cause or result in, or which constitutes, the stabilization or manipulation of the price of any security of the Company to facilitate the sale or resale of the Placement Shares or to result in a violation of Regulation M under the Exchange Act.</w:t>
      </w: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jc w:val="both"/>
        <w:ind w:firstLine="656"/>
        <w:spacing w:after="0" w:line="249" w:lineRule="auto"/>
        <w:tabs>
          <w:tab w:leader="none" w:pos="119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Corrupt Practices Act</w:t>
      </w:r>
      <w:r>
        <w:rPr>
          <w:rFonts w:ascii="Times New Roman" w:cs="Times New Roman" w:eastAsia="Times New Roman" w:hAnsi="Times New Roman"/>
          <w:sz w:val="22"/>
          <w:szCs w:val="22"/>
          <w:color w:val="auto"/>
        </w:rPr>
        <w:t>. None of the Company or to the knowledge of the Company, any director, officer, agent, employee, affiliate or other person acting on behalf of the Company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210" w:lineRule="exact"/>
        <w:rPr>
          <w:rFonts w:ascii="Times New Roman" w:cs="Times New Roman" w:eastAsia="Times New Roman" w:hAnsi="Times New Roman"/>
          <w:sz w:val="22"/>
          <w:szCs w:val="22"/>
          <w:color w:val="auto"/>
        </w:rPr>
      </w:pPr>
    </w:p>
    <w:p>
      <w:pPr>
        <w:jc w:val="both"/>
        <w:ind w:firstLine="656"/>
        <w:spacing w:after="0" w:line="251" w:lineRule="auto"/>
        <w:tabs>
          <w:tab w:leader="none" w:pos="116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Money Laundering Laws</w:t>
      </w:r>
      <w:r>
        <w:rPr>
          <w:rFonts w:ascii="Times New Roman" w:cs="Times New Roman" w:eastAsia="Times New Roman" w:hAnsi="Times New Roman"/>
          <w:sz w:val="22"/>
          <w:szCs w:val="22"/>
          <w:color w:val="auto"/>
        </w:rPr>
        <w:t>. The operations of the Company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22"/>
          <w:szCs w:val="22"/>
          <w:u w:val="single" w:color="auto"/>
          <w:color w:val="auto"/>
        </w:rPr>
        <w:t>Money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Laundering Laws</w:t>
      </w:r>
      <w:r>
        <w:rPr>
          <w:rFonts w:ascii="Times New Roman" w:cs="Times New Roman" w:eastAsia="Times New Roman" w:hAnsi="Times New Roman"/>
          <w:sz w:val="22"/>
          <w:szCs w:val="22"/>
          <w:color w:val="auto"/>
        </w:rPr>
        <w:t>”); and no action, suit or proceeding by or before any Governmental Entity involving the Company with respect to the Money Laundering Laws is pending or, to the knowledge of the Company, threatened.</w:t>
      </w:r>
    </w:p>
    <w:p>
      <w:pPr>
        <w:spacing w:after="0" w:line="208" w:lineRule="exact"/>
        <w:rPr>
          <w:rFonts w:ascii="Times New Roman" w:cs="Times New Roman" w:eastAsia="Times New Roman" w:hAnsi="Times New Roman"/>
          <w:sz w:val="22"/>
          <w:szCs w:val="22"/>
          <w:color w:val="auto"/>
        </w:rPr>
      </w:pPr>
    </w:p>
    <w:p>
      <w:pPr>
        <w:jc w:val="both"/>
        <w:ind w:firstLine="656"/>
        <w:spacing w:after="0" w:line="249" w:lineRule="auto"/>
        <w:tabs>
          <w:tab w:leader="none" w:pos="123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None of the Company or to the knowledge of the Company, any director, officer, agent, employee, affiliate or representative of the Company is an individual or entity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currently the subject or target of any sanctions administered or enforced by the United States Government, including, without limitation,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nor is the Company located, organized or resident in a country or territory that is the subject of Sanctions; and the Company will not directly or indirectly use the proceeds of the sale of the Placement Shares, or lend, contribute or otherwise make available such proceeds to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agent, advisor, investor or otherwise) of Sanctions.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165" w:right="339" w:bottom="1440" w:gutter="0" w:footer="0" w:header="0"/>
        </w:sectPr>
      </w:pPr>
    </w:p>
    <w:bookmarkStart w:id="17" w:name="page18"/>
    <w:bookmarkEnd w:id="17"/>
    <w:p>
      <w:pPr>
        <w:jc w:val="both"/>
        <w:ind w:firstLine="656"/>
        <w:spacing w:after="0" w:line="259" w:lineRule="auto"/>
        <w:tabs>
          <w:tab w:leader="none" w:pos="116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Lending Relationship</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Except as disclosed in the Registration Statement and the Prospectus, the Company (i) does not have any material lending or other relationship with any banking or lending affiliate of Cowen and (ii) does not intend to use any of the proceeds from the sale of the Placement Shares to repay any outstanding debt owed to any affiliate of Cowen.</w:t>
      </w:r>
    </w:p>
    <w:p>
      <w:pPr>
        <w:spacing w:after="0" w:line="197" w:lineRule="exact"/>
        <w:rPr>
          <w:rFonts w:ascii="Times New Roman" w:cs="Times New Roman" w:eastAsia="Times New Roman" w:hAnsi="Times New Roman"/>
          <w:sz w:val="22"/>
          <w:szCs w:val="22"/>
          <w:color w:val="auto"/>
        </w:rPr>
      </w:pPr>
    </w:p>
    <w:p>
      <w:pPr>
        <w:jc w:val="both"/>
        <w:ind w:firstLine="656"/>
        <w:spacing w:after="0" w:line="256" w:lineRule="auto"/>
        <w:tabs>
          <w:tab w:leader="none" w:pos="15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Statistical and Market-Related Data</w:t>
      </w:r>
      <w:r>
        <w:rPr>
          <w:rFonts w:ascii="Times New Roman" w:cs="Times New Roman" w:eastAsia="Times New Roman" w:hAnsi="Times New Roman"/>
          <w:sz w:val="22"/>
          <w:szCs w:val="22"/>
          <w:color w:val="auto"/>
        </w:rPr>
        <w:t>. Any statistical and market-related data included in the Registration Statement or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20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Rating of Debt Securities</w:t>
      </w:r>
      <w:r>
        <w:rPr>
          <w:rFonts w:ascii="Times New Roman" w:cs="Times New Roman" w:eastAsia="Times New Roman" w:hAnsi="Times New Roman"/>
          <w:sz w:val="22"/>
          <w:szCs w:val="22"/>
          <w:color w:val="auto"/>
        </w:rPr>
        <w:t>. The Company has no debt securities or preferred stock that is rated by any “nationally recognized statistical rating organization” (as that term is defined by the Commission for purposes of Rule 436(g)(2) under the Securities Act).</w:t>
      </w:r>
    </w:p>
    <w:p>
      <w:pPr>
        <w:spacing w:after="0" w:line="213" w:lineRule="exact"/>
        <w:rPr>
          <w:rFonts w:ascii="Times New Roman" w:cs="Times New Roman" w:eastAsia="Times New Roman" w:hAnsi="Times New Roman"/>
          <w:sz w:val="22"/>
          <w:szCs w:val="22"/>
          <w:color w:val="auto"/>
        </w:rPr>
      </w:pPr>
    </w:p>
    <w:p>
      <w:pPr>
        <w:jc w:val="both"/>
        <w:ind w:firstLine="656"/>
        <w:spacing w:after="0" w:line="248" w:lineRule="auto"/>
        <w:tabs>
          <w:tab w:leader="none" w:pos="127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w:t>
      </w:r>
      <w:r>
        <w:rPr>
          <w:rFonts w:ascii="Times New Roman" w:cs="Times New Roman" w:eastAsia="Times New Roman" w:hAnsi="Times New Roman"/>
          <w:sz w:val="22"/>
          <w:szCs w:val="22"/>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listing, it will be in compliance with all applicable corporate governance requirements set forth in the Nasdaq’s listing rules that are then in effect.</w:t>
      </w:r>
    </w:p>
    <w:p>
      <w:pPr>
        <w:spacing w:after="0" w:line="212" w:lineRule="exact"/>
        <w:rPr>
          <w:rFonts w:ascii="Times New Roman" w:cs="Times New Roman" w:eastAsia="Times New Roman" w:hAnsi="Times New Roman"/>
          <w:sz w:val="22"/>
          <w:szCs w:val="22"/>
          <w:color w:val="auto"/>
        </w:rPr>
      </w:pPr>
    </w:p>
    <w:p>
      <w:pPr>
        <w:jc w:val="both"/>
        <w:ind w:firstLine="656"/>
        <w:spacing w:after="0" w:line="256" w:lineRule="auto"/>
        <w:tabs>
          <w:tab w:leader="none" w:pos="133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Broker Fees</w:t>
      </w:r>
      <w:r>
        <w:rPr>
          <w:rFonts w:ascii="Times New Roman" w:cs="Times New Roman" w:eastAsia="Times New Roman" w:hAnsi="Times New Roman"/>
          <w:sz w:val="22"/>
          <w:szCs w:val="22"/>
          <w:color w:val="auto"/>
        </w:rPr>
        <w:t>. Except as disclosed in the Registration Statement and the Prospectus, there are no contracts, agreements or understandings between the Company and any person that would give rise to a valid claim against the Company or Cowen for a brokerage commission, finder’s fee or other like payment in connection with the offering of the Shares contemplated hereby.</w:t>
      </w:r>
    </w:p>
    <w:p>
      <w:pPr>
        <w:spacing w:after="0" w:line="203" w:lineRule="exact"/>
        <w:rPr>
          <w:rFonts w:ascii="Times New Roman" w:cs="Times New Roman" w:eastAsia="Times New Roman" w:hAnsi="Times New Roman"/>
          <w:sz w:val="22"/>
          <w:szCs w:val="22"/>
          <w:color w:val="auto"/>
        </w:rPr>
      </w:pPr>
    </w:p>
    <w:p>
      <w:pPr>
        <w:jc w:val="both"/>
        <w:ind w:firstLine="656"/>
        <w:spacing w:after="0" w:line="262" w:lineRule="auto"/>
        <w:tabs>
          <w:tab w:leader="none" w:pos="131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Sarbanes-Oxley Act</w:t>
      </w:r>
      <w:r>
        <w:rPr>
          <w:rFonts w:ascii="Times New Roman" w:cs="Times New Roman" w:eastAsia="Times New Roman" w:hAnsi="Times New Roman"/>
          <w:sz w:val="21"/>
          <w:szCs w:val="21"/>
          <w:color w:val="auto"/>
        </w:rPr>
        <w:t>. There is and has been no failure on the part of the Company or, to the knowledge of the Company, any of the Company’s directors or officers, in their capacities as such, to comply with any provision of the Sarbanes-Oxley Act of 2002 and the rules and regulations promulgated in connection therewith (the “</w:t>
      </w:r>
      <w:r>
        <w:rPr>
          <w:rFonts w:ascii="Times New Roman" w:cs="Times New Roman" w:eastAsia="Times New Roman" w:hAnsi="Times New Roman"/>
          <w:sz w:val="21"/>
          <w:szCs w:val="21"/>
          <w:u w:val="single" w:color="auto"/>
          <w:color w:val="auto"/>
        </w:rPr>
        <w:t>Sarbanes-Oxley Act</w:t>
      </w:r>
      <w:r>
        <w:rPr>
          <w:rFonts w:ascii="Times New Roman" w:cs="Times New Roman" w:eastAsia="Times New Roman" w:hAnsi="Times New Roman"/>
          <w:sz w:val="21"/>
          <w:szCs w:val="21"/>
          <w:color w:val="auto"/>
        </w:rPr>
        <w:t>”) applicable to the Company or such directors or officers as of the date hereof, including Section 402 of the Sarbanes-Oxley Act related to loans. The Company has taken all necessary actions to ensure that, upon the effectiveness of the Registration Statement, it will be in compliance with all provisions of the Sarbanes-Oxley Act which the Company is required to comply with as of the effectiveness of the Registration Statement, and is actively taking steps to ensure that it will be in compliance with other provisions of the Sarbanes-Oxley Act that will become applicable to the Company at all times after the effectiveness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04" w:right="339" w:bottom="1440" w:gutter="0" w:footer="0" w:header="0"/>
        </w:sectPr>
      </w:pPr>
    </w:p>
    <w:bookmarkStart w:id="18" w:name="page19"/>
    <w:bookmarkEnd w:id="18"/>
    <w:p>
      <w:pPr>
        <w:jc w:val="both"/>
        <w:ind w:firstLine="656"/>
        <w:spacing w:after="0" w:line="259" w:lineRule="auto"/>
        <w:tabs>
          <w:tab w:leader="none" w:pos="1381"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Cybersecurity and Information Technology</w:t>
      </w:r>
      <w:r>
        <w:rPr>
          <w:rFonts w:ascii="Times New Roman" w:cs="Times New Roman" w:eastAsia="Times New Roman" w:hAnsi="Times New Roman"/>
          <w:sz w:val="21"/>
          <w:szCs w:val="21"/>
          <w:color w:val="auto"/>
        </w:rPr>
        <w:t>. The Company’s information technology assets and equipment, computers, technology systems, networks, hardware, software, websites, applications, and databases (collectively, “IT Systems”) are commercially reasonably adequate for, and operate and perform in all material respects, as required in connection with the operation of the business of the Company as currently conducted, and, to the knowledge of the Company, free and clear of all material bugs, errors, defects, Trojan horses, time bombs, malware and other corruptants. The Company has implemented and maintained commercially reasonable controls, policies, procedures, and safeguards to maintain and protect its confidential information and the integrity, continuous operation, redundancy and security of all material IT Systems and data (including all personal data and sensitive, confidential or regulated data (collectively, the “Confidential Data”)) used in connection with the operation of the Company, and has established commercially reasonable disaster recovery plans, procedures and facilities for the business. To the knowledge of the Company, there have been no material breaches, violations, outages or unauthorized uses of or access to the Confidential Data, except for those that have been remedied without material cost or liability. The Company is presently in compliance with all applicable laws or statutes and all judgments, orders, rules and regulations of any court or arbitrator or governmental or regulatory authority, internal policies and contractual obligations relating to the privacy and security of IT Systems and Confidential Data and to the protection of such IT Systems and Confidential Data from unauthorized use, access, misappropriation or modification, except as would not, individually or in the aggregate have a Material Adverse Change.</w:t>
      </w:r>
    </w:p>
    <w:p>
      <w:pPr>
        <w:spacing w:after="0" w:line="222" w:lineRule="exact"/>
        <w:rPr>
          <w:rFonts w:ascii="Times New Roman" w:cs="Times New Roman" w:eastAsia="Times New Roman" w:hAnsi="Times New Roman"/>
          <w:sz w:val="21"/>
          <w:szCs w:val="21"/>
          <w:color w:val="auto"/>
        </w:rPr>
      </w:pPr>
    </w:p>
    <w:p>
      <w:pPr>
        <w:jc w:val="both"/>
        <w:ind w:firstLine="656"/>
        <w:spacing w:after="0" w:line="257" w:lineRule="auto"/>
        <w:tabs>
          <w:tab w:leader="none" w:pos="131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FinCEN</w:t>
      </w:r>
      <w:r>
        <w:rPr>
          <w:rFonts w:ascii="Times New Roman" w:cs="Times New Roman" w:eastAsia="Times New Roman" w:hAnsi="Times New Roman"/>
          <w:sz w:val="22"/>
          <w:szCs w:val="22"/>
          <w:color w:val="auto"/>
        </w:rPr>
        <w:t>. To the Company’s knowledge, all of the beneficial ownership information provided to Cowen or to counsel for Cowen by the Company or its counsel in certification of the beneficial ownership of holders of 25% or more of the Company’s securities in connection with the offering of the Placement Shares is true, complete and correct.</w:t>
      </w:r>
    </w:p>
    <w:p>
      <w:pPr>
        <w:spacing w:after="0" w:line="200" w:lineRule="exact"/>
        <w:rPr>
          <w:sz w:val="20"/>
          <w:szCs w:val="20"/>
          <w:color w:val="auto"/>
        </w:rPr>
      </w:pPr>
    </w:p>
    <w:p>
      <w:pPr>
        <w:spacing w:after="0" w:line="21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Any certificate signed by an officer of the Company and delivered to Cowen or to counsel for Cowen pursuant to or in connection with this Agreement shall be deemed to be a representation and warranty by the Company to Cowen as to the matters set forth therein.</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The Company acknowledges that Cowen and, for purposes of the opinions to be delivered 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counsel to the Company and counsel to Cowen, will rely upon the accuracy and truthfulness of the foregoing representations and hereby consents to such reliance.</w:t>
      </w:r>
    </w:p>
    <w:p>
      <w:pPr>
        <w:spacing w:after="0" w:line="173"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the Company</w:t>
      </w:r>
      <w:r>
        <w:rPr>
          <w:rFonts w:ascii="Times New Roman" w:cs="Times New Roman" w:eastAsia="Times New Roman" w:hAnsi="Times New Roman"/>
          <w:sz w:val="22"/>
          <w:szCs w:val="22"/>
          <w:color w:val="auto"/>
        </w:rPr>
        <w:t>. The Company covenants and agrees with Cowen that:</w:t>
      </w:r>
    </w:p>
    <w:p>
      <w:pPr>
        <w:spacing w:after="0" w:line="166" w:lineRule="exact"/>
        <w:rPr>
          <w:sz w:val="20"/>
          <w:szCs w:val="20"/>
          <w:color w:val="auto"/>
        </w:rPr>
      </w:pPr>
    </w:p>
    <w:p>
      <w:pPr>
        <w:jc w:val="both"/>
        <w:ind w:firstLine="656"/>
        <w:spacing w:after="0" w:line="252" w:lineRule="auto"/>
        <w:tabs>
          <w:tab w:leader="none" w:pos="134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Amendments</w:t>
      </w:r>
      <w:r>
        <w:rPr>
          <w:rFonts w:ascii="Times New Roman" w:cs="Times New Roman" w:eastAsia="Times New Roman" w:hAnsi="Times New Roman"/>
          <w:sz w:val="22"/>
          <w:szCs w:val="22"/>
          <w:color w:val="auto"/>
        </w:rPr>
        <w:t>. After the date of this Agreement and during any period in which a Prospectus relating to any Placement Shares is required to be delivered by Cowen under the Securities Act (including in circumstances where such requirement may be satisfied pursuant to Rule 172 under the Securities Act), (i) the Company will notify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(insofar as it relates to the Placement Shares or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165" w:right="339" w:bottom="1440" w:gutter="0" w:footer="0" w:header="0"/>
        </w:sectPr>
      </w:pPr>
    </w:p>
    <w:bookmarkStart w:id="19" w:name="page20"/>
    <w:bookmarkEnd w:id="19"/>
    <w:p>
      <w:pPr>
        <w:jc w:val="both"/>
        <w:spacing w:after="0" w:line="247" w:lineRule="auto"/>
        <w:rPr>
          <w:sz w:val="20"/>
          <w:szCs w:val="20"/>
          <w:color w:val="auto"/>
        </w:rPr>
      </w:pPr>
      <w:r>
        <w:rPr>
          <w:rFonts w:ascii="Times New Roman" w:cs="Times New Roman" w:eastAsia="Times New Roman" w:hAnsi="Times New Roman"/>
          <w:sz w:val="22"/>
          <w:szCs w:val="22"/>
          <w:color w:val="auto"/>
        </w:rPr>
        <w:t>contemplated hereby), (ii) the Company will prepare and file with the Commission, promptly upon Cowen’s request, any amendments or supplements to the Registration Statement or Prospectus that, in Cowen’s reasonable opinion, may be necessary or advisable in connection with the distribution of the Placement Shares by Cowen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failure of Cowen to make such request shall not relieve the Company of any obligation or liability hereunder, or affect Cowen’s right to rely on the representations and warranties made by the Company in this Agreement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only remedy Cowen shall have with respect to the failure to make such filing (other than Cowen’s rights under Section 9 hereof) will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Cowen within a reasonable period of time before the filing and Cowen has not reasonably objected thereto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failure of Cowen to make such objection shall not relieve the Company of any obligation or liability hereunder, or affect Cowen’s right to rely on the representations and warranties made by the Company in this Agreement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only remedy Cowen shall have with respect to the failure by the Company to provide Cowen with such copy or the filing of such amendment or supplement despite Cowen’s objection (other than Cowen’s rights under Section 9 hereof) shall be to cease making sales under this Agreement) and the Company will furnish to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Cowen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w:t>
      </w:r>
    </w:p>
    <w:p>
      <w:pPr>
        <w:spacing w:after="0" w:line="185" w:lineRule="exact"/>
        <w:rPr>
          <w:sz w:val="20"/>
          <w:szCs w:val="20"/>
          <w:color w:val="auto"/>
        </w:rPr>
      </w:pPr>
    </w:p>
    <w:p>
      <w:pPr>
        <w:jc w:val="both"/>
        <w:ind w:firstLine="656"/>
        <w:spacing w:after="0" w:line="268" w:lineRule="auto"/>
        <w:tabs>
          <w:tab w:leader="none" w:pos="129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Commission Stop Orders</w:t>
      </w:r>
      <w:r>
        <w:rPr>
          <w:rFonts w:ascii="Times New Roman" w:cs="Times New Roman" w:eastAsia="Times New Roman" w:hAnsi="Times New Roman"/>
          <w:sz w:val="21"/>
          <w:szCs w:val="21"/>
          <w:color w:val="auto"/>
        </w:rPr>
        <w:t>. The Company will advise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63" w:lineRule="exact"/>
        <w:rPr>
          <w:rFonts w:ascii="Times New Roman" w:cs="Times New Roman" w:eastAsia="Times New Roman" w:hAnsi="Times New Roman"/>
          <w:sz w:val="21"/>
          <w:szCs w:val="21"/>
          <w:color w:val="auto"/>
        </w:rPr>
      </w:pPr>
    </w:p>
    <w:p>
      <w:pPr>
        <w:jc w:val="both"/>
        <w:ind w:firstLine="656"/>
        <w:spacing w:after="0" w:line="250" w:lineRule="auto"/>
        <w:tabs>
          <w:tab w:leader="none" w:pos="129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Prospectus; Subsequent Changes</w:t>
      </w:r>
      <w:r>
        <w:rPr>
          <w:rFonts w:ascii="Times New Roman" w:cs="Times New Roman" w:eastAsia="Times New Roman" w:hAnsi="Times New Roman"/>
          <w:sz w:val="22"/>
          <w:szCs w:val="22"/>
          <w:color w:val="auto"/>
        </w:rPr>
        <w:t>. During any period in which a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165" w:right="339" w:bottom="1440" w:gutter="0" w:footer="0" w:header="0"/>
        </w:sectPr>
      </w:pPr>
    </w:p>
    <w:bookmarkStart w:id="20" w:name="page21"/>
    <w:bookmarkEnd w:id="20"/>
    <w:p>
      <w:pPr>
        <w:jc w:val="both"/>
        <w:spacing w:after="0" w:line="251" w:lineRule="auto"/>
        <w:rPr>
          <w:sz w:val="20"/>
          <w:szCs w:val="20"/>
          <w:color w:val="auto"/>
        </w:rPr>
      </w:pPr>
      <w:r>
        <w:rPr>
          <w:rFonts w:ascii="Times New Roman" w:cs="Times New Roman" w:eastAsia="Times New Roman" w:hAnsi="Times New Roman"/>
          <w:sz w:val="22"/>
          <w:szCs w:val="22"/>
          <w:color w:val="auto"/>
        </w:rPr>
        <w:t>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Cowen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181" w:lineRule="exact"/>
        <w:rPr>
          <w:sz w:val="20"/>
          <w:szCs w:val="20"/>
          <w:color w:val="auto"/>
        </w:rPr>
      </w:pPr>
    </w:p>
    <w:p>
      <w:pPr>
        <w:jc w:val="both"/>
        <w:ind w:firstLine="656"/>
        <w:spacing w:after="0" w:line="249" w:lineRule="auto"/>
        <w:tabs>
          <w:tab w:leader="none" w:pos="131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of Placement Shares</w:t>
      </w:r>
      <w:r>
        <w:rPr>
          <w:rFonts w:ascii="Times New Roman" w:cs="Times New Roman" w:eastAsia="Times New Roman" w:hAnsi="Times New Roman"/>
          <w:sz w:val="22"/>
          <w:szCs w:val="22"/>
          <w:color w:val="auto"/>
        </w:rPr>
        <w:t xml:space="preserve">. During any period in which the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Cowen reasonably designates and to continue such qualifications in effect so long as required for the distribution of the Placement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shall not be required in connection therewith to qualify as a foreign corporation or dealer in securities or file a general consent to service of process in any jurisdiction.</w:t>
      </w:r>
    </w:p>
    <w:p>
      <w:pPr>
        <w:spacing w:after="0" w:line="181" w:lineRule="exact"/>
        <w:rPr>
          <w:rFonts w:ascii="Times New Roman" w:cs="Times New Roman" w:eastAsia="Times New Roman" w:hAnsi="Times New Roman"/>
          <w:sz w:val="22"/>
          <w:szCs w:val="22"/>
          <w:color w:val="auto"/>
        </w:rPr>
      </w:pPr>
    </w:p>
    <w:p>
      <w:pPr>
        <w:jc w:val="both"/>
        <w:ind w:firstLine="656"/>
        <w:spacing w:after="0" w:line="250" w:lineRule="auto"/>
        <w:tabs>
          <w:tab w:leader="none" w:pos="130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Registration Statement and Prospectus</w:t>
      </w:r>
      <w:r>
        <w:rPr>
          <w:rFonts w:ascii="Times New Roman" w:cs="Times New Roman" w:eastAsia="Times New Roman" w:hAnsi="Times New Roman"/>
          <w:sz w:val="22"/>
          <w:szCs w:val="22"/>
          <w:color w:val="auto"/>
        </w:rPr>
        <w:t xml:space="preserve">. The Company will furnish to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Cowen may from time to time reasonably request and, at Cowen’s request, will also furnish copies of the Prospectus to each exchange or market on which sales of the Placement Shares may be made;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shall not be required to furnish any document (other than the Prospectus) to Cowen to the extent such document is available on EDGAR.</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Statement</w:t>
      </w:r>
      <w:r>
        <w:rPr>
          <w:rFonts w:ascii="Times New Roman" w:cs="Times New Roman" w:eastAsia="Times New Roman" w:hAnsi="Times New Roman"/>
          <w:sz w:val="22"/>
          <w:szCs w:val="22"/>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32" w:lineRule="exact"/>
        <w:rPr>
          <w:rFonts w:ascii="Times New Roman" w:cs="Times New Roman" w:eastAsia="Times New Roman" w:hAnsi="Times New Roman"/>
          <w:sz w:val="22"/>
          <w:szCs w:val="22"/>
          <w:color w:val="auto"/>
        </w:rPr>
      </w:pPr>
    </w:p>
    <w:p>
      <w:pPr>
        <w:jc w:val="both"/>
        <w:ind w:firstLine="656"/>
        <w:spacing w:after="0" w:line="249" w:lineRule="auto"/>
        <w:tabs>
          <w:tab w:leader="none" w:pos="13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The Company, whether or not the transactions contemplated hereunder are consummated or this Agreement is terminated, in accordance with the provisions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 xml:space="preserve"> of this Agreement, including filing fees (provided, however, that any fees or disbursements of counsel for Cowen in connection therewith shall be paid by Cowen except as set forth in (vii) below), (iv) the printing and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165" w:right="339" w:bottom="1440" w:gutter="0" w:footer="0" w:header="0"/>
        </w:sectPr>
      </w:pPr>
    </w:p>
    <w:bookmarkStart w:id="21" w:name="page22"/>
    <w:bookmarkEnd w:id="21"/>
    <w:p>
      <w:pPr>
        <w:jc w:val="both"/>
        <w:ind w:firstLine="6"/>
        <w:spacing w:after="0" w:line="251" w:lineRule="auto"/>
        <w:rPr>
          <w:sz w:val="20"/>
          <w:szCs w:val="20"/>
          <w:color w:val="auto"/>
        </w:rPr>
      </w:pPr>
      <w:r>
        <w:rPr>
          <w:rFonts w:ascii="Times New Roman" w:cs="Times New Roman" w:eastAsia="Times New Roman" w:hAnsi="Times New Roman"/>
          <w:sz w:val="22"/>
          <w:szCs w:val="22"/>
          <w:color w:val="auto"/>
        </w:rPr>
        <w:t>to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Cowen’s outside counsel for filings with the FINRA Corporate Financing Department which shall not exceed $15,000 and, (viii) the reasonable fees and disbursements of Cowen’s counsel (including any such disbursements pursuant to clause (vii)) in an amount not to exceed $75,000.</w:t>
      </w:r>
    </w:p>
    <w:p>
      <w:pPr>
        <w:spacing w:after="0" w:line="181" w:lineRule="exact"/>
        <w:rPr>
          <w:sz w:val="20"/>
          <w:szCs w:val="20"/>
          <w:color w:val="auto"/>
        </w:rPr>
      </w:pPr>
    </w:p>
    <w:p>
      <w:pPr>
        <w:ind w:firstLine="656"/>
        <w:spacing w:after="0" w:line="271" w:lineRule="auto"/>
        <w:tabs>
          <w:tab w:leader="none" w:pos="130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will use the Net Proceeds as described in the Prospectus in the section entitled “Use of Proceeds.”</w:t>
      </w:r>
    </w:p>
    <w:p>
      <w:pPr>
        <w:spacing w:after="0" w:line="157" w:lineRule="exact"/>
        <w:rPr>
          <w:rFonts w:ascii="Times New Roman" w:cs="Times New Roman" w:eastAsia="Times New Roman" w:hAnsi="Times New Roman"/>
          <w:sz w:val="22"/>
          <w:szCs w:val="22"/>
          <w:color w:val="auto"/>
        </w:rPr>
      </w:pPr>
    </w:p>
    <w:p>
      <w:pPr>
        <w:jc w:val="both"/>
        <w:ind w:firstLine="656"/>
        <w:spacing w:after="0" w:line="248" w:lineRule="auto"/>
        <w:tabs>
          <w:tab w:leader="none" w:pos="131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Other Sales</w:t>
      </w:r>
      <w:r>
        <w:rPr>
          <w:rFonts w:ascii="Times New Roman" w:cs="Times New Roman" w:eastAsia="Times New Roman" w:hAnsi="Times New Roman"/>
          <w:sz w:val="22"/>
          <w:szCs w:val="22"/>
          <w:color w:val="auto"/>
        </w:rPr>
        <w:t xml:space="preserve">. During the pendency of any Placement Notice given hereunder, and for 5 trading days following the termination of any Placement Notice given hereunder, the Company shall provide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notice shall not be required in connection with the (i) issuance, grant or sale of Common Stock, options to purchase shares of Common Stock or Common Stock issuable upon the exercise of options or other equity awards pursuant to any stock option, stock bonus or other stock plan or arrangement described in the Prospectus,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Cowen in advance or (iv) any shares of common stock issuable upon the exchange, conversion or redemption of securities or the exercise of warrants, options or other rights in effect or outstanding.</w:t>
      </w:r>
    </w:p>
    <w:p>
      <w:pPr>
        <w:spacing w:after="0" w:line="19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8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Circumstances</w:t>
      </w:r>
      <w:r>
        <w:rPr>
          <w:rFonts w:ascii="Times New Roman" w:cs="Times New Roman" w:eastAsia="Times New Roman" w:hAnsi="Times New Roman"/>
          <w:sz w:val="22"/>
          <w:szCs w:val="22"/>
          <w:color w:val="auto"/>
        </w:rPr>
        <w:t>. The Company will, at any time during a fiscal quarter in which the Company intends to tender a Placement Notice or sell Placement Shares, advise Cowen promptly after it shall have received notice or obtained knowledge thereof, of any information or fact that would alter or affect in any material respect any opinion, certificate, letter or other document provided to Cowen pursuant to this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 Cooperation</w:t>
      </w:r>
      <w:r>
        <w:rPr>
          <w:rFonts w:ascii="Times New Roman" w:cs="Times New Roman" w:eastAsia="Times New Roman" w:hAnsi="Times New Roman"/>
          <w:sz w:val="22"/>
          <w:szCs w:val="22"/>
          <w:color w:val="auto"/>
        </w:rPr>
        <w:t>. The Company will cooperate with any reasonable due diligence review conducted by Cowen or its agents in connection with the transactions contemplated hereby, including, without limitation, providing information and making available documents and senior corporate officers, during regular business hours and at the Company’s principal offices, as Cowen may reasonably request.</w:t>
      </w:r>
    </w:p>
    <w:p>
      <w:pPr>
        <w:spacing w:after="0" w:line="176" w:lineRule="exact"/>
        <w:rPr>
          <w:rFonts w:ascii="Times New Roman" w:cs="Times New Roman" w:eastAsia="Times New Roman" w:hAnsi="Times New Roman"/>
          <w:sz w:val="22"/>
          <w:szCs w:val="22"/>
          <w:color w:val="auto"/>
        </w:rPr>
      </w:pPr>
    </w:p>
    <w:p>
      <w:pPr>
        <w:jc w:val="both"/>
        <w:ind w:firstLine="656"/>
        <w:spacing w:after="0" w:line="251" w:lineRule="auto"/>
        <w:tabs>
          <w:tab w:leader="none" w:pos="131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Filings Relating to Placement of Placement Shares</w:t>
      </w:r>
      <w:r>
        <w:rPr>
          <w:rFonts w:ascii="Times New Roman" w:cs="Times New Roman" w:eastAsia="Times New Roman" w:hAnsi="Times New Roman"/>
          <w:sz w:val="22"/>
          <w:szCs w:val="22"/>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 w:cs="Times New Roman" w:eastAsia="Times New Roman" w:hAnsi="Times New Roman"/>
          <w:sz w:val="22"/>
          <w:szCs w:val="22"/>
          <w:b w:val="1"/>
          <w:bCs w:val="1"/>
          <w:u w:val="single" w:color="auto"/>
          <w:color w:val="auto"/>
        </w:rPr>
        <w:t>Filing Date</w:t>
      </w:r>
      <w:r>
        <w:rPr>
          <w:rFonts w:ascii="Times New Roman" w:cs="Times New Roman" w:eastAsia="Times New Roman" w:hAnsi="Times New Roman"/>
          <w:sz w:val="22"/>
          <w:szCs w:val="22"/>
          <w:color w:val="auto"/>
        </w:rPr>
        <w: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Cowen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165" w:right="339" w:bottom="1440" w:gutter="0" w:footer="0" w:header="0"/>
        </w:sectPr>
      </w:pPr>
    </w:p>
    <w:bookmarkStart w:id="22" w:name="page23"/>
    <w:bookmarkEnd w:id="22"/>
    <w:p>
      <w:pPr>
        <w:jc w:val="both"/>
        <w:spacing w:after="0" w:line="252" w:lineRule="auto"/>
        <w:rPr>
          <w:sz w:val="20"/>
          <w:szCs w:val="20"/>
          <w:color w:val="auto"/>
        </w:rPr>
      </w:pPr>
      <w:r>
        <w:rPr>
          <w:rFonts w:ascii="Times New Roman" w:cs="Times New Roman" w:eastAsia="Times New Roman" w:hAnsi="Times New Roman"/>
          <w:sz w:val="22"/>
          <w:szCs w:val="22"/>
          <w:color w:val="auto"/>
        </w:rPr>
        <w:t>Agreement, and the gross proceeds and Net Proceeds to the Company from the sale of the Placement Shares and the compensation paid by the Company with respect to sales of the Placement Shares pursuant to this Agreement during the relevant quarter or, in the case of an Annual Report on Form 10-K, during the fiscal year covered by such Annual Report and the fourth quarter of such fiscal year.</w:t>
      </w:r>
    </w:p>
    <w:p>
      <w:pPr>
        <w:spacing w:after="0" w:line="193" w:lineRule="exact"/>
        <w:rPr>
          <w:sz w:val="20"/>
          <w:szCs w:val="20"/>
          <w:color w:val="auto"/>
        </w:rPr>
      </w:pPr>
    </w:p>
    <w:p>
      <w:pPr>
        <w:jc w:val="both"/>
        <w:ind w:firstLine="656"/>
        <w:spacing w:after="0" w:line="247" w:lineRule="auto"/>
        <w:tabs>
          <w:tab w:leader="none" w:pos="129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Bring-Down Dates; Certificate</w:t>
      </w:r>
      <w:r>
        <w:rPr>
          <w:rFonts w:ascii="Times New Roman" w:cs="Times New Roman" w:eastAsia="Times New Roman" w:hAnsi="Times New Roman"/>
          <w:sz w:val="22"/>
          <w:szCs w:val="22"/>
          <w:color w:val="auto"/>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an earnings release) under the Exchange Act (each date of filing of one or more of the documents referred to in clauses (i) through (iv) shall be 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Bring-Down Date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shall furnish Cowen with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xml:space="preserve"> within three (3) Trading Days of any Bring-Down Date if requested by Cowen. The requirement to provide a certificate under this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shall be automatically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Notwithstanding the foregoing, if the Company subsequently decides to sell Placement Shares following a Bring-Down Date when the Company relied on such waiver and did not provide Cowen with a certificate under this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then before the Company delivers the Placement Notice or Cowen sells any Placement Shares, the Company shall provide Cowen with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dated the date of the Placement Notice.</w:t>
      </w:r>
    </w:p>
    <w:p>
      <w:pPr>
        <w:spacing w:after="0" w:line="190" w:lineRule="exact"/>
        <w:rPr>
          <w:rFonts w:ascii="Times New Roman" w:cs="Times New Roman" w:eastAsia="Times New Roman" w:hAnsi="Times New Roman"/>
          <w:sz w:val="22"/>
          <w:szCs w:val="22"/>
          <w:color w:val="auto"/>
        </w:rPr>
      </w:pPr>
    </w:p>
    <w:p>
      <w:pPr>
        <w:jc w:val="both"/>
        <w:ind w:firstLine="656"/>
        <w:spacing w:after="0" w:line="260" w:lineRule="auto"/>
        <w:tabs>
          <w:tab w:leader="none" w:pos="129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Opinion</w:t>
      </w:r>
      <w:r>
        <w:rPr>
          <w:rFonts w:ascii="Times New Roman" w:cs="Times New Roman" w:eastAsia="Times New Roman" w:hAnsi="Times New Roman"/>
          <w:sz w:val="21"/>
          <w:szCs w:val="21"/>
          <w:color w:val="auto"/>
        </w:rPr>
        <w:t xml:space="preserve">. On or prior to the First Delivery Date and within three (3) Trading Days of each Bring-Down Date with respect to which the Company is obligated to deliver a certificate in the form attached hereto as </w:t>
      </w:r>
      <w:r>
        <w:rPr>
          <w:rFonts w:ascii="Times New Roman" w:cs="Times New Roman" w:eastAsia="Times New Roman" w:hAnsi="Times New Roman"/>
          <w:sz w:val="21"/>
          <w:szCs w:val="21"/>
          <w:u w:val="single" w:color="auto"/>
          <w:color w:val="auto"/>
        </w:rPr>
        <w:t>Exhibit 7(m)</w:t>
      </w:r>
      <w:r>
        <w:rPr>
          <w:rFonts w:ascii="Times New Roman" w:cs="Times New Roman" w:eastAsia="Times New Roman" w:hAnsi="Times New Roman"/>
          <w:sz w:val="21"/>
          <w:szCs w:val="21"/>
          <w:color w:val="auto"/>
        </w:rPr>
        <w:t xml:space="preserve"> for which no waiver is applicable, the Company shall cause to be furnished to Cowen a written opinion of Mintz, Levin, Cohn, Ferris, Glovsky and Popeo, P.C. (“</w:t>
      </w:r>
      <w:r>
        <w:rPr>
          <w:rFonts w:ascii="Times New Roman" w:cs="Times New Roman" w:eastAsia="Times New Roman" w:hAnsi="Times New Roman"/>
          <w:sz w:val="21"/>
          <w:szCs w:val="21"/>
          <w:u w:val="single" w:color="auto"/>
          <w:color w:val="auto"/>
        </w:rPr>
        <w:t>Company Counsel</w:t>
      </w:r>
      <w:r>
        <w:rPr>
          <w:rFonts w:ascii="Times New Roman" w:cs="Times New Roman" w:eastAsia="Times New Roman" w:hAnsi="Times New Roman"/>
          <w:sz w:val="21"/>
          <w:szCs w:val="21"/>
          <w:color w:val="auto"/>
        </w:rPr>
        <w:t xml:space="preserve">”), or other counsel satisfactory to Cowen, in form and substance satisfactory to Cowen and its counsel, dated the date that the opinion is required to be delivered, substantially similar to the form attached hereto as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7(n)(i)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Exhibit 7(n)(ii)</w:t>
      </w:r>
      <w:r>
        <w:rPr>
          <w:rFonts w:ascii="Times New Roman" w:cs="Times New Roman" w:eastAsia="Times New Roman" w:hAnsi="Times New Roman"/>
          <w:sz w:val="21"/>
          <w:szCs w:val="21"/>
          <w:color w:val="auto"/>
        </w:rPr>
        <w:t xml:space="preserve">, respectively, modified, as necessary, to relate to the Registration Statement and the Prospectus as then amended or supplemented;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lieu of such opinions for subsequent Bring-Down Dates, counsel may furnish Cowen with a letter (a “</w:t>
      </w:r>
      <w:r>
        <w:rPr>
          <w:rFonts w:ascii="Times New Roman" w:cs="Times New Roman" w:eastAsia="Times New Roman" w:hAnsi="Times New Roman"/>
          <w:sz w:val="21"/>
          <w:szCs w:val="21"/>
          <w:b w:val="1"/>
          <w:bCs w:val="1"/>
          <w:u w:val="single" w:color="auto"/>
          <w:color w:val="auto"/>
        </w:rPr>
        <w:t>Reliance Letter</w:t>
      </w:r>
      <w:r>
        <w:rPr>
          <w:rFonts w:ascii="Times New Roman" w:cs="Times New Roman" w:eastAsia="Times New Roman" w:hAnsi="Times New Roman"/>
          <w:sz w:val="21"/>
          <w:szCs w:val="21"/>
          <w:color w:val="auto"/>
        </w:rPr>
        <w:t xml:space="preserve">”) to the effect that Cowen may rely on a prior opinion delivered under this </w:t>
      </w:r>
      <w:r>
        <w:rPr>
          <w:rFonts w:ascii="Times New Roman" w:cs="Times New Roman" w:eastAsia="Times New Roman" w:hAnsi="Times New Roman"/>
          <w:sz w:val="21"/>
          <w:szCs w:val="21"/>
          <w:u w:val="single" w:color="auto"/>
          <w:color w:val="auto"/>
        </w:rPr>
        <w:t>Section 7(n)</w:t>
      </w:r>
      <w:r>
        <w:rPr>
          <w:rFonts w:ascii="Times New Roman" w:cs="Times New Roman" w:eastAsia="Times New Roman" w:hAnsi="Times New Roman"/>
          <w:sz w:val="21"/>
          <w:szCs w:val="21"/>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191" w:lineRule="exact"/>
        <w:rPr>
          <w:rFonts w:ascii="Times New Roman" w:cs="Times New Roman" w:eastAsia="Times New Roman" w:hAnsi="Times New Roman"/>
          <w:sz w:val="21"/>
          <w:szCs w:val="21"/>
          <w:color w:val="auto"/>
        </w:rPr>
      </w:pPr>
    </w:p>
    <w:p>
      <w:pPr>
        <w:jc w:val="both"/>
        <w:ind w:firstLine="656"/>
        <w:spacing w:after="0" w:line="257" w:lineRule="auto"/>
        <w:tabs>
          <w:tab w:leader="none" w:pos="129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On or prior to the First Delivery Date and within three (3) Trading Days of each Bring-Down Date with respect to which the Company is obligated to deliver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xml:space="preserve"> for which no waiver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165" w:right="339" w:bottom="1440" w:gutter="0" w:footer="0" w:header="0"/>
        </w:sectPr>
      </w:pPr>
    </w:p>
    <w:bookmarkStart w:id="23" w:name="page24"/>
    <w:bookmarkEnd w:id="23"/>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applicable, the Company shall cause its independent accountants to furnish Cowen letters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Comfort Letters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dated the date the Comfort Letter is delivered, in form and substance satisfactory to Cowen,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Cowen in connection with registered public offerings (the first such letter,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Initial Comfort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Letter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and (iii) updating the Initial Comfort Letter with any information that would have been included in the Initial Comfort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Letter had it been given on such date and modified as necessary to relate to the Registration Statement and the Prospectus, as amended and supplemented to the date of such letter.</w:t>
      </w:r>
    </w:p>
    <w:p>
      <w:pPr>
        <w:spacing w:after="0" w:line="186" w:lineRule="exact"/>
        <w:rPr>
          <w:sz w:val="20"/>
          <w:szCs w:val="20"/>
          <w:color w:val="auto"/>
        </w:rPr>
      </w:pPr>
    </w:p>
    <w:p>
      <w:pPr>
        <w:jc w:val="both"/>
        <w:ind w:firstLine="656"/>
        <w:spacing w:after="0" w:line="251"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Activities</w:t>
      </w:r>
      <w:r>
        <w:rPr>
          <w:rFonts w:ascii="Times New Roman" w:cs="Times New Roman" w:eastAsia="Times New Roman" w:hAnsi="Times New Roman"/>
          <w:sz w:val="22"/>
          <w:szCs w:val="22"/>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Cowen; provided, however, that the Company may bid for and purchase shares of its common stock in accordance with Rule 10b-18 under the Exchange Act.</w:t>
      </w:r>
    </w:p>
    <w:p>
      <w:pPr>
        <w:spacing w:after="0" w:line="181" w:lineRule="exact"/>
        <w:rPr>
          <w:rFonts w:ascii="Times New Roman" w:cs="Times New Roman" w:eastAsia="Times New Roman" w:hAnsi="Times New Roman"/>
          <w:sz w:val="22"/>
          <w:szCs w:val="22"/>
          <w:color w:val="auto"/>
        </w:rPr>
      </w:pPr>
    </w:p>
    <w:p>
      <w:pPr>
        <w:ind w:firstLine="656"/>
        <w:spacing w:after="0" w:line="284"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its subsidiaries shall maintain, or cause to be maintained, insurance in such amounts and covering such risks as is reasonable and customary for the business for which it is engaged.</w:t>
      </w:r>
    </w:p>
    <w:p>
      <w:pPr>
        <w:spacing w:after="0" w:line="143" w:lineRule="exact"/>
        <w:rPr>
          <w:rFonts w:ascii="Times New Roman" w:cs="Times New Roman" w:eastAsia="Times New Roman" w:hAnsi="Times New Roman"/>
          <w:sz w:val="22"/>
          <w:szCs w:val="22"/>
          <w:color w:val="auto"/>
        </w:rPr>
      </w:pPr>
    </w:p>
    <w:p>
      <w:pPr>
        <w:jc w:val="both"/>
        <w:ind w:firstLine="656"/>
        <w:spacing w:after="0" w:line="251" w:lineRule="auto"/>
        <w:tabs>
          <w:tab w:leader="none" w:pos="130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92"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and Exchange Act</w:t>
      </w:r>
      <w:r>
        <w:rPr>
          <w:rFonts w:ascii="Times New Roman" w:cs="Times New Roman" w:eastAsia="Times New Roman" w:hAnsi="Times New Roman"/>
          <w:sz w:val="22"/>
          <w:szCs w:val="22"/>
          <w:color w:val="auto"/>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Offer to Sell</w:t>
      </w:r>
      <w:r>
        <w:rPr>
          <w:rFonts w:ascii="Times New Roman" w:cs="Times New Roman" w:eastAsia="Times New Roman" w:hAnsi="Times New Roman"/>
          <w:sz w:val="22"/>
          <w:szCs w:val="22"/>
          <w:color w:val="auto"/>
        </w:rPr>
        <w:t>. Other than a Permitted Free Writing Prospectus, neither Cowen nor the Company (including its agents and representatives, other than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161" w:right="339" w:bottom="1440" w:gutter="0" w:footer="0" w:header="0"/>
        </w:sectPr>
      </w:pPr>
    </w:p>
    <w:bookmarkStart w:id="24" w:name="page25"/>
    <w:bookmarkEnd w:id="24"/>
    <w:p>
      <w:pPr>
        <w:ind w:right="20" w:firstLine="656"/>
        <w:spacing w:after="0" w:line="271" w:lineRule="auto"/>
        <w:tabs>
          <w:tab w:leader="none" w:pos="131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The Company and its subsidiaries will use their best efforts to comply with all effective applicable provisions of the Sarbanes-Oxley Act.</w:t>
      </w:r>
    </w:p>
    <w:p>
      <w:pPr>
        <w:spacing w:after="0" w:line="157" w:lineRule="exact"/>
        <w:rPr>
          <w:rFonts w:ascii="Times New Roman" w:cs="Times New Roman" w:eastAsia="Times New Roman" w:hAnsi="Times New Roman"/>
          <w:sz w:val="22"/>
          <w:szCs w:val="22"/>
          <w:color w:val="auto"/>
        </w:rPr>
      </w:pPr>
    </w:p>
    <w:p>
      <w:pPr>
        <w:jc w:val="both"/>
        <w:ind w:firstLine="656"/>
        <w:spacing w:after="0" w:line="265" w:lineRule="auto"/>
        <w:tabs>
          <w:tab w:leader="none" w:pos="128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Affirmation</w:t>
      </w:r>
      <w:r>
        <w:rPr>
          <w:rFonts w:ascii="Times New Roman" w:cs="Times New Roman" w:eastAsia="Times New Roman" w:hAnsi="Times New Roman"/>
          <w:sz w:val="21"/>
          <w:szCs w:val="21"/>
          <w:color w:val="auto"/>
        </w:rPr>
        <w:t>. Each Placement Notice delivered by the Company to Cowen shall be deemed to be (i) an affirmation that the representations, warranties and agreements of the Company herein contained and contained in any certificate delivered to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64" w:lineRule="exact"/>
        <w:rPr>
          <w:rFonts w:ascii="Times New Roman" w:cs="Times New Roman" w:eastAsia="Times New Roman" w:hAnsi="Times New Roman"/>
          <w:sz w:val="21"/>
          <w:szCs w:val="21"/>
          <w:color w:val="auto"/>
        </w:rPr>
      </w:pPr>
    </w:p>
    <w:p>
      <w:pPr>
        <w:jc w:val="both"/>
        <w:ind w:firstLine="656"/>
        <w:spacing w:after="0" w:line="265" w:lineRule="auto"/>
        <w:tabs>
          <w:tab w:leader="none" w:pos="1291"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Renewal</w:t>
      </w:r>
      <w:r>
        <w:rPr>
          <w:rFonts w:ascii="Times New Roman" w:cs="Times New Roman" w:eastAsia="Times New Roman" w:hAnsi="Times New Roman"/>
          <w:sz w:val="21"/>
          <w:szCs w:val="21"/>
          <w:color w:val="auto"/>
        </w:rPr>
        <w:t>. If immediately prior to the third anniversary (the “</w:t>
      </w:r>
      <w:r>
        <w:rPr>
          <w:rFonts w:ascii="Times New Roman" w:cs="Times New Roman" w:eastAsia="Times New Roman" w:hAnsi="Times New Roman"/>
          <w:sz w:val="21"/>
          <w:szCs w:val="21"/>
          <w:b w:val="1"/>
          <w:bCs w:val="1"/>
          <w:u w:val="single" w:color="auto"/>
          <w:color w:val="auto"/>
        </w:rPr>
        <w:t>Renewal Deadline</w:t>
      </w:r>
      <w:r>
        <w:rPr>
          <w:rFonts w:ascii="Times New Roman" w:cs="Times New Roman" w:eastAsia="Times New Roman" w:hAnsi="Times New Roman"/>
          <w:sz w:val="21"/>
          <w:szCs w:val="21"/>
          <w:color w:val="auto"/>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Cowen,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200" w:lineRule="exact"/>
        <w:rPr>
          <w:sz w:val="20"/>
          <w:szCs w:val="20"/>
          <w:color w:val="auto"/>
        </w:rPr>
      </w:pPr>
    </w:p>
    <w:p>
      <w:pPr>
        <w:spacing w:after="0" w:line="209" w:lineRule="exact"/>
        <w:rPr>
          <w:sz w:val="20"/>
          <w:szCs w:val="20"/>
          <w:color w:val="auto"/>
        </w:rPr>
      </w:pPr>
    </w:p>
    <w:p>
      <w:pPr>
        <w:jc w:val="both"/>
        <w:ind w:firstLine="656"/>
        <w:spacing w:after="0" w:line="253" w:lineRule="auto"/>
        <w:tabs>
          <w:tab w:leader="none" w:pos="130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Cowen’s Obligations</w:t>
      </w:r>
      <w:r>
        <w:rPr>
          <w:rFonts w:ascii="Times New Roman" w:cs="Times New Roman" w:eastAsia="Times New Roman" w:hAnsi="Times New Roman"/>
          <w:sz w:val="22"/>
          <w:szCs w:val="22"/>
          <w:color w:val="auto"/>
        </w:rPr>
        <w:t>. The obligations of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Cowen of a due diligence review satisfactory to Cowen in its reasonable judgment, and to the continuing satisfaction (or waiver by Cowen in its sole discretion) of the following additional conditions:</w:t>
      </w:r>
    </w:p>
    <w:p>
      <w:pPr>
        <w:spacing w:after="0" w:line="179" w:lineRule="exact"/>
        <w:rPr>
          <w:sz w:val="20"/>
          <w:szCs w:val="20"/>
          <w:color w:val="auto"/>
        </w:rPr>
      </w:pPr>
    </w:p>
    <w:p>
      <w:pPr>
        <w:jc w:val="both"/>
        <w:ind w:firstLine="656"/>
        <w:spacing w:after="0" w:line="257" w:lineRule="auto"/>
        <w:tabs>
          <w:tab w:leader="none" w:pos="130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Effective</w:t>
      </w:r>
      <w:r>
        <w:rPr>
          <w:rFonts w:ascii="Times New Roman" w:cs="Times New Roman" w:eastAsia="Times New Roman" w:hAnsi="Times New Roman"/>
          <w:sz w:val="22"/>
          <w:szCs w:val="22"/>
          <w:color w:val="auto"/>
        </w:rPr>
        <w:t>. The Registration Statement shall be effective and shall be available for (i) all sales of Placement Shares issued pursuant to all prior Placement Notices and (ii) the sale of all Placement Shares contemplated to be issued pursuant to any Placement Notice.</w:t>
      </w:r>
    </w:p>
    <w:p>
      <w:pPr>
        <w:spacing w:after="0" w:line="172" w:lineRule="exact"/>
        <w:rPr>
          <w:rFonts w:ascii="Times New Roman" w:cs="Times New Roman" w:eastAsia="Times New Roman" w:hAnsi="Times New Roman"/>
          <w:sz w:val="22"/>
          <w:szCs w:val="22"/>
          <w:color w:val="auto"/>
        </w:rPr>
      </w:pPr>
    </w:p>
    <w:p>
      <w:pPr>
        <w:jc w:val="both"/>
        <w:ind w:firstLine="656"/>
        <w:spacing w:after="0" w:line="250" w:lineRule="auto"/>
        <w:tabs>
          <w:tab w:leader="none" w:pos="131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Notices</w:t>
      </w:r>
      <w:r>
        <w:rPr>
          <w:rFonts w:ascii="Times New Roman" w:cs="Times New Roman" w:eastAsia="Times New Roman" w:hAnsi="Times New Roman"/>
          <w:sz w:val="22"/>
          <w:szCs w:val="22"/>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165" w:right="339" w:bottom="1440" w:gutter="0" w:footer="0" w:header="0"/>
        </w:sectPr>
      </w:pPr>
    </w:p>
    <w:bookmarkStart w:id="25" w:name="page26"/>
    <w:bookmarkEnd w:id="25"/>
    <w:p>
      <w:pPr>
        <w:jc w:val="both"/>
        <w:ind w:firstLine="8"/>
        <w:spacing w:after="0" w:line="263" w:lineRule="auto"/>
        <w:tabs>
          <w:tab w:leader="none" w:pos="37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72" w:lineRule="exact"/>
        <w:rPr>
          <w:rFonts w:ascii="Times New Roman" w:cs="Times New Roman" w:eastAsia="Times New Roman" w:hAnsi="Times New Roman"/>
          <w:sz w:val="21"/>
          <w:szCs w:val="21"/>
          <w:color w:val="auto"/>
        </w:rPr>
      </w:pPr>
    </w:p>
    <w:p>
      <w:pPr>
        <w:jc w:val="both"/>
        <w:ind w:firstLine="656"/>
        <w:spacing w:after="0" w:line="256" w:lineRule="auto"/>
        <w:tabs>
          <w:tab w:leader="none" w:pos="1347"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Cowen shall not have advised the Company that the Registration Statement or Prospectus, or any amendment or supplement thereto, contains an untrue statement of fact that in Cowen’s reasonable opinion is material, or omits to state a fact that in Cowen’s opinion is material and is required to be stated therein or is necessary to make the statements therein not misleading.</w:t>
      </w:r>
    </w:p>
    <w:p>
      <w:pPr>
        <w:spacing w:after="0" w:line="176"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Changes</w:t>
      </w:r>
      <w:r>
        <w:rPr>
          <w:rFonts w:ascii="Times New Roman" w:cs="Times New Roman" w:eastAsia="Times New Roman" w:hAnsi="Times New Roman"/>
          <w:sz w:val="22"/>
          <w:szCs w:val="22"/>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98" w:lineRule="exact"/>
        <w:rPr>
          <w:rFonts w:ascii="Times New Roman" w:cs="Times New Roman" w:eastAsia="Times New Roman" w:hAnsi="Times New Roman"/>
          <w:sz w:val="22"/>
          <w:szCs w:val="22"/>
          <w:color w:val="auto"/>
        </w:rPr>
      </w:pPr>
    </w:p>
    <w:p>
      <w:pPr>
        <w:jc w:val="both"/>
        <w:ind w:firstLine="656"/>
        <w:spacing w:after="0" w:line="257" w:lineRule="auto"/>
        <w:tabs>
          <w:tab w:leader="none" w:pos="130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Counsel Legal Opinion</w:t>
      </w:r>
      <w:r>
        <w:rPr>
          <w:rFonts w:ascii="Times New Roman" w:cs="Times New Roman" w:eastAsia="Times New Roman" w:hAnsi="Times New Roman"/>
          <w:sz w:val="22"/>
          <w:szCs w:val="22"/>
          <w:color w:val="auto"/>
        </w:rPr>
        <w:t xml:space="preserve">. Cowen shall have received the opinions of Company Counsel required to be delivered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on or before the date on which such delivery of such opinion is required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7(n)</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323"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Cowen Counsel Legal Opinion</w:t>
      </w:r>
      <w:r>
        <w:rPr>
          <w:rFonts w:ascii="Times New Roman" w:cs="Times New Roman" w:eastAsia="Times New Roman" w:hAnsi="Times New Roman"/>
          <w:sz w:val="22"/>
          <w:szCs w:val="22"/>
          <w:color w:val="auto"/>
        </w:rPr>
        <w:t xml:space="preserve">. Cowen shall have received from Duane Morris LLP, counsel for Cowen, such opinion or opinions, on or before the date on which the delivery of the Company Counsel legal opinion is required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with respect to such matters as Cowen may reasonably require, and the Company shall have furnished to such counsel such documents as they request for enabling them to pass upon such matters.</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Cowen shall have received the Comfort Letter required to be delivered pursuant to </w:t>
      </w:r>
      <w:r>
        <w:rPr>
          <w:rFonts w:ascii="Times New Roman" w:cs="Times New Roman" w:eastAsia="Times New Roman" w:hAnsi="Times New Roman"/>
          <w:sz w:val="22"/>
          <w:szCs w:val="22"/>
          <w:u w:val="single" w:color="auto"/>
          <w:color w:val="auto"/>
        </w:rPr>
        <w:t>Section 7(o)</w:t>
      </w:r>
      <w:r>
        <w:rPr>
          <w:rFonts w:ascii="Times New Roman" w:cs="Times New Roman" w:eastAsia="Times New Roman" w:hAnsi="Times New Roman"/>
          <w:sz w:val="22"/>
          <w:szCs w:val="22"/>
          <w:color w:val="auto"/>
        </w:rPr>
        <w:t xml:space="preserve"> on or before the date on which such delivery of such Comfort Letter is required pursuant to </w:t>
      </w:r>
      <w:r>
        <w:rPr>
          <w:rFonts w:ascii="Times New Roman" w:cs="Times New Roman" w:eastAsia="Times New Roman" w:hAnsi="Times New Roman"/>
          <w:sz w:val="22"/>
          <w:szCs w:val="22"/>
          <w:u w:val="single" w:color="auto"/>
          <w:color w:val="auto"/>
        </w:rPr>
        <w:t>Section 7(o)</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345"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Certificate</w:t>
      </w:r>
      <w:r>
        <w:rPr>
          <w:rFonts w:ascii="Times New Roman" w:cs="Times New Roman" w:eastAsia="Times New Roman" w:hAnsi="Times New Roman"/>
          <w:sz w:val="22"/>
          <w:szCs w:val="22"/>
          <w:color w:val="auto"/>
        </w:rPr>
        <w:t xml:space="preserve">. Cowen shall have received the certificate required to be delivered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165" w:right="339" w:bottom="1440" w:gutter="0" w:footer="0" w:header="0"/>
        </w:sectPr>
      </w:pPr>
    </w:p>
    <w:bookmarkStart w:id="26" w:name="page27"/>
    <w:bookmarkEnd w:id="26"/>
    <w:p>
      <w:pPr>
        <w:ind w:firstLine="656"/>
        <w:spacing w:after="0" w:line="271" w:lineRule="auto"/>
        <w:tabs>
          <w:tab w:leader="none" w:pos="129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color w:val="auto"/>
        </w:rPr>
        <w:t>. On or prior to the First Delivery Date, Cowen shall have received a certificate, signed on behalf of the Company by its corporate secretary, in form and substance satisfactory to Cowen and its counsel.</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Suspension</w:t>
      </w:r>
      <w:r>
        <w:rPr>
          <w:rFonts w:ascii="Times New Roman" w:cs="Times New Roman" w:eastAsia="Times New Roman" w:hAnsi="Times New Roman"/>
          <w:sz w:val="22"/>
          <w:szCs w:val="22"/>
          <w:color w:val="auto"/>
        </w:rPr>
        <w:t>. Trading in the Common Stock shall not have been suspended on Nasdaq.</w:t>
      </w:r>
    </w:p>
    <w:p>
      <w:pPr>
        <w:spacing w:after="0" w:line="21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Materials</w:t>
      </w:r>
      <w:r>
        <w:rPr>
          <w:rFonts w:ascii="Times New Roman" w:cs="Times New Roman" w:eastAsia="Times New Roman" w:hAnsi="Times New Roman"/>
          <w:sz w:val="22"/>
          <w:szCs w:val="22"/>
          <w:color w:val="auto"/>
        </w:rPr>
        <w:t xml:space="preserve">. On each date on which the Company is required to deliver a certificate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the Company shall have furnished to Cowen such appropriate further information, certificates and documents as Cowen may have reasonably requested. All such opinions, certificates, letters and other documents shall have been in compliance with the provisions hereof. The Company will furnish Cowen with such conformed copies of such opinions, certificates, letters and other documents as Cowen shall have reasonably requested.</w:t>
      </w:r>
    </w:p>
    <w:p>
      <w:pPr>
        <w:spacing w:after="0" w:line="178"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Filings Made</w:t>
      </w:r>
      <w:r>
        <w:rPr>
          <w:rFonts w:ascii="Times New Roman" w:cs="Times New Roman" w:eastAsia="Times New Roman" w:hAnsi="Times New Roman"/>
          <w:sz w:val="22"/>
          <w:szCs w:val="22"/>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for Listing</w:t>
      </w:r>
      <w:r>
        <w:rPr>
          <w:rFonts w:ascii="Times New Roman" w:cs="Times New Roman" w:eastAsia="Times New Roman" w:hAnsi="Times New Roman"/>
          <w:sz w:val="22"/>
          <w:szCs w:val="22"/>
          <w:color w:val="auto"/>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spacing w:after="0" w:line="172" w:lineRule="exact"/>
        <w:rPr>
          <w:rFonts w:ascii="Times New Roman" w:cs="Times New Roman" w:eastAsia="Times New Roman" w:hAnsi="Times New Roman"/>
          <w:sz w:val="22"/>
          <w:szCs w:val="22"/>
          <w:color w:val="auto"/>
        </w:rPr>
      </w:pPr>
    </w:p>
    <w:p>
      <w:pPr>
        <w:ind w:firstLine="656"/>
        <w:spacing w:after="0" w:line="284" w:lineRule="auto"/>
        <w:tabs>
          <w:tab w:leader="none" w:pos="133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Termination Event</w:t>
      </w:r>
      <w:r>
        <w:rPr>
          <w:rFonts w:ascii="Times New Roman" w:cs="Times New Roman" w:eastAsia="Times New Roman" w:hAnsi="Times New Roman"/>
          <w:sz w:val="22"/>
          <w:szCs w:val="22"/>
          <w:color w:val="auto"/>
        </w:rPr>
        <w:t xml:space="preserve">. There shall not have occurred any event that would permit Cowen to terminate this Agreement pursuant to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Contribution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47" w:lineRule="auto"/>
        <w:tabs>
          <w:tab w:leader="none" w:pos="130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Indemnification</w:t>
      </w:r>
      <w:r>
        <w:rPr>
          <w:rFonts w:ascii="Times New Roman" w:cs="Times New Roman" w:eastAsia="Times New Roman" w:hAnsi="Times New Roman"/>
          <w:sz w:val="22"/>
          <w:szCs w:val="22"/>
          <w:color w:val="auto"/>
        </w:rPr>
        <w:t xml:space="preserve">. The Company agrees to indemnify and hold harmless Cowen, the directors, officers, partners, employees and agents of Cowen and each person, if any, who (i) controls Cowen within the meaning of Section 15 of the Securities Act or Section 20 of the Exchange Act, or (ii) is controlled by or is under common control with Cowen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of, any action, suit or proceeding between any of the indemnified parties and any indemnifying parties or between any indemnified party and any third party, or otherwise, or any claim asserted), as and when incurred, to which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165" w:right="339" w:bottom="1440" w:gutter="0" w:footer="0" w:header="0"/>
        </w:sectPr>
      </w:pPr>
    </w:p>
    <w:bookmarkStart w:id="27" w:name="page28"/>
    <w:bookmarkEnd w:id="27"/>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eighth paragraph under the caption “Plan of Distribution” in the Prospectus. This indemnity agreement will be in addition to any liability that the Company might otherwise have.</w:t>
      </w:r>
    </w:p>
    <w:p>
      <w:pPr>
        <w:spacing w:after="0" w:line="182" w:lineRule="exact"/>
        <w:rPr>
          <w:sz w:val="20"/>
          <w:szCs w:val="20"/>
          <w:color w:val="auto"/>
        </w:rPr>
      </w:pPr>
    </w:p>
    <w:p>
      <w:pPr>
        <w:jc w:val="both"/>
        <w:ind w:firstLine="656"/>
        <w:spacing w:after="0" w:line="250" w:lineRule="auto"/>
        <w:tabs>
          <w:tab w:leader="none" w:pos="130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Cowen Indemnification</w:t>
      </w:r>
      <w:r>
        <w:rPr>
          <w:rFonts w:ascii="Times New Roman" w:cs="Times New Roman" w:eastAsia="Times New Roman" w:hAnsi="Times New Roman"/>
          <w:sz w:val="22"/>
          <w:szCs w:val="22"/>
          <w:color w:val="auto"/>
        </w:rPr>
        <w:t xml:space="preserve">.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9(a)</w:t>
      </w:r>
      <w:r>
        <w:rPr>
          <w:rFonts w:ascii="Times New Roman" w:cs="Times New Roman" w:eastAsia="Times New Roman" w:hAnsi="Times New Roman"/>
          <w:sz w:val="22"/>
          <w:szCs w:val="22"/>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93"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xml:space="preserve">. Any party that proposes to assert the right to be indemnified under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and (ii) any liability that it may have to any indemnified party under the foregoing provision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165" w:right="339" w:bottom="1440" w:gutter="0" w:footer="0" w:header="0"/>
        </w:sectPr>
      </w:pPr>
    </w:p>
    <w:bookmarkStart w:id="28" w:name="page29"/>
    <w:bookmarkEnd w:id="28"/>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after the indemnifying party receives a written notice relating to fees, disbursements and other charges.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189" w:lineRule="exact"/>
        <w:rPr>
          <w:sz w:val="20"/>
          <w:szCs w:val="20"/>
          <w:color w:val="auto"/>
        </w:rPr>
      </w:pPr>
    </w:p>
    <w:p>
      <w:pPr>
        <w:jc w:val="both"/>
        <w:ind w:firstLine="656"/>
        <w:spacing w:after="0" w:line="259" w:lineRule="auto"/>
        <w:tabs>
          <w:tab w:leader="none" w:pos="129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Contribution</w:t>
      </w:r>
      <w:r>
        <w:rPr>
          <w:rFonts w:ascii="Times New Roman" w:cs="Times New Roman" w:eastAsia="Times New Roman" w:hAnsi="Times New Roman"/>
          <w:sz w:val="21"/>
          <w:szCs w:val="21"/>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is applicable in accordance with its terms but for any reason is held to be unavailable from the Company or Cowen, the Company and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Cowen, such as persons who control the Company within the meaning of the Securities Act, officers of the Company who signed the Registration Statement and directors of the Company, who also may be liable for contribution) to which the Company and Cowen may be subject in such proportion as shall be appropriate to reflect the relative benefits received by the Company on the one hand and Cowen on the other. The relative benefits received by the Company on the one hand and Cowen on the other hand shall be deemed to be in the same proportion as the total Net Proceeds from the sale of the Placement Shares (before deducting expenses) received by the Company bear to the total compensation received by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Cowen, the intent of the parties and their relative knowledge, access to information and opportunity to correct or prevent such statement or omission. The Company and Cowen agree that it would not be just and equitable if contributions pursuant to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were to be determined by pro rata allocation or by any other method of allocation that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165" w:right="339" w:bottom="1440" w:gutter="0" w:footer="0" w:header="0"/>
        </w:sectPr>
      </w:pPr>
    </w:p>
    <w:bookmarkStart w:id="29" w:name="page30"/>
    <w:bookmarkEnd w:id="29"/>
    <w:p>
      <w:pPr>
        <w:jc w:val="both"/>
        <w:ind w:firstLine="6"/>
        <w:spacing w:after="0" w:line="247" w:lineRule="auto"/>
        <w:rPr>
          <w:sz w:val="20"/>
          <w:szCs w:val="20"/>
          <w:color w:val="auto"/>
        </w:rPr>
      </w:pPr>
      <w:r>
        <w:rPr>
          <w:rFonts w:ascii="Times New Roman" w:cs="Times New Roman" w:eastAsia="Times New Roman" w:hAnsi="Times New Roman"/>
          <w:sz w:val="22"/>
          <w:szCs w:val="22"/>
          <w:color w:val="auto"/>
        </w:rPr>
        <w:t xml:space="preserve">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22"/>
          <w:szCs w:val="22"/>
          <w:u w:val="single" w:color="auto"/>
          <w:color w:val="auto"/>
        </w:rPr>
        <w:t>Section 9(d)</w:t>
      </w:r>
      <w:r>
        <w:rPr>
          <w:rFonts w:ascii="Times New Roman" w:cs="Times New Roman" w:eastAsia="Times New Roman" w:hAnsi="Times New Roman"/>
          <w:sz w:val="22"/>
          <w:szCs w:val="22"/>
          <w:color w:val="auto"/>
        </w:rPr>
        <w:t xml:space="preserve"> shall be deemed to include, for the purpose of this </w:t>
      </w:r>
      <w:r>
        <w:rPr>
          <w:rFonts w:ascii="Times New Roman" w:cs="Times New Roman" w:eastAsia="Times New Roman" w:hAnsi="Times New Roman"/>
          <w:sz w:val="22"/>
          <w:szCs w:val="22"/>
          <w:u w:val="single" w:color="auto"/>
          <w:color w:val="auto"/>
        </w:rPr>
        <w:t>Section 9(d)</w:t>
      </w:r>
      <w:r>
        <w:rPr>
          <w:rFonts w:ascii="Times New Roman" w:cs="Times New Roman" w:eastAsia="Times New Roman" w:hAnsi="Times New Roman"/>
          <w:sz w:val="22"/>
          <w:szCs w:val="22"/>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xml:space="preserve"> hereof. Notwithstanding the foregoing provisions of this </w:t>
      </w:r>
      <w:r>
        <w:rPr>
          <w:rFonts w:ascii="Times New Roman" w:cs="Times New Roman" w:eastAsia="Times New Roman" w:hAnsi="Times New Roman"/>
          <w:sz w:val="22"/>
          <w:szCs w:val="22"/>
          <w:u w:val="single" w:color="auto"/>
          <w:color w:val="auto"/>
        </w:rPr>
        <w:t>Section 9(d)</w:t>
      </w:r>
      <w:r>
        <w:rPr>
          <w:rFonts w:ascii="Times New Roman" w:cs="Times New Roman" w:eastAsia="Times New Roman" w:hAnsi="Times New Roman"/>
          <w:sz w:val="22"/>
          <w:szCs w:val="22"/>
          <w:color w:val="auto"/>
        </w:rPr>
        <w:t xml:space="preserve">,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22"/>
          <w:szCs w:val="22"/>
          <w:u w:val="single" w:color="auto"/>
          <w:color w:val="auto"/>
        </w:rPr>
        <w:t>Section 9(d)</w:t>
      </w:r>
      <w:r>
        <w:rPr>
          <w:rFonts w:ascii="Times New Roman" w:cs="Times New Roman" w:eastAsia="Times New Roman" w:hAnsi="Times New Roman"/>
          <w:sz w:val="22"/>
          <w:szCs w:val="22"/>
          <w:color w:val="auto"/>
        </w:rPr>
        <w:t xml:space="preserve">, any person who controls a party to this Agreement within the meaning of the Securities Act, and any officers, directors, partners, employees or agents of Cowen,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22"/>
          <w:szCs w:val="22"/>
          <w:u w:val="single" w:color="auto"/>
          <w:color w:val="auto"/>
        </w:rPr>
        <w:t>Section 9(d)</w:t>
      </w:r>
      <w:r>
        <w:rPr>
          <w:rFonts w:ascii="Times New Roman" w:cs="Times New Roman" w:eastAsia="Times New Roman" w:hAnsi="Times New Roman"/>
          <w:sz w:val="22"/>
          <w:szCs w:val="22"/>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22"/>
          <w:szCs w:val="22"/>
          <w:u w:val="single" w:color="auto"/>
          <w:color w:val="auto"/>
        </w:rPr>
        <w:t>Section 9(d)</w:t>
      </w:r>
      <w:r>
        <w:rPr>
          <w:rFonts w:ascii="Times New Roman" w:cs="Times New Roman" w:eastAsia="Times New Roman" w:hAnsi="Times New Roman"/>
          <w:sz w:val="22"/>
          <w:szCs w:val="22"/>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xml:space="preserve"> hereof.</w:t>
      </w:r>
    </w:p>
    <w:p>
      <w:pPr>
        <w:spacing w:after="0" w:line="187" w:lineRule="exact"/>
        <w:rPr>
          <w:sz w:val="20"/>
          <w:szCs w:val="20"/>
          <w:color w:val="auto"/>
        </w:rPr>
      </w:pPr>
    </w:p>
    <w:p>
      <w:pPr>
        <w:jc w:val="both"/>
        <w:ind w:firstLine="656"/>
        <w:spacing w:after="0" w:line="253" w:lineRule="auto"/>
        <w:tabs>
          <w:tab w:leader="none" w:pos="13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Agreements to Survive Delivery</w:t>
      </w:r>
      <w:r>
        <w:rPr>
          <w:rFonts w:ascii="Times New Roman" w:cs="Times New Roman" w:eastAsia="Times New Roman" w:hAnsi="Times New Roman"/>
          <w:sz w:val="22"/>
          <w:szCs w:val="22"/>
          <w:color w:val="auto"/>
        </w:rPr>
        <w:t xml:space="preserve">. The indemnity and contribution agreements contained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of this Agreement and all representations and warranties of the Company herein or in certificates delivered pursuant hereto shall survive, as of their respective dates, regardless of (i) any investigation made by or on behalf of Cowen, any controlling persons, or the Company (or any of their respective officers, directors or controlling persons), (ii) delivery and acceptance of the Placement Shares and payment therefor or (iii) any termination of this Agreement.</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p>
    <w:p>
      <w:pPr>
        <w:spacing w:after="0" w:line="220" w:lineRule="exact"/>
        <w:rPr>
          <w:sz w:val="20"/>
          <w:szCs w:val="20"/>
          <w:color w:val="auto"/>
        </w:rPr>
      </w:pPr>
    </w:p>
    <w:p>
      <w:pPr>
        <w:jc w:val="both"/>
        <w:ind w:firstLine="656"/>
        <w:spacing w:after="0" w:line="249" w:lineRule="auto"/>
        <w:tabs>
          <w:tab w:leader="none" w:pos="129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Cowen shall have the right by giving notice as hereinafter specified at any time to terminate this Agreement if (i) any Material Adverse Change, or any development that could reasonably be expected to result in a Material Adverse Change has occurred that, in the reasonable judgment of Cowen, may materially impair the ability of Cowen to sell the Placement Shares hereunder, (ii) the Company shall have failed, refused or been unable to perform any agreement on its part to be performed hereunder, (iii) any other condition of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(Expenses),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(Applicable Law; Consent to Jurisdiction)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(Waiver of Jury Trial) hereof shall remain in full force and effect notwithstanding such termination.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165" w:right="339" w:bottom="1440" w:gutter="0" w:footer="0" w:header="0"/>
        </w:sectPr>
      </w:pPr>
    </w:p>
    <w:bookmarkStart w:id="30" w:name="page31"/>
    <w:bookmarkEnd w:id="30"/>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Cowen elects to terminate this Agreement as provided in this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Cowen shall provide the required notice as specified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(Notices).</w:t>
      </w:r>
    </w:p>
    <w:p>
      <w:pPr>
        <w:spacing w:after="0" w:line="158" w:lineRule="exact"/>
        <w:rPr>
          <w:sz w:val="20"/>
          <w:szCs w:val="20"/>
          <w:color w:val="auto"/>
        </w:rPr>
      </w:pPr>
    </w:p>
    <w:p>
      <w:pPr>
        <w:jc w:val="both"/>
        <w:ind w:firstLine="656"/>
        <w:spacing w:after="0" w:line="256" w:lineRule="auto"/>
        <w:tabs>
          <w:tab w:leader="none" w:pos="131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hereof shall remain in full force and effect notwithstanding such termination.</w:t>
      </w:r>
    </w:p>
    <w:p>
      <w:pPr>
        <w:spacing w:after="0" w:line="17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hereof shall remain in full force and effect notwithstanding such termination.</w:t>
      </w:r>
    </w:p>
    <w:p>
      <w:pPr>
        <w:spacing w:after="0" w:line="192" w:lineRule="exact"/>
        <w:rPr>
          <w:rFonts w:ascii="Times New Roman" w:cs="Times New Roman" w:eastAsia="Times New Roman" w:hAnsi="Times New Roman"/>
          <w:sz w:val="22"/>
          <w:szCs w:val="22"/>
          <w:color w:val="auto"/>
        </w:rPr>
      </w:pPr>
    </w:p>
    <w:p>
      <w:pPr>
        <w:jc w:val="both"/>
        <w:ind w:firstLine="656"/>
        <w:spacing w:after="0" w:line="252" w:lineRule="auto"/>
        <w:tabs>
          <w:tab w:leader="none" w:pos="13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earlier terminated pursuant to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this Agreement shall automatically terminate upon the issuance and sale of all of the Placement Shares through Cowen on the terms and subject to the conditions set forth herein;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provisions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hereof shall remain in full force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notwithstanding such termination.</w:t>
      </w:r>
    </w:p>
    <w:p>
      <w:pPr>
        <w:spacing w:after="0" w:line="179" w:lineRule="exact"/>
        <w:rPr>
          <w:rFonts w:ascii="Times New Roman" w:cs="Times New Roman" w:eastAsia="Times New Roman" w:hAnsi="Times New Roman"/>
          <w:sz w:val="22"/>
          <w:szCs w:val="22"/>
          <w:color w:val="auto"/>
        </w:rPr>
      </w:pPr>
    </w:p>
    <w:p>
      <w:pPr>
        <w:jc w:val="both"/>
        <w:ind w:firstLine="656"/>
        <w:spacing w:after="0" w:line="256" w:lineRule="auto"/>
        <w:tabs>
          <w:tab w:leader="none" w:pos="130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remain in full force and effect unless terminated pursuant to </w:t>
      </w:r>
      <w:r>
        <w:rPr>
          <w:rFonts w:ascii="Times New Roman" w:cs="Times New Roman" w:eastAsia="Times New Roman" w:hAnsi="Times New Roman"/>
          <w:sz w:val="22"/>
          <w:szCs w:val="22"/>
          <w:u w:val="single" w:color="auto"/>
          <w:color w:val="auto"/>
        </w:rPr>
        <w:t>Sections 11(a)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 or (d)</w:t>
      </w:r>
      <w:r>
        <w:rPr>
          <w:rFonts w:ascii="Times New Roman" w:cs="Times New Roman" w:eastAsia="Times New Roman" w:hAnsi="Times New Roman"/>
          <w:sz w:val="22"/>
          <w:szCs w:val="22"/>
          <w:color w:val="auto"/>
        </w:rPr>
        <w:t xml:space="preserve"> above or otherwise by mutual agreement of the parties;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any such termination by mutual agreement shall in all cases be deemed to provide that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shall remain in full force and effect.</w:t>
      </w:r>
    </w:p>
    <w:p>
      <w:pPr>
        <w:spacing w:after="0" w:line="172"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termination of this Agreement shall be effective on the date specified in such notice of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such termination shall not be effective until the close of business on the date of receipt of such notice by Cowen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as the case may be. If such termination shall occur prior to the Settlement Date for any sale of Placement Shares, such Placement Shares shall settle in accordance with the provisions of this Agreement.</w:t>
      </w:r>
    </w:p>
    <w:p>
      <w:pPr>
        <w:spacing w:after="0" w:line="172" w:lineRule="exact"/>
        <w:rPr>
          <w:sz w:val="20"/>
          <w:szCs w:val="20"/>
          <w:color w:val="auto"/>
        </w:rPr>
      </w:pPr>
    </w:p>
    <w:p>
      <w:pPr>
        <w:jc w:val="both"/>
        <w:ind w:firstLine="656"/>
        <w:spacing w:after="0" w:line="247" w:lineRule="auto"/>
        <w:tabs>
          <w:tab w:leader="none" w:pos="13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required or permitted to be given by any party to any other party pursuant to the terms of this Agreement shall be in writing, unless otherwise specified in this Agreement, and if sent to Cowen, shall be delivered to Cowen at Cowen and Company, LLC, 599 Lexington Avenue, New York, NY 10022, fax no. 646-562- 1130, Attention: General Counsel, with a copy to Duane Morris LLP, 1540 Broadway, New York, NY 10036, Attention: James T. Seery; or if sent to the Company, shall be delivered to Exagen Inc., 1261 Liberty Way, Vista, CA 92081, attention: Fortunato Ron Rocca; Kamal Adawi, with a copy to Mintz, Levin, Cohn, Ferris, Glovsky and Popeo, P.C., attention: Scott Stanton; Melanie Ruthrauff Levy.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time,on a Business Day (as defined below), or, if such day is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165" w:right="339" w:bottom="1440" w:gutter="0" w:footer="0" w:header="0"/>
        </w:sectPr>
      </w:pPr>
    </w:p>
    <w:bookmarkStart w:id="31" w:name="page32"/>
    <w:bookmarkEnd w:id="31"/>
    <w:p>
      <w:pPr>
        <w:jc w:val="both"/>
        <w:ind w:firstLine="6"/>
        <w:spacing w:after="0" w:line="251" w:lineRule="auto"/>
        <w:rPr>
          <w:sz w:val="20"/>
          <w:szCs w:val="20"/>
          <w:color w:val="auto"/>
        </w:rPr>
      </w:pPr>
      <w:r>
        <w:rPr>
          <w:rFonts w:ascii="Times New Roman" w:cs="Times New Roman" w:eastAsia="Times New Roman" w:hAnsi="Times New Roman"/>
          <w:sz w:val="22"/>
          <w:szCs w:val="22"/>
          <w:color w:val="auto"/>
        </w:rPr>
        <w:t>Business Day on the next succeeding Business Day, (ii) on the next Business Day after timely delivery to a nationally-recognized overnight courier, (iii) on the Business Day actually received if deposited in the U.S. mail (certified or registered mail, return receipt requested, postage prepaid) and (iv) when delivered by electronic communication (“</w:t>
      </w:r>
      <w:r>
        <w:rPr>
          <w:rFonts w:ascii="Times New Roman" w:cs="Times New Roman" w:eastAsia="Times New Roman" w:hAnsi="Times New Roman"/>
          <w:sz w:val="22"/>
          <w:szCs w:val="22"/>
          <w:b w:val="1"/>
          <w:bCs w:val="1"/>
          <w:u w:val="single" w:color="auto"/>
          <w:color w:val="auto"/>
        </w:rPr>
        <w:t>Electronic Notice</w:t>
      </w:r>
      <w:r>
        <w:rPr>
          <w:rFonts w:ascii="Times New Roman" w:cs="Times New Roman" w:eastAsia="Times New Roman" w:hAnsi="Times New Roman"/>
          <w:sz w:val="22"/>
          <w:szCs w:val="22"/>
          <w:color w:val="auto"/>
        </w:rPr>
        <w:t>”), at the time the party sending such Electronic Notice receives verification of receipt by the receiving party, other than via auto-reply. For purposes of this Agreement, “</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color w:val="auto"/>
        </w:rPr>
        <w:t>” shall mean any day on which the Nasdaq and commercial banks in the City of New York are open for business.</w:t>
      </w:r>
    </w:p>
    <w:p>
      <w:pPr>
        <w:spacing w:after="0" w:line="19" w:lineRule="exact"/>
        <w:rPr>
          <w:sz w:val="20"/>
          <w:szCs w:val="20"/>
          <w:color w:val="auto"/>
        </w:rPr>
      </w:pPr>
    </w:p>
    <w:p>
      <w:pPr>
        <w:jc w:val="both"/>
        <w:ind w:firstLine="656"/>
        <w:spacing w:after="0" w:line="249" w:lineRule="auto"/>
        <w:tabs>
          <w:tab w:leader="none" w:pos="135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shall inure to the benefit of and be binding upon the Company and Cowen and their respective successors and the affiliates, controlling persons, officers and directors referred to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Cowen may assign its rights and obligations hereunder to an affiliate of Cowen without obtaining the Company’s consent.</w:t>
      </w:r>
    </w:p>
    <w:p>
      <w:pPr>
        <w:spacing w:after="0" w:line="19" w:lineRule="exact"/>
        <w:rPr>
          <w:rFonts w:ascii="Times New Roman" w:cs="Times New Roman" w:eastAsia="Times New Roman" w:hAnsi="Times New Roman"/>
          <w:sz w:val="22"/>
          <w:szCs w:val="22"/>
          <w:color w:val="auto"/>
        </w:rPr>
      </w:pPr>
    </w:p>
    <w:p>
      <w:pPr>
        <w:jc w:val="both"/>
        <w:ind w:firstLine="656"/>
        <w:spacing w:after="0" w:line="263" w:lineRule="auto"/>
        <w:tabs>
          <w:tab w:leader="none" w:pos="130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Share Splits</w:t>
      </w:r>
      <w:r>
        <w:rPr>
          <w:rFonts w:ascii="Times New Roman" w:cs="Times New Roman" w:eastAsia="Times New Roman" w:hAnsi="Times New Roman"/>
          <w:sz w:val="22"/>
          <w:szCs w:val="22"/>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59" w:lineRule="exact"/>
        <w:rPr>
          <w:rFonts w:ascii="Times New Roman" w:cs="Times New Roman" w:eastAsia="Times New Roman" w:hAnsi="Times New Roman"/>
          <w:sz w:val="22"/>
          <w:szCs w:val="22"/>
          <w:color w:val="auto"/>
        </w:rPr>
      </w:pPr>
    </w:p>
    <w:p>
      <w:pPr>
        <w:jc w:val="both"/>
        <w:ind w:firstLine="656"/>
        <w:spacing w:after="0" w:line="249" w:lineRule="auto"/>
        <w:tabs>
          <w:tab w:leader="none" w:pos="137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 Severability</w:t>
      </w:r>
      <w:r>
        <w:rPr>
          <w:rFonts w:ascii="Times New Roman" w:cs="Times New Roman" w:eastAsia="Times New Roman" w:hAnsi="Times New Roman"/>
          <w:sz w:val="22"/>
          <w:szCs w:val="22"/>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2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 Consent to Jurisdiction</w:t>
      </w:r>
      <w:r>
        <w:rPr>
          <w:rFonts w:ascii="Times New Roman" w:cs="Times New Roman" w:eastAsia="Times New Roman" w:hAnsi="Times New Roman"/>
          <w:sz w:val="22"/>
          <w:szCs w:val="22"/>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165" w:right="339" w:bottom="1440" w:gutter="0" w:footer="0" w:header="0"/>
        </w:sectPr>
      </w:pPr>
    </w:p>
    <w:bookmarkStart w:id="32" w:name="page33"/>
    <w:bookmarkEnd w:id="32"/>
    <w:p>
      <w:pPr>
        <w:jc w:val="both"/>
        <w:ind w:firstLine="6"/>
        <w:spacing w:after="0" w:line="295" w:lineRule="auto"/>
        <w:rPr>
          <w:sz w:val="20"/>
          <w:szCs w:val="20"/>
          <w:color w:val="auto"/>
        </w:rPr>
      </w:pPr>
      <w:r>
        <w:rPr>
          <w:rFonts w:ascii="Times New Roman" w:cs="Times New Roman" w:eastAsia="Times New Roman" w:hAnsi="Times New Roman"/>
          <w:sz w:val="21"/>
          <w:szCs w:val="21"/>
          <w:color w:val="auto"/>
        </w:rPr>
        <w:t>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35" w:lineRule="exact"/>
        <w:rPr>
          <w:sz w:val="20"/>
          <w:szCs w:val="20"/>
          <w:color w:val="auto"/>
        </w:rPr>
      </w:pPr>
    </w:p>
    <w:p>
      <w:pPr>
        <w:ind w:right="20" w:firstLine="656"/>
        <w:spacing w:after="0" w:line="271"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The Company and Cowen each hereby irrevocably waives any right it may have to a trial by jury in respect of any claim based upon or arising out of this Agreement or any transaction contemplated hereby.</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Fiduciary Relationship</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acknowledges and agrees that:</w:t>
      </w:r>
    </w:p>
    <w:p>
      <w:pPr>
        <w:spacing w:after="0" w:line="224" w:lineRule="exact"/>
        <w:rPr>
          <w:sz w:val="20"/>
          <w:szCs w:val="20"/>
          <w:color w:val="auto"/>
        </w:rPr>
      </w:pPr>
    </w:p>
    <w:p>
      <w:pPr>
        <w:jc w:val="both"/>
        <w:ind w:firstLine="656"/>
        <w:spacing w:after="0" w:line="252" w:lineRule="auto"/>
        <w:tabs>
          <w:tab w:leader="none" w:pos="129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Cowen has been retained solely to act as an arm’s length contractual counterparty to the Company in connection with the sale of the Placement Shares contemplated hereby and that no fiduciary, advisory or agency relationship between the Company and Cowen has been created in respect of any of the transactions contemplated by this Agreement, irrespective of whether Cowen has advised or is advising the Company on other matters;</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133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capable of evaluating and understanding and understands and accepts the terms, risks and conditions of the transactions contemplated by this Agreement;</w:t>
      </w:r>
    </w:p>
    <w:p>
      <w:pPr>
        <w:spacing w:after="0" w:line="143" w:lineRule="exact"/>
        <w:rPr>
          <w:rFonts w:ascii="Times New Roman" w:cs="Times New Roman" w:eastAsia="Times New Roman" w:hAnsi="Times New Roman"/>
          <w:sz w:val="22"/>
          <w:szCs w:val="22"/>
          <w:color w:val="auto"/>
        </w:rPr>
      </w:pPr>
    </w:p>
    <w:p>
      <w:pPr>
        <w:jc w:val="both"/>
        <w:ind w:firstLine="656"/>
        <w:spacing w:after="0" w:line="257" w:lineRule="auto"/>
        <w:tabs>
          <w:tab w:leader="none" w:pos="130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been advised that Cowen and its affiliates are engaged in a broad range of transactions which may involve interests that differ from those of the Company and that Cowen has no obligation to disclose such interests and transactions to the Company by virtue of any fiduciary, advisory or agency relationship; and</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waives, to the fullest extent permitted by law, any claims it may have against Cowen, for breach of fiduciary duty or alleged breach of fiduciary duty and agrees that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76" w:lineRule="exact"/>
        <w:rPr>
          <w:sz w:val="20"/>
          <w:szCs w:val="20"/>
          <w:color w:val="auto"/>
        </w:rPr>
      </w:pPr>
    </w:p>
    <w:p>
      <w:pPr>
        <w:jc w:val="both"/>
        <w:ind w:firstLine="656"/>
        <w:spacing w:after="0" w:line="263" w:lineRule="auto"/>
        <w:tabs>
          <w:tab w:leader="none" w:pos="132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165" w:right="339" w:bottom="1440" w:gutter="0" w:footer="0" w:header="0"/>
        </w:sectPr>
      </w:pPr>
    </w:p>
    <w:bookmarkStart w:id="33" w:name="page34"/>
    <w:bookmarkEnd w:id="33"/>
    <w:p>
      <w:pPr>
        <w:ind w:firstLine="648"/>
        <w:spacing w:after="0" w:line="236" w:lineRule="auto"/>
        <w:rPr>
          <w:sz w:val="20"/>
          <w:szCs w:val="20"/>
          <w:color w:val="auto"/>
        </w:rPr>
      </w:pPr>
      <w:r>
        <w:rPr>
          <w:rFonts w:ascii="Times New Roman" w:cs="Times New Roman" w:eastAsia="Times New Roman" w:hAnsi="Times New Roman"/>
          <w:sz w:val="22"/>
          <w:szCs w:val="22"/>
          <w:color w:val="auto"/>
        </w:rPr>
        <w:t>If the foregoing correctly sets forth the understanding between the Company and Cowen, please so indicate in the space provided below for that purpose, whereupon this letter shall constitute a binding agreement between the Company and Cowen.</w:t>
      </w:r>
    </w:p>
    <w:p>
      <w:pPr>
        <w:spacing w:after="0" w:line="200" w:lineRule="exact"/>
        <w:rPr>
          <w:sz w:val="20"/>
          <w:szCs w:val="20"/>
          <w:color w:val="auto"/>
        </w:rPr>
      </w:pPr>
    </w:p>
    <w:p>
      <w:pPr>
        <w:spacing w:after="0" w:line="24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b w:val="1"/>
          <w:bCs w:val="1"/>
          <w:color w:val="auto"/>
        </w:rPr>
        <w:t>COWEN AND COMPANY, LLC</w:t>
      </w:r>
    </w:p>
    <w:p>
      <w:pPr>
        <w:spacing w:after="0" w:line="200" w:lineRule="exact"/>
        <w:rPr>
          <w:sz w:val="20"/>
          <w:szCs w:val="20"/>
          <w:color w:val="auto"/>
        </w:rPr>
      </w:pPr>
    </w:p>
    <w:p>
      <w:pPr>
        <w:spacing w:after="0" w:line="36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color w:val="auto"/>
        </w:rPr>
        <w:t>By: /s/ Michael Murphy</w:t>
      </w:r>
    </w:p>
    <w:p>
      <w:pPr>
        <w:spacing w:after="0" w:line="3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Name: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-160020</wp:posOffset>
            </wp:positionV>
            <wp:extent cx="2914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34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b w:val="1"/>
          <w:bCs w:val="1"/>
          <w:color w:val="auto"/>
        </w:rPr>
        <w:t>ACCEPTED as of the date</w:t>
      </w:r>
    </w:p>
    <w:p>
      <w:pPr>
        <w:spacing w:after="0" w:line="3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b w:val="1"/>
          <w:bCs w:val="1"/>
          <w:color w:val="auto"/>
        </w:rPr>
        <w:t>first-above written:</w:t>
      </w:r>
    </w:p>
    <w:p>
      <w:pPr>
        <w:spacing w:after="0" w:line="27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b w:val="1"/>
          <w:bCs w:val="1"/>
          <w:color w:val="auto"/>
        </w:rPr>
        <w:t>EXAGEN INC.</w:t>
      </w:r>
    </w:p>
    <w:p>
      <w:pPr>
        <w:spacing w:after="0" w:line="200" w:lineRule="exact"/>
        <w:rPr>
          <w:sz w:val="20"/>
          <w:szCs w:val="20"/>
          <w:color w:val="auto"/>
        </w:rPr>
      </w:pPr>
    </w:p>
    <w:p>
      <w:pPr>
        <w:spacing w:after="0" w:line="36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color w:val="auto"/>
        </w:rPr>
        <w:t>By: /s/ Kamal Adawi</w:t>
      </w:r>
    </w:p>
    <w:p>
      <w:pPr>
        <w:spacing w:after="0" w:line="3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color w:val="auto"/>
        </w:rPr>
        <w:t>Name: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-160020</wp:posOffset>
            </wp:positionV>
            <wp:extent cx="2914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color w:val="auto"/>
        </w:rPr>
        <w:t>Title: Chief Financial Officer</w:t>
      </w:r>
    </w:p>
    <w:p>
      <w:pPr>
        <w:sectPr>
          <w:pgSz w:w="11900" w:h="16838" w:orient="portrait"/>
          <w:cols w:equalWidth="0" w:num="1">
            <w:col w:w="11240"/>
          </w:cols>
          <w:pgMar w:left="320" w:top="1395"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FORM OF PLACEMENT NOTICE</w:t>
            </w:r>
          </w:p>
        </w:tc>
      </w:tr>
      <w:tr>
        <w:trPr>
          <w:trHeight w:val="858"/>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From:</w:t>
            </w:r>
          </w:p>
        </w:tc>
        <w:tc>
          <w:tcPr>
            <w:tcW w:w="65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Exagen Inc.</w:t>
            </w:r>
          </w:p>
        </w:tc>
      </w:tr>
      <w:tr>
        <w:trPr>
          <w:trHeight w:val="216"/>
        </w:trPr>
        <w:tc>
          <w:tcPr>
            <w:tcW w:w="4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Cc:</w:t>
            </w:r>
          </w:p>
        </w:tc>
        <w:tc>
          <w:tcPr>
            <w:tcW w:w="320" w:type="dxa"/>
            <w:vAlign w:val="bottom"/>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rPr>
              <w:t>[</w:t>
            </w:r>
          </w:p>
        </w:tc>
        <w:tc>
          <w:tcPr>
            <w:tcW w:w="3200" w:type="dxa"/>
            <w:vAlign w:val="bottom"/>
          </w:tcPr>
          <w:p>
            <w:pPr>
              <w:jc w:val="right"/>
              <w:ind w:right="1332"/>
              <w:spacing w:after="0" w:line="216" w:lineRule="exact"/>
              <w:rPr>
                <w:sz w:val="20"/>
                <w:szCs w:val="20"/>
                <w:color w:val="auto"/>
              </w:rPr>
            </w:pPr>
            <w:r>
              <w:rPr>
                <w:rFonts w:ascii="Times New Roman" w:cs="Times New Roman" w:eastAsia="Times New Roman" w:hAnsi="Times New Roman"/>
                <w:sz w:val="22"/>
                <w:szCs w:val="22"/>
                <w:color w:val="auto"/>
              </w:rPr>
              <w:t>]</w:t>
            </w:r>
          </w:p>
        </w:tc>
        <w:tc>
          <w:tcPr>
            <w:tcW w:w="3360" w:type="dxa"/>
            <w:vAlign w:val="bottom"/>
          </w:tcPr>
          <w:p>
            <w:pPr>
              <w:spacing w:after="0"/>
              <w:rPr>
                <w:sz w:val="18"/>
                <w:szCs w:val="18"/>
                <w:color w:val="auto"/>
              </w:rPr>
            </w:pPr>
          </w:p>
        </w:tc>
      </w:tr>
      <w:tr>
        <w:trPr>
          <w:trHeight w:val="216"/>
        </w:trPr>
        <w:tc>
          <w:tcPr>
            <w:tcW w:w="4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To:</w:t>
            </w:r>
          </w:p>
        </w:tc>
        <w:tc>
          <w:tcPr>
            <w:tcW w:w="32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w:t>
            </w:r>
          </w:p>
        </w:tc>
        <w:tc>
          <w:tcPr>
            <w:tcW w:w="3200" w:type="dxa"/>
            <w:vAlign w:val="bottom"/>
          </w:tcPr>
          <w:p>
            <w:pPr>
              <w:jc w:val="right"/>
              <w:ind w:right="2432"/>
              <w:spacing w:after="0" w:line="216" w:lineRule="exact"/>
              <w:rPr>
                <w:sz w:val="20"/>
                <w:szCs w:val="20"/>
                <w:color w:val="auto"/>
              </w:rPr>
            </w:pPr>
            <w:r>
              <w:rPr>
                <w:rFonts w:ascii="Times New Roman" w:cs="Times New Roman" w:eastAsia="Times New Roman" w:hAnsi="Times New Roman"/>
                <w:sz w:val="22"/>
                <w:szCs w:val="22"/>
                <w:color w:val="auto"/>
              </w:rPr>
              <w:t>]</w:t>
            </w:r>
          </w:p>
        </w:tc>
        <w:tc>
          <w:tcPr>
            <w:tcW w:w="3360" w:type="dxa"/>
            <w:vAlign w:val="bottom"/>
          </w:tcPr>
          <w:p>
            <w:pPr>
              <w:spacing w:after="0"/>
              <w:rPr>
                <w:sz w:val="18"/>
                <w:szCs w:val="18"/>
                <w:color w:val="auto"/>
              </w:rPr>
            </w:pP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Subject:</w:t>
            </w:r>
          </w:p>
        </w:tc>
        <w:tc>
          <w:tcPr>
            <w:tcW w:w="65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Cowen At the Market Offering—Placement Notice</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Gentlemen:</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Pursuant to the terms and subject to the conditions contained in the Sales Agreement between Exagen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Cowen and Company, LLC (“</w:t>
      </w:r>
      <w:r>
        <w:rPr>
          <w:rFonts w:ascii="Times New Roman" w:cs="Times New Roman" w:eastAsia="Times New Roman" w:hAnsi="Times New Roman"/>
          <w:sz w:val="22"/>
          <w:szCs w:val="22"/>
          <w:u w:val="single" w:color="auto"/>
          <w:color w:val="auto"/>
        </w:rPr>
        <w:t>Cowen</w:t>
      </w:r>
      <w:r>
        <w:rPr>
          <w:rFonts w:ascii="Times New Roman" w:cs="Times New Roman" w:eastAsia="Times New Roman" w:hAnsi="Times New Roman"/>
          <w:sz w:val="22"/>
          <w:szCs w:val="22"/>
          <w:color w:val="auto"/>
        </w:rPr>
        <w:t>”) dated September 15, 2022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 hereby request on behalf of the Company that Cowen sell up to [ ] shares of the Company’s common stock, par value [_] per share, at a minimum market price of $0.001 per share. Sales should begin on the date of this Notice and shall continue until [DATE] [all shares are sold].</w:t>
      </w:r>
    </w:p>
    <w:p>
      <w:pPr>
        <w:sectPr>
          <w:pgSz w:w="11900" w:h="16838" w:orient="portrait"/>
          <w:cols w:equalWidth="0" w:num="1">
            <w:col w:w="11240"/>
          </w:cols>
          <w:pgMar w:left="320" w:top="1391" w:right="339" w:bottom="1440" w:gutter="0" w:footer="0" w:header="0"/>
        </w:sectPr>
      </w:pPr>
    </w:p>
    <w:bookmarkStart w:id="35" w:name="page36"/>
    <w:bookmarkEnd w:id="35"/>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Company</w:t>
      </w:r>
    </w:p>
    <w:p>
      <w:pPr>
        <w:spacing w:after="0" w:line="183"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color w:val="auto"/>
        </w:rPr>
        <w:t>Fortunato Ron Rocca</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179"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2"/>
          <w:szCs w:val="22"/>
          <w:color w:val="auto"/>
        </w:rPr>
        <w:t>Kamal Adawi</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Cowen</w:t>
            </w:r>
          </w:p>
        </w:tc>
        <w:tc>
          <w:tcPr>
            <w:tcW w:w="1840" w:type="dxa"/>
            <w:vAlign w:val="bottom"/>
          </w:tcPr>
          <w:p>
            <w:pPr>
              <w:spacing w:after="0"/>
              <w:rPr>
                <w:sz w:val="22"/>
                <w:szCs w:val="22"/>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64"/>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Michael J. Murphy</w:t>
            </w:r>
          </w:p>
        </w:tc>
        <w:tc>
          <w:tcPr>
            <w:tcW w:w="18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6"/>
              </w:rPr>
              <w:t>Managing Director</w:t>
            </w:r>
          </w:p>
        </w:tc>
      </w:tr>
      <w:tr>
        <w:trPr>
          <w:trHeight w:val="432"/>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William Follis</w:t>
            </w:r>
          </w:p>
        </w:tc>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w:t>
      </w:r>
    </w:p>
    <w:p>
      <w:pPr>
        <w:spacing w:after="0" w:line="183"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color w:val="auto"/>
        </w:rPr>
        <w:t>Cowen shall be paid compensation equal to 3.0% of the gross proceeds from the sales of Placement Shares pursuant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7(m)</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OFFICER CERTIFICATE</w:t>
      </w:r>
    </w:p>
    <w:p>
      <w:pPr>
        <w:spacing w:after="0" w:line="200" w:lineRule="exact"/>
        <w:rPr>
          <w:sz w:val="20"/>
          <w:szCs w:val="20"/>
          <w:color w:val="auto"/>
        </w:rPr>
      </w:pPr>
    </w:p>
    <w:p>
      <w:pPr>
        <w:spacing w:after="0" w:line="24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The undersigned, the duly qualified and elected __, of Exagen Inc. (“</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xml:space="preserve">”), a Delaware corporation, does hereby certify in such capacity and on behalf of the Company, pursuant to </w:t>
      </w:r>
      <w:r>
        <w:rPr>
          <w:rFonts w:ascii="Times New Roman" w:cs="Times New Roman" w:eastAsia="Times New Roman" w:hAnsi="Times New Roman"/>
          <w:sz w:val="21"/>
          <w:szCs w:val="21"/>
          <w:u w:val="single" w:color="auto"/>
          <w:color w:val="auto"/>
        </w:rPr>
        <w:t>Section 7(m)</w:t>
      </w:r>
      <w:r>
        <w:rPr>
          <w:rFonts w:ascii="Times New Roman" w:cs="Times New Roman" w:eastAsia="Times New Roman" w:hAnsi="Times New Roman"/>
          <w:sz w:val="21"/>
          <w:szCs w:val="21"/>
          <w:color w:val="auto"/>
        </w:rPr>
        <w:t xml:space="preserve"> of the Sales Agreement dated September 15, 2022 (the “</w:t>
      </w:r>
      <w:r>
        <w:rPr>
          <w:rFonts w:ascii="Times New Roman" w:cs="Times New Roman" w:eastAsia="Times New Roman" w:hAnsi="Times New Roman"/>
          <w:sz w:val="21"/>
          <w:szCs w:val="21"/>
          <w:b w:val="1"/>
          <w:bCs w:val="1"/>
          <w:u w:val="single" w:color="auto"/>
          <w:color w:val="auto"/>
        </w:rPr>
        <w:t>Sales Agreement</w:t>
      </w:r>
      <w:r>
        <w:rPr>
          <w:rFonts w:ascii="Times New Roman" w:cs="Times New Roman" w:eastAsia="Times New Roman" w:hAnsi="Times New Roman"/>
          <w:sz w:val="21"/>
          <w:szCs w:val="21"/>
          <w:color w:val="auto"/>
        </w:rPr>
        <w:t>”) between the Company and Cowen and Company, LLC, that to the best of the knowledge of the undersigned.</w:t>
      </w:r>
    </w:p>
    <w:p>
      <w:pPr>
        <w:spacing w:after="0" w:line="177" w:lineRule="exact"/>
        <w:rPr>
          <w:sz w:val="20"/>
          <w:szCs w:val="20"/>
          <w:color w:val="auto"/>
        </w:rPr>
      </w:pPr>
    </w:p>
    <w:p>
      <w:pPr>
        <w:jc w:val="both"/>
        <w:ind w:firstLine="656"/>
        <w:spacing w:after="0" w:line="212" w:lineRule="auto"/>
        <w:tabs>
          <w:tab w:leader="none" w:pos="117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Company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in all material respects as of such date; and</w:t>
      </w:r>
    </w:p>
    <w:p>
      <w:pPr>
        <w:spacing w:after="0" w:line="156" w:lineRule="exact"/>
        <w:rPr>
          <w:rFonts w:ascii="Times New Roman" w:cs="Times New Roman" w:eastAsia="Times New Roman" w:hAnsi="Times New Roman"/>
          <w:sz w:val="22"/>
          <w:szCs w:val="22"/>
          <w:color w:val="auto"/>
        </w:rPr>
      </w:pPr>
    </w:p>
    <w:p>
      <w:pPr>
        <w:ind w:firstLine="656"/>
        <w:spacing w:after="0" w:line="236" w:lineRule="auto"/>
        <w:tabs>
          <w:tab w:leader="none" w:pos="116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complied with all agreements and satisfied all conditions on its part to be performed or satisfied pursuant to the Sales Agreement at or prior to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By:__________________________</w:t>
      </w:r>
    </w:p>
    <w:p>
      <w:pPr>
        <w:spacing w:after="0" w:line="2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Title:</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Date:_____________</w:t>
      </w:r>
    </w:p>
    <w:p>
      <w:pPr>
        <w:sectPr>
          <w:pgSz w:w="11900" w:h="16838" w:orient="portrait"/>
          <w:cols w:equalWidth="0" w:num="1">
            <w:col w:w="11240"/>
          </w:cols>
          <w:pgMar w:left="320" w:top="1440" w:right="339" w:bottom="1440" w:gutter="0" w:footer="0" w:header="0"/>
        </w:sectPr>
      </w:pPr>
    </w:p>
    <w:bookmarkStart w:id="38" w:name="page39"/>
    <w:bookmarkEnd w:id="38"/>
    <w:p>
      <w:pPr>
        <w:jc w:val="right"/>
        <w:ind w:right="20"/>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768985</wp:posOffset>
            </wp:positionV>
            <wp:extent cx="720090" cy="908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3580 Carmel Mountain Road, Suite 300</w:t>
      </w:r>
    </w:p>
    <w:p>
      <w:pPr>
        <w:jc w:val="right"/>
        <w:ind w:right="20"/>
        <w:spacing w:after="0" w:line="203" w:lineRule="auto"/>
        <w:rPr>
          <w:sz w:val="20"/>
          <w:szCs w:val="20"/>
          <w:color w:val="auto"/>
        </w:rPr>
      </w:pPr>
      <w:r>
        <w:rPr>
          <w:rFonts w:ascii="Arial" w:cs="Arial" w:eastAsia="Arial" w:hAnsi="Arial"/>
          <w:sz w:val="14"/>
          <w:szCs w:val="14"/>
          <w:color w:val="auto"/>
        </w:rPr>
        <w:t>San Diego, CA 92130</w:t>
      </w:r>
    </w:p>
    <w:p>
      <w:pPr>
        <w:jc w:val="right"/>
        <w:ind w:right="20"/>
        <w:spacing w:after="0" w:line="221" w:lineRule="auto"/>
        <w:rPr>
          <w:sz w:val="20"/>
          <w:szCs w:val="20"/>
          <w:color w:val="auto"/>
        </w:rPr>
      </w:pPr>
      <w:r>
        <w:rPr>
          <w:rFonts w:ascii="Arial" w:cs="Arial" w:eastAsia="Arial" w:hAnsi="Arial"/>
          <w:sz w:val="14"/>
          <w:szCs w:val="14"/>
          <w:color w:val="auto"/>
        </w:rPr>
        <w:t>858-314-1500</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www.mintz.com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September 15, 2022</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1261 Liberty Way</w:t>
      </w:r>
    </w:p>
    <w:p>
      <w:pPr>
        <w:spacing w:after="0"/>
        <w:rPr>
          <w:sz w:val="20"/>
          <w:szCs w:val="20"/>
          <w:color w:val="auto"/>
        </w:rPr>
      </w:pPr>
      <w:r>
        <w:rPr>
          <w:rFonts w:ascii="Arial" w:cs="Arial" w:eastAsia="Arial" w:hAnsi="Arial"/>
          <w:sz w:val="20"/>
          <w:szCs w:val="20"/>
          <w:color w:val="auto"/>
        </w:rPr>
        <w:t>Vista, California 92081</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acted as counsel to Exagen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in connection with the preparation and filing with the Securities and Exchange Commission (the “</w:t>
      </w:r>
      <w:r>
        <w:rPr>
          <w:rFonts w:ascii="Arial" w:cs="Arial" w:eastAsia="Arial" w:hAnsi="Arial"/>
          <w:sz w:val="20"/>
          <w:szCs w:val="20"/>
          <w:u w:val="single" w:color="auto"/>
          <w:color w:val="auto"/>
        </w:rPr>
        <w:t>Commission</w:t>
      </w:r>
      <w:r>
        <w:rPr>
          <w:rFonts w:ascii="Arial" w:cs="Arial" w:eastAsia="Arial" w:hAnsi="Arial"/>
          <w:sz w:val="20"/>
          <w:szCs w:val="20"/>
          <w:color w:val="auto"/>
        </w:rPr>
        <w:t>”) of a Prospectus Supplement, dated September 15, 2022, to a Prospectus, dated November 19, 2020 (the “</w:t>
      </w:r>
      <w:r>
        <w:rPr>
          <w:rFonts w:ascii="Arial" w:cs="Arial" w:eastAsia="Arial" w:hAnsi="Arial"/>
          <w:sz w:val="20"/>
          <w:szCs w:val="20"/>
          <w:u w:val="single" w:color="auto"/>
          <w:color w:val="auto"/>
        </w:rPr>
        <w:t>Prospectus and Prospectus Supplement</w:t>
      </w:r>
      <w:r>
        <w:rPr>
          <w:rFonts w:ascii="Arial" w:cs="Arial" w:eastAsia="Arial" w:hAnsi="Arial"/>
          <w:sz w:val="20"/>
          <w:szCs w:val="20"/>
          <w:color w:val="auto"/>
        </w:rPr>
        <w:t>”), filed pursuant to a Registration Statement on Form S-3, Registration No. 333-250015 (the “</w:t>
      </w:r>
      <w:r>
        <w:rPr>
          <w:rFonts w:ascii="Arial" w:cs="Arial" w:eastAsia="Arial" w:hAnsi="Arial"/>
          <w:sz w:val="20"/>
          <w:szCs w:val="20"/>
          <w:u w:val="single" w:color="auto"/>
          <w:color w:val="auto"/>
        </w:rPr>
        <w:t>Registration Statement</w:t>
      </w:r>
      <w:r>
        <w:rPr>
          <w:rFonts w:ascii="Arial" w:cs="Arial" w:eastAsia="Arial" w:hAnsi="Arial"/>
          <w:sz w:val="20"/>
          <w:szCs w:val="20"/>
          <w:color w:val="auto"/>
        </w:rPr>
        <w:t>”), pursuant to which the Company is registering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the sale of up to $50.0 million of shares (the “</w:t>
      </w:r>
      <w:r>
        <w:rPr>
          <w:rFonts w:ascii="Arial" w:cs="Arial" w:eastAsia="Arial" w:hAnsi="Arial"/>
          <w:sz w:val="20"/>
          <w:szCs w:val="20"/>
          <w:u w:val="single" w:color="auto"/>
          <w:color w:val="auto"/>
        </w:rPr>
        <w:t>Shares</w:t>
      </w:r>
      <w:r>
        <w:rPr>
          <w:rFonts w:ascii="Arial" w:cs="Arial" w:eastAsia="Arial" w:hAnsi="Arial"/>
          <w:sz w:val="20"/>
          <w:szCs w:val="20"/>
          <w:color w:val="auto"/>
        </w:rPr>
        <w:t>”) of common stock, $0.001 par value per share (the “</w:t>
      </w:r>
      <w:r>
        <w:rPr>
          <w:rFonts w:ascii="Arial" w:cs="Arial" w:eastAsia="Arial" w:hAnsi="Arial"/>
          <w:sz w:val="20"/>
          <w:szCs w:val="20"/>
          <w:u w:val="single" w:color="auto"/>
          <w:color w:val="auto"/>
        </w:rPr>
        <w:t>Common Stock</w:t>
      </w:r>
      <w:r>
        <w:rPr>
          <w:rFonts w:ascii="Arial" w:cs="Arial" w:eastAsia="Arial" w:hAnsi="Arial"/>
          <w:sz w:val="20"/>
          <w:szCs w:val="20"/>
          <w:color w:val="auto"/>
        </w:rPr>
        <w:t>”), of the Company. The Shares are being sold pursuant to a Sales Agreement Agreement, dated as of September 15, 2022, by and between the Company and Cowen and Company, LLC (the “</w:t>
      </w:r>
      <w:r>
        <w:rPr>
          <w:rFonts w:ascii="Arial" w:cs="Arial" w:eastAsia="Arial" w:hAnsi="Arial"/>
          <w:sz w:val="20"/>
          <w:szCs w:val="20"/>
          <w:u w:val="single" w:color="auto"/>
          <w:color w:val="auto"/>
        </w:rPr>
        <w:t>Sales Agreement</w:t>
      </w:r>
      <w:r>
        <w:rPr>
          <w:rFonts w:ascii="Arial" w:cs="Arial" w:eastAsia="Arial" w:hAnsi="Arial"/>
          <w:sz w:val="20"/>
          <w:szCs w:val="20"/>
          <w:color w:val="auto"/>
        </w:rPr>
        <w:t>”), pursuant to which the Company may issue and sell the Shares pursuant to the Registration Statement and the Prospectus and Prospectus Supplement.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In connection with this opinion, we have examined the Company’s Certificate of Incorporation, as amended to date, and Bylaws, both as currently in effect, such other records of the corporate proceedings of the Company and certificates of the Company’s officers as we have deemed relevant, as well as the Registration Statement and the exhibits thereto and the Prospectus and the Prospectus Supplement.</w:t>
      </w:r>
    </w:p>
    <w:p>
      <w:pPr>
        <w:spacing w:after="0" w:line="19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Based upon the foregoing, and subject to the limitations set forth below, we are of the opinion that the Shares, when issued by the Company out of the Company’s duly authorized Common Stock and issued and delivered by the Company against payment therefor as contemplated by the Sales Agreement, on terms approved by the Board of Directors of the Company, or a duly authorized committee thereof, will be duly and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9"/>
        <w:spacing w:after="0"/>
        <w:tabs>
          <w:tab w:leader="none" w:pos="260" w:val="left"/>
          <w:tab w:leader="none" w:pos="260" w:val="left"/>
          <w:tab w:leader="none" w:pos="260" w:val="left"/>
          <w:tab w:leader="none" w:pos="260" w:val="left"/>
          <w:tab w:leader="none" w:pos="260" w:val="left"/>
          <w:tab w:leader="none" w:pos="22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LOS ANGELES</w:t>
      </w:r>
      <w:r>
        <w:rPr>
          <w:sz w:val="20"/>
          <w:szCs w:val="20"/>
          <w:color w:val="auto"/>
        </w:rPr>
        <w:tab/>
      </w:r>
      <w:r>
        <w:rPr>
          <w:rFonts w:ascii="Arial" w:cs="Arial" w:eastAsia="Arial" w:hAnsi="Arial"/>
          <w:sz w:val="14"/>
          <w:szCs w:val="14"/>
          <w:color w:val="auto"/>
        </w:rPr>
        <w:t>NEW YORK</w:t>
      </w:r>
      <w:r>
        <w:rPr>
          <w:sz w:val="20"/>
          <w:szCs w:val="20"/>
          <w:color w:val="auto"/>
        </w:rPr>
        <w:tab/>
      </w:r>
      <w:r>
        <w:rPr>
          <w:rFonts w:ascii="Arial" w:cs="Arial" w:eastAsia="Arial" w:hAnsi="Arial"/>
          <w:sz w:val="14"/>
          <w:szCs w:val="14"/>
          <w:color w:val="auto"/>
        </w:rPr>
        <w:t>SAN DIEGO</w:t>
      </w:r>
      <w:r>
        <w:rPr>
          <w:sz w:val="20"/>
          <w:szCs w:val="20"/>
          <w:color w:val="auto"/>
        </w:rPr>
        <w:tab/>
      </w:r>
      <w:r>
        <w:rPr>
          <w:rFonts w:ascii="Arial" w:cs="Arial" w:eastAsia="Arial" w:hAnsi="Arial"/>
          <w:sz w:val="14"/>
          <w:szCs w:val="14"/>
          <w:color w:val="auto"/>
        </w:rPr>
        <w:t>SAN FRANCISCO</w:t>
      </w:r>
      <w:r>
        <w:rPr>
          <w:sz w:val="20"/>
          <w:szCs w:val="20"/>
          <w:color w:val="auto"/>
        </w:rPr>
        <w:tab/>
      </w:r>
      <w:r>
        <w:rPr>
          <w:rFonts w:ascii="Arial" w:cs="Arial" w:eastAsia="Arial" w:hAnsi="Arial"/>
          <w:sz w:val="14"/>
          <w:szCs w:val="14"/>
          <w:color w:val="auto"/>
        </w:rPr>
        <w:t>WASHINGTON</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MINTZ, LEVIN, COHN, FERRIS, GLOVSKY AND POPEO, P.C.</w:t>
      </w:r>
    </w:p>
    <w:p>
      <w:pPr>
        <w:sectPr>
          <w:pgSz w:w="11900" w:h="16838" w:orient="portrait"/>
          <w:cols w:equalWidth="0" w:num="1">
            <w:col w:w="11240"/>
          </w:cols>
          <w:pgMar w:left="320" w:top="399"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17780</wp:posOffset>
            </wp:positionV>
            <wp:extent cx="360045"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0045" cy="46291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15, 2022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Our opinion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We have relied as to certain matters on information obtained from public officials, officers of the Company, and other sources believed by us to be responsible.</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9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We hereby consent to the filing of this opinion as an exhibit to a Current Report on Form 8-K in accordance with the requirements of Item 601(b)(5) of Regulation S-K under the Securities Act and to the use of this firm’s name therein and in the Prospectus and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200" w:lineRule="exact"/>
        <w:rPr>
          <w:sz w:val="20"/>
          <w:szCs w:val="20"/>
          <w:color w:val="auto"/>
        </w:rPr>
      </w:pPr>
    </w:p>
    <w:p>
      <w:pPr>
        <w:spacing w:after="0" w:line="278"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367"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/s/ Mintz, Levin, Cohn, Ferris, Glovsky and Popeo, P.C.</w:t>
      </w:r>
    </w:p>
    <w:p>
      <w:pPr>
        <w:spacing w:after="0" w:line="31"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Mintz, Levin, Cohn, Ferris, Glovsky and Popeo, P.C.</w:t>
      </w:r>
    </w:p>
    <w:sectPr>
      <w:pgSz w:w="11900" w:h="16838" w:orient="portrait"/>
      <w:cols w:equalWidth="0" w:num="1">
        <w:col w:w="11240"/>
      </w:cols>
      <w:pgMar w:left="320" w:top="1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decimal"/>
      <w:start w:val="2"/>
    </w:lvl>
  </w:abstractNum>
  <w:abstractNum w:abstractNumId="3">
    <w:nsid w:val="189A769B"/>
    <w:multiLevelType w:val="hybridMultilevel"/>
    <w:lvl w:ilvl="0">
      <w:lvlJc w:val="left"/>
      <w:lvlText w:val="%1."/>
      <w:numFmt w:val="decimal"/>
      <w:start w:val="3"/>
    </w:lvl>
  </w:abstractNum>
  <w:abstractNum w:abstractNumId="4">
    <w:nsid w:val="54E49EB4"/>
    <w:multiLevelType w:val="hybridMultilevel"/>
    <w:lvl w:ilvl="0">
      <w:lvlJc w:val="left"/>
      <w:lvlText w:val="%1."/>
      <w:numFmt w:val="decimal"/>
      <w:start w:val="4"/>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decimal"/>
      <w:start w:val="6"/>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lowerLetter"/>
      <w:start w:val="2"/>
    </w:lvl>
  </w:abstractNum>
  <w:abstractNum w:abstractNumId="11">
    <w:nsid w:val="1E7FF521"/>
    <w:multiLevelType w:val="hybridMultilevel"/>
    <w:lvl w:ilvl="0">
      <w:lvlJc w:val="left"/>
      <w:lvlText w:val="(%1)"/>
      <w:numFmt w:val="lowerLetter"/>
      <w:start w:val="3"/>
    </w:lvl>
  </w:abstractNum>
  <w:abstractNum w:abstractNumId="12">
    <w:nsid w:val="7C3DBD3D"/>
    <w:multiLevelType w:val="hybridMultilevel"/>
    <w:lvl w:ilvl="0">
      <w:lvlJc w:val="left"/>
      <w:lvlText w:val="(%1)"/>
      <w:numFmt w:val="lowerLetter"/>
      <w:start w:val="8"/>
    </w:lvl>
  </w:abstractNum>
  <w:abstractNum w:abstractNumId="13">
    <w:nsid w:val="737B8DDC"/>
    <w:multiLevelType w:val="hybridMultilevel"/>
    <w:lvl w:ilvl="0">
      <w:lvlJc w:val="left"/>
      <w:lvlText w:val="(%1)"/>
      <w:numFmt w:val="lowerLetter"/>
      <w:start w:val="14"/>
    </w:lvl>
  </w:abstractNum>
  <w:abstractNum w:abstractNumId="14">
    <w:nsid w:val="6CEAF087"/>
    <w:multiLevelType w:val="hybridMultilevel"/>
    <w:lvl w:ilvl="0">
      <w:lvlJc w:val="left"/>
      <w:lvlText w:val="(%1)"/>
      <w:numFmt w:val="lowerLetter"/>
      <w:start w:val="18"/>
    </w:lvl>
  </w:abstractNum>
  <w:abstractNum w:abstractNumId="15">
    <w:nsid w:val="22221A70"/>
    <w:multiLevelType w:val="hybridMultilevel"/>
    <w:lvl w:ilvl="0">
      <w:lvlJc w:val="left"/>
      <w:lvlText w:val="(%1)"/>
      <w:numFmt w:val="lowerLetter"/>
      <w:start w:val="24"/>
    </w:lvl>
  </w:abstractNum>
  <w:abstractNum w:abstractNumId="16">
    <w:nsid w:val="4516DDE9"/>
    <w:multiLevelType w:val="hybridMultilevel"/>
    <w:lvl w:ilvl="0">
      <w:lvlJc w:val="left"/>
      <w:lvlText w:val="(%1)"/>
      <w:numFmt w:val="lowerLetter"/>
      <w:start w:val="26"/>
    </w:lvl>
  </w:abstractNum>
  <w:abstractNum w:abstractNumId="17">
    <w:nsid w:val="3006C83E"/>
    <w:multiLevelType w:val="hybridMultilevel"/>
    <w:lvl w:ilvl="0">
      <w:lvlJc w:val="left"/>
      <w:lvlText w:val="%1"/>
      <w:numFmt w:val="upperLetter"/>
      <w:start w:val="1"/>
    </w:lvl>
    <w:lvl w:ilvl="1">
      <w:lvlJc w:val="left"/>
      <w:lvlText w:val="(%2)"/>
      <w:numFmt w:val="lowerLetter"/>
      <w:start w:val="27"/>
    </w:lvl>
  </w:abstractNum>
  <w:abstractNum w:abstractNumId="18">
    <w:nsid w:val="614FD4A1"/>
    <w:multiLevelType w:val="hybridMultilevel"/>
    <w:lvl w:ilvl="0">
      <w:lvlJc w:val="left"/>
      <w:lvlText w:val="(%1)"/>
      <w:numFmt w:val="upperLetter"/>
      <w:start w:val="3"/>
    </w:lvl>
    <w:lvl w:ilvl="1">
      <w:lvlJc w:val="left"/>
      <w:lvlText w:val="%2"/>
      <w:numFmt w:val="lowerLetter"/>
      <w:start w:val="1"/>
    </w:lvl>
  </w:abstractNum>
  <w:abstractNum w:abstractNumId="19">
    <w:nsid w:val="419AC241"/>
    <w:multiLevelType w:val="hybridMultilevel"/>
    <w:lvl w:ilvl="0">
      <w:lvlJc w:val="left"/>
      <w:lvlText w:val="(%1)"/>
      <w:numFmt w:val="lowerLetter"/>
      <w:start w:val="28"/>
    </w:lvl>
  </w:abstractNum>
  <w:abstractNum w:abstractNumId="20">
    <w:nsid w:val="5577F8E1"/>
    <w:multiLevelType w:val="hybridMultilevel"/>
    <w:lvl w:ilvl="0">
      <w:lvlJc w:val="left"/>
      <w:lvlText w:val="(%1)"/>
      <w:numFmt w:val="lowerLetter"/>
      <w:start w:val="30"/>
    </w:lvl>
  </w:abstractNum>
  <w:abstractNum w:abstractNumId="21">
    <w:nsid w:val="440BADFC"/>
    <w:multiLevelType w:val="hybridMultilevel"/>
    <w:lvl w:ilvl="0">
      <w:lvlJc w:val="left"/>
      <w:lvlText w:val="(%1)"/>
      <w:numFmt w:val="lowerLetter"/>
      <w:start w:val="34"/>
    </w:lvl>
  </w:abstractNum>
  <w:abstractNum w:abstractNumId="22">
    <w:nsid w:val="5072367"/>
    <w:multiLevelType w:val="hybridMultilevel"/>
    <w:lvl w:ilvl="0">
      <w:lvlJc w:val="left"/>
      <w:lvlText w:val="(%1)"/>
      <w:numFmt w:val="lowerLetter"/>
      <w:start w:val="38"/>
    </w:lvl>
  </w:abstractNum>
  <w:abstractNum w:abstractNumId="23">
    <w:nsid w:val="3804823E"/>
    <w:multiLevelType w:val="hybridMultilevel"/>
    <w:lvl w:ilvl="0">
      <w:lvlJc w:val="left"/>
      <w:lvlText w:val="(%1)"/>
      <w:numFmt w:val="lowerLetter"/>
      <w:start w:val="44"/>
    </w:lvl>
  </w:abstractNum>
  <w:abstractNum w:abstractNumId="24">
    <w:nsid w:val="77465F01"/>
    <w:multiLevelType w:val="hybridMultilevel"/>
    <w:lvl w:ilvl="0">
      <w:lvlJc w:val="left"/>
      <w:lvlText w:val="%1."/>
      <w:numFmt w:val="decimal"/>
      <w:start w:val="7"/>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2"/>
    </w:lvl>
  </w:abstractNum>
  <w:abstractNum w:abstractNumId="27">
    <w:nsid w:val="2463B9EA"/>
    <w:multiLevelType w:val="hybridMultilevel"/>
    <w:lvl w:ilvl="0">
      <w:lvlJc w:val="left"/>
      <w:lvlText w:val="(%1)"/>
      <w:numFmt w:val="lowerLetter"/>
      <w:start w:val="4"/>
    </w:lvl>
  </w:abstractNum>
  <w:abstractNum w:abstractNumId="28">
    <w:nsid w:val="5E884ADC"/>
    <w:multiLevelType w:val="hybridMultilevel"/>
    <w:lvl w:ilvl="0">
      <w:lvlJc w:val="left"/>
      <w:lvlText w:val="(%1)"/>
      <w:numFmt w:val="lowerLetter"/>
      <w:start w:val="8"/>
    </w:lvl>
  </w:abstractNum>
  <w:abstractNum w:abstractNumId="29">
    <w:nsid w:val="51EAD36B"/>
    <w:multiLevelType w:val="hybridMultilevel"/>
    <w:lvl w:ilvl="0">
      <w:lvlJc w:val="left"/>
      <w:lvlText w:val="(%1)"/>
      <w:numFmt w:val="lowerLetter"/>
      <w:start w:val="13"/>
    </w:lvl>
  </w:abstractNum>
  <w:abstractNum w:abstractNumId="30">
    <w:nsid w:val="2D517796"/>
    <w:multiLevelType w:val="hybridMultilevel"/>
    <w:lvl w:ilvl="0">
      <w:lvlJc w:val="left"/>
      <w:lvlText w:val="(%1)"/>
      <w:numFmt w:val="lowerLetter"/>
      <w:start w:val="16"/>
    </w:lvl>
  </w:abstractNum>
  <w:abstractNum w:abstractNumId="31">
    <w:nsid w:val="580BD78F"/>
    <w:multiLevelType w:val="hybridMultilevel"/>
    <w:lvl w:ilvl="0">
      <w:lvlJc w:val="left"/>
      <w:lvlText w:val="(%1)"/>
      <w:numFmt w:val="lowerLetter"/>
      <w:start w:val="22"/>
    </w:lvl>
  </w:abstractNum>
  <w:abstractNum w:abstractNumId="32">
    <w:nsid w:val="153EA438"/>
    <w:multiLevelType w:val="hybridMultilevel"/>
    <w:lvl w:ilvl="0">
      <w:lvlJc w:val="left"/>
      <w:lvlText w:val="%1."/>
      <w:numFmt w:val="decimal"/>
      <w:start w:val="8"/>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Roman"/>
      <w:start w:val="4"/>
    </w:lvl>
    <w:lvl w:ilvl="1">
      <w:lvlJc w:val="left"/>
      <w:lvlText w:val="(%2)"/>
      <w:numFmt w:val="lowerLetter"/>
      <w:start w:val="3"/>
    </w:lvl>
  </w:abstractNum>
  <w:abstractNum w:abstractNumId="35">
    <w:nsid w:val="6A2342EC"/>
    <w:multiLevelType w:val="hybridMultilevel"/>
    <w:lvl w:ilvl="0">
      <w:lvlJc w:val="left"/>
      <w:lvlText w:val="(%1)"/>
      <w:numFmt w:val="lowerLetter"/>
      <w:start w:val="9"/>
    </w:lvl>
  </w:abstractNum>
  <w:abstractNum w:abstractNumId="36">
    <w:nsid w:val="2A487CB0"/>
    <w:multiLevelType w:val="hybridMultilevel"/>
    <w:lvl w:ilvl="0">
      <w:lvlJc w:val="left"/>
      <w:lvlText w:val="%1."/>
      <w:numFmt w:val="decimal"/>
      <w:start w:val="9"/>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2"/>
    </w:lvl>
  </w:abstractNum>
  <w:abstractNum w:abstractNumId="39">
    <w:nsid w:val="2CD89A32"/>
    <w:multiLevelType w:val="hybridMultilevel"/>
    <w:lvl w:ilvl="0">
      <w:lvlJc w:val="left"/>
      <w:lvlText w:val="(%1)"/>
      <w:numFmt w:val="lowerLetter"/>
      <w:start w:val="4"/>
    </w:lvl>
  </w:abstractNum>
  <w:abstractNum w:abstractNumId="40">
    <w:nsid w:val="57E4CCAF"/>
    <w:multiLevelType w:val="hybridMultilevel"/>
    <w:lvl w:ilvl="0">
      <w:lvlJc w:val="left"/>
      <w:lvlText w:val="%1."/>
      <w:numFmt w:val="decimal"/>
      <w:start w:val="10"/>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1."/>
      <w:numFmt w:val="decimal"/>
      <w:start w:val="12"/>
    </w:lvl>
  </w:abstractNum>
  <w:abstractNum w:abstractNumId="44">
    <w:nsid w:val="6DE91B18"/>
    <w:multiLevelType w:val="hybridMultilevel"/>
    <w:lvl w:ilvl="0">
      <w:lvlJc w:val="left"/>
      <w:lvlText w:val="%1."/>
      <w:numFmt w:val="decimal"/>
      <w:start w:val="13"/>
    </w:lvl>
  </w:abstractNum>
  <w:abstractNum w:abstractNumId="45">
    <w:nsid w:val="38437FDB"/>
    <w:multiLevelType w:val="hybridMultilevel"/>
    <w:lvl w:ilvl="0">
      <w:lvlJc w:val="left"/>
      <w:lvlText w:val="%1."/>
      <w:numFmt w:val="decimal"/>
      <w:start w:val="17"/>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9"/>
    </w:lvl>
  </w:abstractNum>
  <w:abstractNum w:abstractNumId="48">
    <w:nsid w:val="684A48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2022-09-15T15:06:49Z</dcterms:created>
  <dcterms:modified xsi:type="dcterms:W3CDTF">2022-09-15T15:06:49Z</dcterms:modified>
</cp:coreProperties>
</file>