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565"/>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left="580" w:right="9040" w:hanging="5"/>
        <w:spacing w:after="0" w:line="225" w:lineRule="exact"/>
        <w:tabs>
          <w:tab w:leader="none" w:pos="114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35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30068X103</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w w:val="86"/>
              </w:rPr>
              <w:t>Page 2 of 9</w:t>
            </w:r>
          </w:p>
        </w:tc>
      </w:tr>
      <w:tr>
        <w:trPr>
          <w:trHeight w:val="469"/>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Hunt Holdings Limited Partnership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Texas</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1,011,324</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1,011,324</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1,011,324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6.26%</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7"/>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30068X103</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w w:val="86"/>
              </w:rPr>
              <w:t>Page 3 of 9</w:t>
            </w:r>
          </w:p>
        </w:tc>
      </w:tr>
      <w:tr>
        <w:trPr>
          <w:trHeight w:val="469"/>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HuntVest, LLC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Nevada</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1,011,324</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1,011,324</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1,011,324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6.26%</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4"/>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30068X103</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w w:val="86"/>
              </w:rPr>
              <w:t>Page 4 of 9</w:t>
            </w:r>
          </w:p>
        </w:tc>
      </w:tr>
      <w:tr>
        <w:trPr>
          <w:trHeight w:val="469"/>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Hunt Guaranty, Inc.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1,011,324</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1,011,324</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1,011,324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6.26%</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4"/>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30068X103</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w w:val="86"/>
              </w:rPr>
              <w:t>Page 5 of 9</w:t>
            </w:r>
          </w:p>
        </w:tc>
      </w:tr>
      <w:tr>
        <w:trPr>
          <w:trHeight w:val="469"/>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Woody L. Hunt</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160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160" w:hanging="112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280" w:hanging="328"/>
        <w:spacing w:after="0"/>
        <w:tabs>
          <w:tab w:leader="none" w:pos="2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 w:type="dxa"/>
            <w:vAlign w:val="bottom"/>
          </w:tcPr>
          <w:p>
            <w:pPr>
              <w:spacing w:after="0"/>
              <w:rPr>
                <w:sz w:val="20"/>
                <w:szCs w:val="20"/>
                <w:color w:val="auto"/>
              </w:rPr>
            </w:pPr>
          </w:p>
        </w:tc>
        <w:tc>
          <w:tcPr>
            <w:tcW w:w="1640" w:type="dxa"/>
            <w:vAlign w:val="bottom"/>
            <w:gridSpan w:val="2"/>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1,011,324</w:t>
            </w:r>
          </w:p>
        </w:tc>
        <w:tc>
          <w:tcPr>
            <w:tcW w:w="2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3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6</w:t>
            </w:r>
          </w:p>
        </w:tc>
        <w:tc>
          <w:tcPr>
            <w:tcW w:w="69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40" w:type="dxa"/>
            <w:vAlign w:val="bottom"/>
            <w:gridSpan w:val="2"/>
            <w:vMerge w:val="restart"/>
          </w:tcPr>
          <w:p>
            <w:pPr>
              <w:jc w:val="center"/>
              <w:ind w:right="150"/>
              <w:spacing w:after="0"/>
              <w:rPr>
                <w:sz w:val="20"/>
                <w:szCs w:val="20"/>
                <w:color w:val="auto"/>
              </w:rPr>
            </w:pPr>
            <w:r>
              <w:rPr>
                <w:rFonts w:ascii="Arial" w:cs="Arial" w:eastAsia="Arial" w:hAnsi="Arial"/>
                <w:sz w:val="18"/>
                <w:szCs w:val="18"/>
                <w:color w:val="auto"/>
                <w:w w:val="91"/>
              </w:rPr>
              <w:t>SHARES</w:t>
            </w:r>
          </w:p>
        </w:tc>
        <w:tc>
          <w:tcPr>
            <w:tcW w:w="3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690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40" w:type="dxa"/>
            <w:vAlign w:val="bottom"/>
            <w:gridSpan w:val="2"/>
          </w:tcPr>
          <w:p>
            <w:pPr>
              <w:jc w:val="center"/>
              <w:ind w:right="150"/>
              <w:spacing w:after="0"/>
              <w:rPr>
                <w:sz w:val="20"/>
                <w:szCs w:val="20"/>
                <w:color w:val="auto"/>
              </w:rPr>
            </w:pPr>
            <w:r>
              <w:rPr>
                <w:rFonts w:ascii="Arial" w:cs="Arial" w:eastAsia="Arial" w:hAnsi="Arial"/>
                <w:sz w:val="18"/>
                <w:szCs w:val="18"/>
                <w:color w:val="auto"/>
              </w:rPr>
              <w:t>BENEFICIALLY</w:t>
            </w:r>
          </w:p>
        </w:tc>
        <w:tc>
          <w:tcPr>
            <w:tcW w:w="360" w:type="dxa"/>
            <w:vAlign w:val="bottom"/>
            <w:tcBorders>
              <w:right w:val="single" w:sz="8" w:color="auto"/>
            </w:tcBorders>
          </w:tcPr>
          <w:p>
            <w:pPr>
              <w:spacing w:after="0"/>
              <w:rPr>
                <w:sz w:val="18"/>
                <w:szCs w:val="18"/>
                <w:color w:val="auto"/>
              </w:rPr>
            </w:pPr>
          </w:p>
        </w:tc>
        <w:tc>
          <w:tcPr>
            <w:tcW w:w="690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40" w:type="dxa"/>
            <w:vAlign w:val="bottom"/>
            <w:gridSpan w:val="2"/>
            <w:vMerge w:val="restart"/>
          </w:tcPr>
          <w:p>
            <w:pPr>
              <w:jc w:val="center"/>
              <w:ind w:right="150"/>
              <w:spacing w:after="0"/>
              <w:rPr>
                <w:sz w:val="20"/>
                <w:szCs w:val="20"/>
                <w:color w:val="auto"/>
              </w:rPr>
            </w:pPr>
            <w:r>
              <w:rPr>
                <w:rFonts w:ascii="Arial" w:cs="Arial" w:eastAsia="Arial" w:hAnsi="Arial"/>
                <w:sz w:val="18"/>
                <w:szCs w:val="18"/>
                <w:color w:val="auto"/>
                <w:w w:val="98"/>
              </w:rPr>
              <w:t>OWNED</w:t>
            </w:r>
          </w:p>
        </w:tc>
        <w:tc>
          <w:tcPr>
            <w:tcW w:w="360" w:type="dxa"/>
            <w:vAlign w:val="bottom"/>
            <w:tcBorders>
              <w:bottom w:val="single" w:sz="8" w:color="auto"/>
              <w:right w:val="single" w:sz="8" w:color="auto"/>
            </w:tcBorders>
          </w:tcPr>
          <w:p>
            <w:pPr>
              <w:spacing w:after="0"/>
              <w:rPr>
                <w:sz w:val="10"/>
                <w:szCs w:val="10"/>
                <w:color w:val="auto"/>
              </w:rPr>
            </w:pPr>
          </w:p>
        </w:tc>
        <w:tc>
          <w:tcPr>
            <w:tcW w:w="690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3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7</w:t>
            </w:r>
          </w:p>
        </w:tc>
        <w:tc>
          <w:tcPr>
            <w:tcW w:w="690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20" w:type="dxa"/>
            <w:vAlign w:val="bottom"/>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60" w:type="dxa"/>
            <w:vAlign w:val="bottom"/>
            <w:tcBorders>
              <w:right w:val="single" w:sz="8" w:color="auto"/>
            </w:tcBorders>
            <w:vMerge w:val="continue"/>
          </w:tcPr>
          <w:p>
            <w:pPr>
              <w:spacing w:after="0"/>
              <w:rPr>
                <w:sz w:val="18"/>
                <w:szCs w:val="18"/>
                <w:color w:val="auto"/>
              </w:rPr>
            </w:pPr>
          </w:p>
        </w:tc>
        <w:tc>
          <w:tcPr>
            <w:tcW w:w="690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40" w:type="dxa"/>
            <w:vAlign w:val="bottom"/>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360" w:type="dxa"/>
            <w:vAlign w:val="bottom"/>
            <w:tcBorders>
              <w:right w:val="single" w:sz="8" w:color="auto"/>
            </w:tcBorders>
          </w:tcPr>
          <w:p>
            <w:pPr>
              <w:spacing w:after="0"/>
              <w:rPr>
                <w:sz w:val="18"/>
                <w:szCs w:val="18"/>
                <w:color w:val="auto"/>
              </w:rPr>
            </w:pPr>
          </w:p>
        </w:tc>
        <w:tc>
          <w:tcPr>
            <w:tcW w:w="6900" w:type="dxa"/>
            <w:vAlign w:val="bottom"/>
            <w:vMerge w:val="restart"/>
          </w:tcPr>
          <w:p>
            <w:pPr>
              <w:spacing w:after="0"/>
              <w:rPr>
                <w:sz w:val="20"/>
                <w:szCs w:val="20"/>
                <w:color w:val="auto"/>
              </w:rPr>
            </w:pPr>
            <w:r>
              <w:rPr>
                <w:rFonts w:ascii="Arial" w:cs="Arial" w:eastAsia="Arial" w:hAnsi="Arial"/>
                <w:sz w:val="18"/>
                <w:szCs w:val="18"/>
                <w:color w:val="auto"/>
              </w:rPr>
              <w:t>1,011,324</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40" w:type="dxa"/>
            <w:vAlign w:val="bottom"/>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right w:val="single" w:sz="8" w:color="auto"/>
            </w:tcBorders>
          </w:tcPr>
          <w:p>
            <w:pPr>
              <w:spacing w:after="0"/>
              <w:rPr>
                <w:sz w:val="12"/>
                <w:szCs w:val="12"/>
                <w:color w:val="auto"/>
              </w:rPr>
            </w:pPr>
          </w:p>
        </w:tc>
        <w:tc>
          <w:tcPr>
            <w:tcW w:w="690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3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8</w:t>
            </w:r>
          </w:p>
        </w:tc>
        <w:tc>
          <w:tcPr>
            <w:tcW w:w="69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vMerge w:val="continue"/>
          </w:tcPr>
          <w:p>
            <w:pPr>
              <w:spacing w:after="0"/>
              <w:rPr>
                <w:sz w:val="15"/>
                <w:szCs w:val="15"/>
                <w:color w:val="auto"/>
              </w:rPr>
            </w:pPr>
          </w:p>
        </w:tc>
        <w:tc>
          <w:tcPr>
            <w:tcW w:w="690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900" w:type="dxa"/>
            <w:vAlign w:val="bottom"/>
          </w:tcPr>
          <w:p>
            <w:pPr>
              <w:ind w:left="20"/>
              <w:spacing w:after="0"/>
              <w:rPr>
                <w:sz w:val="20"/>
                <w:szCs w:val="20"/>
                <w:color w:val="auto"/>
              </w:rPr>
            </w:pPr>
            <w:r>
              <w:rPr>
                <w:rFonts w:ascii="Arial" w:cs="Arial" w:eastAsia="Arial" w:hAnsi="Arial"/>
                <w:sz w:val="18"/>
                <w:szCs w:val="18"/>
                <w:color w:val="auto"/>
              </w:rPr>
              <w:t>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1,011,324</w:t>
            </w:r>
          </w:p>
        </w:tc>
        <w:tc>
          <w:tcPr>
            <w:tcW w:w="36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6.26%</w:t>
            </w:r>
          </w:p>
        </w:tc>
        <w:tc>
          <w:tcPr>
            <w:tcW w:w="36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36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8"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30068X103</w:t>
            </w:r>
          </w:p>
        </w:tc>
        <w:tc>
          <w:tcPr>
            <w:tcW w:w="1660" w:type="dxa"/>
            <w:vAlign w:val="bottom"/>
          </w:tcPr>
          <w:p>
            <w:pPr>
              <w:spacing w:after="0"/>
              <w:rPr>
                <w:sz w:val="21"/>
                <w:szCs w:val="21"/>
                <w:color w:val="auto"/>
              </w:rPr>
            </w:pPr>
          </w:p>
        </w:tc>
        <w:tc>
          <w:tcPr>
            <w:tcW w:w="5100" w:type="dxa"/>
            <w:vAlign w:val="bottom"/>
            <w:tcBorders>
              <w:right w:val="single" w:sz="8" w:color="auto"/>
            </w:tcBorders>
          </w:tcPr>
          <w:p>
            <w:pPr>
              <w:ind w:left="104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w w:val="86"/>
              </w:rPr>
              <w:t>Page 6 of 9</w:t>
            </w:r>
          </w:p>
        </w:tc>
      </w:tr>
      <w:tr>
        <w:trPr>
          <w:trHeight w:val="705"/>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020" w:type="dxa"/>
            <w:vAlign w:val="bottom"/>
            <w:gridSpan w:val="2"/>
          </w:tcPr>
          <w:p>
            <w:pPr>
              <w:ind w:left="220"/>
              <w:spacing w:after="0"/>
              <w:rPr>
                <w:sz w:val="20"/>
                <w:szCs w:val="20"/>
                <w:color w:val="auto"/>
              </w:rPr>
            </w:pPr>
            <w:r>
              <w:rPr>
                <w:rFonts w:ascii="Arial" w:cs="Arial" w:eastAsia="Arial" w:hAnsi="Arial"/>
                <w:sz w:val="18"/>
                <w:szCs w:val="18"/>
                <w:b w:val="1"/>
                <w:bCs w:val="1"/>
                <w:color w:val="auto"/>
                <w:w w:val="90"/>
              </w:rPr>
              <w:t>(a)Name of Issuer:</w:t>
            </w:r>
          </w:p>
        </w:tc>
        <w:tc>
          <w:tcPr>
            <w:tcW w:w="510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Exagen Inc.</w:t>
      </w:r>
    </w:p>
    <w:p>
      <w:pPr>
        <w:spacing w:after="0" w:line="221" w:lineRule="exact"/>
        <w:rPr>
          <w:sz w:val="20"/>
          <w:szCs w:val="20"/>
          <w:color w:val="auto"/>
        </w:rPr>
      </w:pPr>
    </w:p>
    <w:p>
      <w:pPr>
        <w:ind w:left="1680" w:hanging="552"/>
        <w:spacing w:after="0"/>
        <w:tabs>
          <w:tab w:leader="none" w:pos="1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1261 Liberty Way, Suite C</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Vista, California 92081</w:t>
      </w:r>
    </w:p>
    <w:p>
      <w:pPr>
        <w:spacing w:after="0" w:line="207" w:lineRule="exact"/>
        <w:rPr>
          <w:sz w:val="20"/>
          <w:szCs w:val="20"/>
          <w:color w:val="auto"/>
        </w:rPr>
      </w:pPr>
    </w:p>
    <w:p>
      <w:pPr>
        <w:spacing w:after="0"/>
        <w:tabs>
          <w:tab w:leader="none" w:pos="1100" w:val="left"/>
          <w:tab w:leader="none" w:pos="1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1120" w:right="600"/>
        <w:spacing w:after="0" w:line="277" w:lineRule="auto"/>
        <w:rPr>
          <w:sz w:val="20"/>
          <w:szCs w:val="20"/>
          <w:color w:val="auto"/>
        </w:rPr>
      </w:pPr>
      <w:r>
        <w:rPr>
          <w:rFonts w:ascii="Arial" w:cs="Arial" w:eastAsia="Arial" w:hAnsi="Arial"/>
          <w:sz w:val="18"/>
          <w:szCs w:val="18"/>
          <w:color w:val="auto"/>
        </w:rPr>
        <w:t>This statement is being filed on behalf of each of the following persons (each, a “</w:t>
      </w:r>
      <w:r>
        <w:rPr>
          <w:rFonts w:ascii="Arial" w:cs="Arial" w:eastAsia="Arial" w:hAnsi="Arial"/>
          <w:sz w:val="18"/>
          <w:szCs w:val="18"/>
          <w:u w:val="single" w:color="auto"/>
          <w:color w:val="auto"/>
        </w:rPr>
        <w:t>Reporting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w:t>
      </w:r>
    </w:p>
    <w:p>
      <w:pPr>
        <w:spacing w:after="0" w:line="170" w:lineRule="exact"/>
        <w:rPr>
          <w:sz w:val="20"/>
          <w:szCs w:val="20"/>
          <w:color w:val="auto"/>
        </w:rPr>
      </w:pPr>
    </w:p>
    <w:p>
      <w:pPr>
        <w:ind w:left="2340" w:hanging="658"/>
        <w:spacing w:after="0"/>
        <w:tabs>
          <w:tab w:leader="none" w:pos="2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Hunt Holdings Limited Partnership (“</w:t>
      </w:r>
      <w:r>
        <w:rPr>
          <w:rFonts w:ascii="Arial" w:cs="Arial" w:eastAsia="Arial" w:hAnsi="Arial"/>
          <w:sz w:val="18"/>
          <w:szCs w:val="18"/>
          <w:u w:val="single" w:color="auto"/>
          <w:color w:val="auto"/>
        </w:rPr>
        <w:t>Hunt Holdings LP</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2360" w:hanging="678"/>
        <w:spacing w:after="0"/>
        <w:tabs>
          <w:tab w:leader="none" w:pos="2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HuntVest, LLC (“</w:t>
      </w:r>
      <w:r>
        <w:rPr>
          <w:rFonts w:ascii="Arial" w:cs="Arial" w:eastAsia="Arial" w:hAnsi="Arial"/>
          <w:sz w:val="18"/>
          <w:szCs w:val="18"/>
          <w:u w:val="single" w:color="auto"/>
          <w:color w:val="auto"/>
        </w:rPr>
        <w:t>HuntVest</w:t>
      </w:r>
      <w:r>
        <w:rPr>
          <w:rFonts w:ascii="Arial" w:cs="Arial" w:eastAsia="Arial" w:hAnsi="Arial"/>
          <w:sz w:val="18"/>
          <w:szCs w:val="18"/>
          <w:color w:val="auto"/>
        </w:rPr>
        <w:t>”), the general partner of Hunt Holdings LP;</w:t>
      </w:r>
    </w:p>
    <w:p>
      <w:pPr>
        <w:spacing w:after="0" w:line="9" w:lineRule="exact"/>
        <w:rPr>
          <w:rFonts w:ascii="Arial" w:cs="Arial" w:eastAsia="Arial" w:hAnsi="Arial"/>
          <w:sz w:val="18"/>
          <w:szCs w:val="18"/>
          <w:color w:val="auto"/>
        </w:rPr>
      </w:pPr>
    </w:p>
    <w:p>
      <w:pPr>
        <w:ind w:left="2360" w:hanging="678"/>
        <w:spacing w:after="0"/>
        <w:tabs>
          <w:tab w:leader="none" w:pos="2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Hunt Guaranty, Inc. (“</w:t>
      </w:r>
      <w:r>
        <w:rPr>
          <w:rFonts w:ascii="Arial" w:cs="Arial" w:eastAsia="Arial" w:hAnsi="Arial"/>
          <w:sz w:val="18"/>
          <w:szCs w:val="18"/>
          <w:u w:val="single" w:color="auto"/>
          <w:color w:val="auto"/>
        </w:rPr>
        <w:t>Hunt Guaranty</w:t>
      </w:r>
      <w:r>
        <w:rPr>
          <w:rFonts w:ascii="Arial" w:cs="Arial" w:eastAsia="Arial" w:hAnsi="Arial"/>
          <w:sz w:val="18"/>
          <w:szCs w:val="18"/>
          <w:color w:val="auto"/>
        </w:rPr>
        <w:t>”), the sole member of HuntVest; and</w:t>
      </w:r>
    </w:p>
    <w:p>
      <w:pPr>
        <w:spacing w:after="0" w:line="9" w:lineRule="exact"/>
        <w:rPr>
          <w:rFonts w:ascii="Arial" w:cs="Arial" w:eastAsia="Arial" w:hAnsi="Arial"/>
          <w:sz w:val="18"/>
          <w:szCs w:val="18"/>
          <w:color w:val="auto"/>
        </w:rPr>
      </w:pPr>
    </w:p>
    <w:p>
      <w:pPr>
        <w:ind w:left="2340" w:hanging="658"/>
        <w:spacing w:after="0"/>
        <w:tabs>
          <w:tab w:leader="none" w:pos="2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Woody L. Hunt (“</w:t>
      </w:r>
      <w:r>
        <w:rPr>
          <w:rFonts w:ascii="Arial" w:cs="Arial" w:eastAsia="Arial" w:hAnsi="Arial"/>
          <w:sz w:val="18"/>
          <w:szCs w:val="18"/>
          <w:u w:val="single" w:color="auto"/>
          <w:color w:val="auto"/>
        </w:rPr>
        <w:t>Mr.Hunt</w:t>
      </w:r>
      <w:r>
        <w:rPr>
          <w:rFonts w:ascii="Arial" w:cs="Arial" w:eastAsia="Arial" w:hAnsi="Arial"/>
          <w:sz w:val="18"/>
          <w:szCs w:val="18"/>
          <w:color w:val="auto"/>
        </w:rPr>
        <w:t>”), the majority shareholder of Hunt Guaranty.</w:t>
      </w:r>
    </w:p>
    <w:p>
      <w:pPr>
        <w:spacing w:after="0" w:line="206" w:lineRule="exact"/>
        <w:rPr>
          <w:rFonts w:ascii="Arial" w:cs="Arial" w:eastAsia="Arial" w:hAnsi="Arial"/>
          <w:sz w:val="18"/>
          <w:szCs w:val="18"/>
          <w:color w:val="auto"/>
        </w:rPr>
      </w:pPr>
    </w:p>
    <w:p>
      <w:pPr>
        <w:ind w:left="1680" w:hanging="552"/>
        <w:spacing w:after="0"/>
        <w:tabs>
          <w:tab w:leader="none" w:pos="1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rFonts w:ascii="Arial" w:cs="Arial" w:eastAsia="Arial" w:hAnsi="Arial"/>
          <w:sz w:val="18"/>
          <w:szCs w:val="18"/>
          <w:b w:val="1"/>
          <w:bCs w:val="1"/>
          <w:color w:val="auto"/>
        </w:rPr>
      </w:pPr>
    </w:p>
    <w:p>
      <w:pPr>
        <w:ind w:left="1680" w:right="7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601 N. Mesa Street, Suite 1900 El Paso, TX 79901</w:t>
      </w:r>
    </w:p>
    <w:p>
      <w:pPr>
        <w:spacing w:after="0" w:line="166" w:lineRule="exact"/>
        <w:rPr>
          <w:rFonts w:ascii="Arial" w:cs="Arial" w:eastAsia="Arial" w:hAnsi="Arial"/>
          <w:sz w:val="18"/>
          <w:szCs w:val="18"/>
          <w:b w:val="1"/>
          <w:bCs w:val="1"/>
          <w:color w:val="auto"/>
        </w:rPr>
      </w:pPr>
    </w:p>
    <w:p>
      <w:pPr>
        <w:ind w:left="1680" w:hanging="552"/>
        <w:spacing w:after="0"/>
        <w:tabs>
          <w:tab w:leader="none" w:pos="1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rFonts w:ascii="Arial" w:cs="Arial" w:eastAsia="Arial" w:hAnsi="Arial"/>
          <w:sz w:val="18"/>
          <w:szCs w:val="18"/>
          <w:b w:val="1"/>
          <w:bCs w:val="1"/>
          <w:color w:val="auto"/>
        </w:rPr>
      </w:pPr>
    </w:p>
    <w:p>
      <w:pPr>
        <w:ind w:left="1680"/>
        <w:spacing w:after="0"/>
        <w:rPr>
          <w:rFonts w:ascii="Arial" w:cs="Arial" w:eastAsia="Arial" w:hAnsi="Arial"/>
          <w:sz w:val="18"/>
          <w:szCs w:val="18"/>
          <w:b w:val="1"/>
          <w:bCs w:val="1"/>
          <w:color w:val="auto"/>
        </w:rPr>
      </w:pPr>
      <w:r>
        <w:rPr>
          <w:rFonts w:ascii="Arial" w:cs="Arial" w:eastAsia="Arial" w:hAnsi="Arial"/>
          <w:sz w:val="18"/>
          <w:szCs w:val="18"/>
          <w:color w:val="auto"/>
        </w:rPr>
        <w:t>See row 4 of the cover page of each Reporting Person.</w:t>
      </w:r>
    </w:p>
    <w:p>
      <w:pPr>
        <w:spacing w:after="0" w:line="221" w:lineRule="exact"/>
        <w:rPr>
          <w:rFonts w:ascii="Arial" w:cs="Arial" w:eastAsia="Arial" w:hAnsi="Arial"/>
          <w:sz w:val="18"/>
          <w:szCs w:val="18"/>
          <w:b w:val="1"/>
          <w:bCs w:val="1"/>
          <w:color w:val="auto"/>
        </w:rPr>
      </w:pPr>
    </w:p>
    <w:p>
      <w:pPr>
        <w:ind w:left="1680" w:right="7500" w:hanging="552"/>
        <w:spacing w:after="0" w:line="563" w:lineRule="auto"/>
        <w:tabs>
          <w:tab w:leader="none" w:pos="16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See cover page.</w:t>
      </w:r>
    </w:p>
    <w:p>
      <w:pPr>
        <w:ind w:left="1680" w:right="8280" w:hanging="552"/>
        <w:spacing w:after="0" w:line="530" w:lineRule="auto"/>
        <w:tabs>
          <w:tab w:leader="none" w:pos="16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See cover page.</w:t>
      </w:r>
    </w:p>
    <w:p>
      <w:pPr>
        <w:spacing w:after="0" w:line="1" w:lineRule="exact"/>
        <w:rPr>
          <w:sz w:val="20"/>
          <w:szCs w:val="20"/>
          <w:color w:val="auto"/>
        </w:rPr>
      </w:pPr>
    </w:p>
    <w:p>
      <w:pPr>
        <w:ind w:left="1120" w:right="100" w:hanging="1119"/>
        <w:spacing w:after="0" w:line="282" w:lineRule="auto"/>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§240.13D-1(B) OR 240.13D-2(B) OR (C), CHECK WHETHER THE PERSON FILING IS A:</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30068X103</w:t>
            </w:r>
          </w:p>
        </w:tc>
        <w:tc>
          <w:tcPr>
            <w:tcW w:w="1340" w:type="dxa"/>
            <w:vAlign w:val="bottom"/>
          </w:tcPr>
          <w:p>
            <w:pPr>
              <w:spacing w:after="0"/>
              <w:rPr>
                <w:sz w:val="21"/>
                <w:szCs w:val="21"/>
                <w:color w:val="auto"/>
              </w:rPr>
            </w:pPr>
          </w:p>
        </w:tc>
        <w:tc>
          <w:tcPr>
            <w:tcW w:w="5420" w:type="dxa"/>
            <w:vAlign w:val="bottom"/>
            <w:tcBorders>
              <w:right w:val="single" w:sz="8" w:color="auto"/>
            </w:tcBorders>
          </w:tcPr>
          <w:p>
            <w:pPr>
              <w:ind w:left="136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w w:val="86"/>
              </w:rPr>
              <w:t>Page 7 of 9</w:t>
            </w:r>
          </w:p>
        </w:tc>
      </w:tr>
      <w:tr>
        <w:trPr>
          <w:trHeight w:val="463"/>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270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w:t>
            </w:r>
          </w:p>
        </w:tc>
        <w:tc>
          <w:tcPr>
            <w:tcW w:w="542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202" w:lineRule="exact"/>
        <w:rPr>
          <w:sz w:val="20"/>
          <w:szCs w:val="20"/>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See row 9 of the cover page of each Reporting Person.</w:t>
      </w:r>
    </w:p>
    <w:p>
      <w:pPr>
        <w:spacing w:after="0" w:line="225" w:lineRule="exact"/>
        <w:rPr>
          <w:rFonts w:ascii="Arial" w:cs="Arial" w:eastAsia="Arial" w:hAnsi="Arial"/>
          <w:sz w:val="18"/>
          <w:szCs w:val="18"/>
          <w:color w:val="auto"/>
        </w:rPr>
      </w:pPr>
    </w:p>
    <w:p>
      <w:pPr>
        <w:ind w:left="1700" w:right="160"/>
        <w:spacing w:after="0" w:line="279" w:lineRule="auto"/>
        <w:rPr>
          <w:rFonts w:ascii="Arial" w:cs="Arial" w:eastAsia="Arial" w:hAnsi="Arial"/>
          <w:sz w:val="18"/>
          <w:szCs w:val="18"/>
          <w:color w:val="auto"/>
        </w:rPr>
      </w:pPr>
      <w:r>
        <w:rPr>
          <w:rFonts w:ascii="Arial" w:cs="Arial" w:eastAsia="Arial" w:hAnsi="Arial"/>
          <w:sz w:val="17"/>
          <w:szCs w:val="17"/>
          <w:color w:val="auto"/>
        </w:rPr>
        <w:t>As of the date hereof, Hunt Holdings LP directly owns 1,011,324 shares of common stock, par value $0.001 per share (“Common Stock”) of the Issuer. Woody L. Hunt is the majority shareholder of Hunt Guaranty, which is the sole member of HuntVest, which is the general partner of Hunt Holdings LP. As a result, Mr. Hunt and each of the foregoing entities may be deemed to have an indirect beneficial ownership of the shares directly beneficially owned by Hunt Holdings LP.</w:t>
      </w:r>
    </w:p>
    <w:p>
      <w:pPr>
        <w:spacing w:after="0" w:line="171" w:lineRule="exact"/>
        <w:rPr>
          <w:rFonts w:ascii="Arial" w:cs="Arial" w:eastAsia="Arial" w:hAnsi="Arial"/>
          <w:sz w:val="18"/>
          <w:szCs w:val="18"/>
          <w:color w:val="auto"/>
        </w:rPr>
      </w:pPr>
    </w:p>
    <w:p>
      <w:pPr>
        <w:ind w:left="1700"/>
        <w:spacing w:after="0" w:line="275" w:lineRule="auto"/>
        <w:rPr>
          <w:rFonts w:ascii="Arial" w:cs="Arial" w:eastAsia="Arial" w:hAnsi="Arial"/>
          <w:sz w:val="18"/>
          <w:szCs w:val="18"/>
          <w:color w:val="auto"/>
        </w:rPr>
      </w:pPr>
      <w:r>
        <w:rPr>
          <w:rFonts w:ascii="Arial" w:cs="Arial" w:eastAsia="Arial" w:hAnsi="Arial"/>
          <w:sz w:val="17"/>
          <w:szCs w:val="17"/>
          <w:color w:val="auto"/>
        </w:rPr>
        <w:t>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Reporting Person.</w:t>
      </w:r>
    </w:p>
    <w:p>
      <w:pPr>
        <w:spacing w:after="0" w:line="176" w:lineRule="exact"/>
        <w:rPr>
          <w:rFonts w:ascii="Arial" w:cs="Arial" w:eastAsia="Arial" w:hAnsi="Arial"/>
          <w:sz w:val="18"/>
          <w:szCs w:val="18"/>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00" w:right="40"/>
        <w:spacing w:after="0" w:line="263" w:lineRule="auto"/>
        <w:rPr>
          <w:rFonts w:ascii="Arial" w:cs="Arial" w:eastAsia="Arial" w:hAnsi="Arial"/>
          <w:sz w:val="18"/>
          <w:szCs w:val="18"/>
          <w:color w:val="auto"/>
        </w:rPr>
      </w:pPr>
      <w:r>
        <w:rPr>
          <w:rFonts w:ascii="Arial" w:cs="Arial" w:eastAsia="Arial" w:hAnsi="Arial"/>
          <w:sz w:val="18"/>
          <w:szCs w:val="18"/>
          <w:color w:val="auto"/>
        </w:rPr>
        <w:t>The calculation of beneficial ownership percentage is based on 16,164,232 shares of Common Stock outstanding as of November 5, 2021, as reported by the Issuer in its Form 10-Q filed with the Securities and Exchange Commission for the quarter ended September 30, 2021.</w:t>
      </w:r>
    </w:p>
    <w:p>
      <w:pPr>
        <w:spacing w:after="0" w:line="183" w:lineRule="exact"/>
        <w:rPr>
          <w:rFonts w:ascii="Arial" w:cs="Arial" w:eastAsia="Arial" w:hAnsi="Arial"/>
          <w:sz w:val="18"/>
          <w:szCs w:val="18"/>
          <w:color w:val="auto"/>
        </w:rPr>
      </w:pPr>
    </w:p>
    <w:p>
      <w:pPr>
        <w:ind w:left="1700" w:hanging="558"/>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2260" w:hanging="551"/>
        <w:spacing w:after="0"/>
        <w:tabs>
          <w:tab w:leader="none" w:pos="2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See row 5 of the cover page of each Reporting Person.</w:t>
      </w:r>
    </w:p>
    <w:p>
      <w:pPr>
        <w:spacing w:after="0" w:line="225" w:lineRule="exact"/>
        <w:rPr>
          <w:rFonts w:ascii="Arial" w:cs="Arial" w:eastAsia="Arial" w:hAnsi="Arial"/>
          <w:sz w:val="18"/>
          <w:szCs w:val="18"/>
          <w:color w:val="auto"/>
        </w:rPr>
      </w:pPr>
    </w:p>
    <w:p>
      <w:pPr>
        <w:ind w:left="2260" w:hanging="551"/>
        <w:spacing w:after="0"/>
        <w:tabs>
          <w:tab w:leader="none" w:pos="2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See row 6 of the cover page of each Reporting Person.</w:t>
      </w:r>
    </w:p>
    <w:p>
      <w:pPr>
        <w:spacing w:after="0" w:line="225" w:lineRule="exact"/>
        <w:rPr>
          <w:rFonts w:ascii="Arial" w:cs="Arial" w:eastAsia="Arial" w:hAnsi="Arial"/>
          <w:sz w:val="18"/>
          <w:szCs w:val="18"/>
          <w:color w:val="auto"/>
        </w:rPr>
      </w:pPr>
    </w:p>
    <w:p>
      <w:pPr>
        <w:ind w:left="2260" w:right="5060" w:hanging="551"/>
        <w:spacing w:after="0" w:line="563" w:lineRule="auto"/>
        <w:tabs>
          <w:tab w:leader="none" w:pos="2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the cover page of each Reporting Person.</w:t>
      </w:r>
    </w:p>
    <w:p>
      <w:pPr>
        <w:jc w:val="both"/>
        <w:ind w:left="2260" w:right="5040" w:hanging="551"/>
        <w:spacing w:after="0" w:line="623" w:lineRule="auto"/>
        <w:tabs>
          <w:tab w:leader="none" w:pos="2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row 8 of the cover page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30068X103</w:t>
            </w:r>
          </w:p>
        </w:tc>
        <w:tc>
          <w:tcPr>
            <w:tcW w:w="676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w w:val="86"/>
              </w:rPr>
              <w:t>Page 8 of 9</w:t>
            </w:r>
          </w:p>
        </w:tc>
      </w:tr>
      <w:tr>
        <w:trPr>
          <w:trHeight w:val="705"/>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812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 OF FIVE PERCENT OR LESS OF A CLASS.</w:t>
            </w:r>
          </w:p>
        </w:tc>
        <w:tc>
          <w:tcPr>
            <w:tcW w:w="22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ind w:left="240"/>
              <w:spacing w:after="0"/>
              <w:rPr>
                <w:sz w:val="20"/>
                <w:szCs w:val="20"/>
                <w:color w:val="auto"/>
              </w:rPr>
            </w:pPr>
            <w:r>
              <w:rPr>
                <w:rFonts w:ascii="Arial" w:cs="Arial" w:eastAsia="Arial" w:hAnsi="Arial"/>
                <w:sz w:val="18"/>
                <w:szCs w:val="18"/>
                <w:color w:val="auto"/>
                <w:w w:val="90"/>
              </w:rPr>
              <w:t>Not applicable.</w:t>
            </w:r>
          </w:p>
        </w:tc>
        <w:tc>
          <w:tcPr>
            <w:tcW w:w="67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812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22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ind w:left="240"/>
              <w:spacing w:after="0"/>
              <w:rPr>
                <w:sz w:val="20"/>
                <w:szCs w:val="20"/>
                <w:color w:val="auto"/>
              </w:rPr>
            </w:pPr>
            <w:r>
              <w:rPr>
                <w:rFonts w:ascii="Arial" w:cs="Arial" w:eastAsia="Arial" w:hAnsi="Arial"/>
                <w:sz w:val="18"/>
                <w:szCs w:val="18"/>
                <w:color w:val="auto"/>
                <w:w w:val="90"/>
              </w:rPr>
              <w:t>Not applicable.</w:t>
            </w:r>
          </w:p>
        </w:tc>
        <w:tc>
          <w:tcPr>
            <w:tcW w:w="67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198" w:lineRule="exact"/>
        <w:rPr>
          <w:sz w:val="20"/>
          <w:szCs w:val="20"/>
          <w:color w:val="auto"/>
        </w:rPr>
      </w:pPr>
    </w:p>
    <w:p>
      <w:pPr>
        <w:ind w:left="1140" w:right="9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Index</w:t>
      </w:r>
    </w:p>
    <w:p>
      <w:pPr>
        <w:spacing w:after="0" w:line="200" w:lineRule="exact"/>
        <w:rPr>
          <w:sz w:val="20"/>
          <w:szCs w:val="20"/>
          <w:color w:val="auto"/>
        </w:rPr>
      </w:pPr>
    </w:p>
    <w:p>
      <w:pPr>
        <w:spacing w:after="0" w:line="262" w:lineRule="exact"/>
        <w:rPr>
          <w:sz w:val="20"/>
          <w:szCs w:val="20"/>
          <w:color w:val="auto"/>
        </w:rPr>
      </w:pPr>
    </w:p>
    <w:p>
      <w:pPr>
        <w:ind w:left="1140" w:right="100" w:hanging="1133"/>
        <w:spacing w:after="0" w:line="277" w:lineRule="auto"/>
        <w:tabs>
          <w:tab w:leader="none" w:pos="1120" w:val="left"/>
        </w:tabs>
        <w:rPr>
          <w:sz w:val="20"/>
          <w:szCs w:val="20"/>
          <w:color w:val="auto"/>
        </w:rPr>
      </w:pPr>
      <w:r>
        <w:rPr>
          <w:rFonts w:ascii="Arial" w:cs="Arial" w:eastAsia="Arial" w:hAnsi="Arial"/>
          <w:sz w:val="18"/>
          <w:szCs w:val="18"/>
          <w:color w:val="auto"/>
        </w:rPr>
        <w:t>Exhibit 99.1</w:t>
        <w:tab/>
        <w:t>Joint Filing Agreement, dated as of February 7, 2020, among Hunt Holdings Limited Partnership, HuntVest, LLC, Hunt Guaranty, Inc. and Woody L. Hunt.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30068X103</w:t>
            </w:r>
          </w:p>
        </w:tc>
        <w:tc>
          <w:tcPr>
            <w:tcW w:w="676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color w:val="auto"/>
                <w:w w:val="86"/>
              </w:rPr>
              <w:t>Page 9 of 9</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3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8, 2022</w:t>
      </w: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HUNT HOLDINGS LIMITED PARTNERSHIP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HuntVest, LLC, its general partner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Hunt Guaranty, Inc., its sole member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D. Hunt</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Matthew D. Hunt</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Partner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color w:val="auto"/>
              </w:rPr>
              <w:t>HUNTVEST,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Hunt Guaranty, Inc., its sole member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D. Hunt</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Matthew D. Hunt</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Partner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color w:val="auto"/>
              </w:rPr>
              <w:t>HUNT GUARANTY, INC.</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D. Hunt</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Matthew D. Hunt</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Partner</w:t>
            </w:r>
          </w:p>
        </w:tc>
      </w:tr>
    </w:tbl>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Paul D.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Paul D. Donnelly, attorney-in-fact for Woody 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4"/>
      <w:numFmt w:val="bullet"/>
      <w:start w:val="1"/>
    </w:lvl>
  </w:abstractNum>
  <w:abstractNum w:abstractNumId="2">
    <w:nsid w:val="2EB141F2"/>
    <w:multiLevelType w:val="hybridMultilevel"/>
    <w:lvl w:ilvl="0">
      <w:lvlJc w:val="left"/>
      <w:lvlText w:val="4"/>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5"/>
      <w:numFmt w:val="bullet"/>
      <w:start w:val="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1"/>
    </w:lvl>
    <w:lvl w:ilvl="1">
      <w:lvlJc w:val="left"/>
      <w:lvlText w:val="(%2)"/>
      <w:numFmt w:val="lowerRoman"/>
      <w:start w:val="1"/>
    </w:lvl>
  </w:abstractNum>
  <w:abstractNum w:abstractNumId="8">
    <w:nsid w:val="12200854"/>
    <w:multiLevelType w:val="hybridMultilevel"/>
    <w:lvl w:ilvl="0">
      <w:lvlJc w:val="left"/>
      <w:lvlText w:val="(%1)"/>
      <w:numFmt w:val="lowerLetter"/>
      <w:start w:val="2"/>
    </w:lvl>
    <w:lvl w:ilvl="1">
      <w:lvlJc w:val="left"/>
      <w:lvlText w:val="%2"/>
      <w:numFmt w:val="lowerRoman"/>
      <w:start w:val="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2022-02-08T15:15:15Z</dcterms:created>
  <dcterms:modified xsi:type="dcterms:W3CDTF">2022-02-08T15:15:15Z</dcterms:modified>
</cp:coreProperties>
</file>