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22,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74"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22, 2021, Exagen Inc. ("Exagen" or the "Company") entered into an underwriting agreement (the "Underwriting Agreement") with Cowen and Company, LLC, William Blair &amp; Company, L.L.C. and Cantor Fitzgerald &amp; Co., as representatives of the several underwriters named therein (collectively, the "Underwriters"), relating to the issuance and sale of 3,700,000 shares of the Company's common stock, par value $0.001 per share (the "Common Stock"). The price to the public in this offering is $16.25 per share. The Underwriters have agreed to purchase the shares from the Company pursuant to the Underwriting Agreement at a price of $15.275 per share. The net proceeds to the Company from this offering are expected to be approximately $56.3 million, or approximately $64.8 million if the Underwriters' option to purchase additional shares is exercised in full, after deducting underwriting discounts and commissions and estimated offering expenses payable by the Company. In addition, under the terms of the Underwriting Agreement, the Company has granted the Underwriters a 30-day option to purchase up to 555,000 additional shares of Common Stock. The offering is expected to close on March 25, 2021, subject to the satisfaction of customary closing conditions.</w:t>
      </w:r>
    </w:p>
    <w:p>
      <w:pPr>
        <w:spacing w:after="0" w:line="12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offering is being made pursuant to the Company's shelf registration statement on Form S-3 (Registration Statement No. 333-250015) previously filed with and declared effective by the Securities and Exchange Commission (the "SEC"), and prospectus supplement and accompanying prospectus filed with the SEC.</w:t>
      </w:r>
    </w:p>
    <w:p>
      <w:pPr>
        <w:spacing w:after="0" w:line="13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foregoing description of the Underwriting Agreement is not complete and is qualified in its entirety by reference to the full text of the Underwriting Agreement, a copy of which is filed as Exhibit 1.1 to this report and is incorporated by reference herein. A copy of the opinion of Latham &amp; Watkins LLP relating to the legality of the issuance and sale of Common Stock in the offering is attached as Exhibit 5.1 to this report.</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issued press releases on March 22, 2021 announcing the commencement and pricing of the offering, which press releases are attached as Exhibits 99.1 and 99.2, respectively, to this report.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Exagen cautions you that statements included in this report that are not a description of historical facts are forward-looking statements. These forward-looking statements include statements regarding the completion of the offering and the expected net proceeds therefrom. The inclusion of forward-looking statements should not be regarded as a representation by Exagen that any of these results will be achieved. Actual results may differ from those set forth in this report due to the risks and uncertainties associated with market conditions and the satisfaction of customary closing conditions related to the offering, as well as risks and uncertainties inherent in Exagen’s business, including those described in the Company’s other filings with the SEC. You are cautioned not to place undue reliance on these forward-looking statements, which speak only as of the date hereof, and Exagen undertakes no obligation to revise or update this report to reflect events or circumstances after the date hereof. All forward-looking statements are qualified in their entirety by this cautionary statement. This caution is made under the safe harbor provisions of Section 21E of the Private Securities Litigation Reform Act of 1995.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00"/>
          </w:cols>
          <w:pgMar w:left="320" w:top="1336" w:right="379" w:bottom="1440" w:gutter="0" w:footer="0" w:header="0"/>
        </w:sectPr>
      </w:pPr>
    </w:p>
    <w:bookmarkStart w:id="2" w:name="page3"/>
    <w:bookmarkEnd w:id="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08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0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Underwriting Agreement, dated March 22, 2021, by and among Exagen Inc. and Cowen and Company, LLC, William Blair &amp;</w:t>
              </w:r>
            </w:hyperlink>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80" w:type="dxa"/>
            <w:vAlign w:val="bottom"/>
            <w:gridSpan w:val="4"/>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Company, L.L.C. and Cantor Fitzgerald &amp; Co., as representatives of the several underwriters named therein</w:t>
              </w:r>
            </w:hyperlink>
          </w:p>
        </w:tc>
      </w:tr>
      <w:tr>
        <w:trPr>
          <w:trHeight w:val="479"/>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2600" w:type="dxa"/>
            <w:vAlign w:val="bottom"/>
            <w:tcBorders>
              <w:top w:val="single" w:sz="8" w:color="0000FF"/>
              <w:bottom w:val="single" w:sz="8" w:color="0000FF"/>
            </w:tcBorders>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Opinion of Latham &amp; Watkins LLP</w:t>
              </w:r>
            </w:hyperlink>
          </w:p>
        </w:tc>
        <w:tc>
          <w:tcPr>
            <w:tcW w:w="5140" w:type="dxa"/>
            <w:vAlign w:val="bottom"/>
            <w:tcBorders>
              <w:top w:val="single" w:sz="8" w:color="0000FF"/>
            </w:tcBorders>
            <w:gridSpan w:val="2"/>
          </w:tcPr>
          <w:p>
            <w:pPr>
              <w:spacing w:after="0"/>
              <w:rPr>
                <w:sz w:val="24"/>
                <w:szCs w:val="24"/>
                <w:color w:val="auto"/>
              </w:rPr>
            </w:pPr>
          </w:p>
        </w:tc>
        <w:tc>
          <w:tcPr>
            <w:tcW w:w="1340" w:type="dxa"/>
            <w:vAlign w:val="bottom"/>
          </w:tcPr>
          <w:p>
            <w:pPr>
              <w:spacing w:after="0"/>
              <w:rPr>
                <w:sz w:val="24"/>
                <w:szCs w:val="24"/>
                <w:color w:val="auto"/>
              </w:rPr>
            </w:pPr>
          </w:p>
        </w:tc>
      </w:tr>
      <w:tr>
        <w:trPr>
          <w:trHeight w:val="318"/>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08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Consent of Latham &amp; Watkins LLP (included in Exhibit 5.1)</w:t>
              </w:r>
            </w:hyperlink>
          </w:p>
        </w:tc>
      </w:tr>
      <w:tr>
        <w:trPr>
          <w:trHeight w:val="318"/>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4360" w:type="dxa"/>
            <w:vAlign w:val="bottom"/>
            <w:tcBorders>
              <w:top w:val="single" w:sz="8" w:color="0000FF"/>
            </w:tcBorders>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Press Release dated March 22, 2021</w:t>
              </w:r>
            </w:hyperlink>
          </w:p>
        </w:tc>
        <w:tc>
          <w:tcPr>
            <w:tcW w:w="4720" w:type="dxa"/>
            <w:vAlign w:val="bottom"/>
            <w:gridSpan w:val="2"/>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r>
      <w:tr>
        <w:trPr>
          <w:trHeight w:val="318"/>
        </w:trPr>
        <w:tc>
          <w:tcPr>
            <w:tcW w:w="960" w:type="dxa"/>
            <w:vAlign w:val="bottom"/>
          </w:tcPr>
          <w:p>
            <w:pPr>
              <w:ind w:left="20"/>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4"/>
                <w:szCs w:val="24"/>
                <w:color w:val="auto"/>
              </w:rPr>
            </w:pPr>
          </w:p>
        </w:tc>
        <w:tc>
          <w:tcPr>
            <w:tcW w:w="908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Press Release dated March 22, 2021</w:t>
              </w:r>
            </w:hyperlink>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ectPr>
          <w:pgSz w:w="11900" w:h="16838" w:orient="portrait"/>
          <w:cols w:equalWidth="0" w:num="1">
            <w:col w:w="10540"/>
          </w:cols>
          <w:pgMar w:left="320" w:top="1440" w:right="10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EXAGEN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3,700,000 Shares of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Dated: 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color w:val="auto"/>
        </w:rPr>
        <w:t>3,700,000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UNDERWRITING AGREEMENT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March 22, 2021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Cowen and Company, LLC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William Blair &amp; Company,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&amp; Co.</w:t>
      </w:r>
    </w:p>
    <w:p>
      <w:pPr>
        <w:spacing w:after="0"/>
        <w:rPr>
          <w:sz w:val="20"/>
          <w:szCs w:val="20"/>
          <w:color w:val="auto"/>
        </w:rPr>
      </w:pPr>
      <w:r>
        <w:rPr>
          <w:rFonts w:ascii="Arial" w:cs="Arial" w:eastAsia="Arial" w:hAnsi="Arial"/>
          <w:sz w:val="20"/>
          <w:szCs w:val="20"/>
          <w:color w:val="auto"/>
        </w:rPr>
        <w:t>as Representatives of the several Underwriters</w:t>
      </w: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8"/>
          <w:szCs w:val="18"/>
          <w:color w:val="auto"/>
        </w:rPr>
        <w:t>Cowen and Company, LLC</w:t>
      </w:r>
    </w:p>
    <w:p>
      <w:pPr>
        <w:spacing w:after="0"/>
        <w:rPr>
          <w:sz w:val="20"/>
          <w:szCs w:val="20"/>
          <w:color w:val="auto"/>
        </w:rPr>
      </w:pPr>
      <w:r>
        <w:rPr>
          <w:rFonts w:ascii="Arial" w:cs="Arial" w:eastAsia="Arial" w:hAnsi="Arial"/>
          <w:sz w:val="20"/>
          <w:szCs w:val="20"/>
          <w:color w:val="auto"/>
        </w:rPr>
        <w:t>599 Lexington Avenue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10022</w:t>
      </w:r>
    </w:p>
    <w:p>
      <w:pPr>
        <w:spacing w:after="0" w:line="2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9"/>
          <w:szCs w:val="19"/>
          <w:color w:val="auto"/>
        </w:rPr>
        <w:t>William Blair &amp; Company, L.L.C.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150 N. Riverside Plaza</w:t>
      </w:r>
    </w:p>
    <w:p>
      <w:pPr>
        <w:spacing w:after="0"/>
        <w:rPr>
          <w:sz w:val="20"/>
          <w:szCs w:val="20"/>
          <w:color w:val="auto"/>
        </w:rPr>
      </w:pPr>
      <w:r>
        <w:rPr>
          <w:rFonts w:ascii="Arial" w:cs="Arial" w:eastAsia="Arial" w:hAnsi="Arial"/>
          <w:sz w:val="20"/>
          <w:szCs w:val="20"/>
          <w:color w:val="auto"/>
        </w:rPr>
        <w:t>Chicago, Illinois 60606</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8"/>
          <w:szCs w:val="18"/>
          <w:color w:val="auto"/>
        </w:rPr>
        <w:t>Cantor Fitzgerald &amp; Co.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499 Park Avenue</w:t>
      </w:r>
    </w:p>
    <w:p>
      <w:pPr>
        <w:spacing w:after="0"/>
        <w:rPr>
          <w:sz w:val="20"/>
          <w:szCs w:val="20"/>
          <w:color w:val="auto"/>
        </w:rPr>
      </w:pPr>
      <w:r>
        <w:rPr>
          <w:rFonts w:ascii="Arial" w:cs="Arial" w:eastAsia="Arial" w:hAnsi="Arial"/>
          <w:sz w:val="20"/>
          <w:szCs w:val="20"/>
          <w:color w:val="auto"/>
        </w:rPr>
        <w:t>New York, New York 10022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Exagen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confirms its agreement with Cowen and Company, LLC (“</w:t>
      </w:r>
      <w:r>
        <w:rPr>
          <w:rFonts w:ascii="Arial" w:cs="Arial" w:eastAsia="Arial" w:hAnsi="Arial"/>
          <w:sz w:val="19"/>
          <w:szCs w:val="19"/>
          <w:u w:val="single" w:color="auto"/>
          <w:color w:val="auto"/>
        </w:rPr>
        <w:t>Cowen</w:t>
      </w:r>
      <w:r>
        <w:rPr>
          <w:rFonts w:ascii="Arial" w:cs="Arial" w:eastAsia="Arial" w:hAnsi="Arial"/>
          <w:sz w:val="19"/>
          <w:szCs w:val="19"/>
          <w:color w:val="auto"/>
        </w:rPr>
        <w:t>”), William Blair &amp; Company, L.L.C. (“</w:t>
      </w:r>
      <w:r>
        <w:rPr>
          <w:rFonts w:ascii="Arial" w:cs="Arial" w:eastAsia="Arial" w:hAnsi="Arial"/>
          <w:sz w:val="19"/>
          <w:szCs w:val="19"/>
          <w:u w:val="single" w:color="auto"/>
          <w:color w:val="auto"/>
        </w:rPr>
        <w:t>Blair</w:t>
      </w:r>
      <w:r>
        <w:rPr>
          <w:rFonts w:ascii="Arial" w:cs="Arial" w:eastAsia="Arial" w:hAnsi="Arial"/>
          <w:sz w:val="19"/>
          <w:szCs w:val="19"/>
          <w:color w:val="auto"/>
        </w:rPr>
        <w:t>”) and Cantor Fitzgerald &amp; Co. (“</w:t>
      </w:r>
      <w:r>
        <w:rPr>
          <w:rFonts w:ascii="Arial" w:cs="Arial" w:eastAsia="Arial" w:hAnsi="Arial"/>
          <w:sz w:val="19"/>
          <w:szCs w:val="19"/>
          <w:u w:val="single" w:color="auto"/>
          <w:color w:val="auto"/>
        </w:rPr>
        <w:t>Cantor</w:t>
      </w:r>
      <w:r>
        <w:rPr>
          <w:rFonts w:ascii="Arial" w:cs="Arial" w:eastAsia="Arial" w:hAnsi="Arial"/>
          <w:sz w:val="19"/>
          <w:szCs w:val="19"/>
          <w:color w:val="auto"/>
        </w:rPr>
        <w:t xml:space="preserve">”) and each of the other Underwriters named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(collectively, the “</w:t>
      </w:r>
      <w:r>
        <w:rPr>
          <w:rFonts w:ascii="Arial" w:cs="Arial" w:eastAsia="Arial" w:hAnsi="Arial"/>
          <w:sz w:val="19"/>
          <w:szCs w:val="19"/>
          <w:u w:val="single" w:color="auto"/>
          <w:color w:val="auto"/>
        </w:rPr>
        <w:t>Underwriters</w:t>
      </w:r>
      <w:r>
        <w:rPr>
          <w:rFonts w:ascii="Arial" w:cs="Arial" w:eastAsia="Arial" w:hAnsi="Arial"/>
          <w:sz w:val="19"/>
          <w:szCs w:val="19"/>
          <w:color w:val="auto"/>
        </w:rPr>
        <w:t>,” which term shall also include any underwriter substituted as hereinafter provided in Section 10 hereof), for whom Cowen, Cantor and Blair are acting as representatives (in such capacity, the “</w:t>
      </w:r>
      <w:r>
        <w:rPr>
          <w:rFonts w:ascii="Arial" w:cs="Arial" w:eastAsia="Arial" w:hAnsi="Arial"/>
          <w:sz w:val="19"/>
          <w:szCs w:val="19"/>
          <w:u w:val="single" w:color="auto"/>
          <w:color w:val="auto"/>
        </w:rPr>
        <w:t>Representatives</w:t>
      </w:r>
      <w:r>
        <w:rPr>
          <w:rFonts w:ascii="Arial" w:cs="Arial" w:eastAsia="Arial" w:hAnsi="Arial"/>
          <w:sz w:val="19"/>
          <w:szCs w:val="19"/>
          <w:color w:val="auto"/>
        </w:rPr>
        <w:t>”), with respect to (i) the sale by the Company and the purchase by the Underwriters, acting severally and not jointly, of the respective numbers of shares of common stock, par value $0.001 per share, of the Company (“</w:t>
      </w:r>
      <w:r>
        <w:rPr>
          <w:rFonts w:ascii="Arial" w:cs="Arial" w:eastAsia="Arial" w:hAnsi="Arial"/>
          <w:sz w:val="19"/>
          <w:szCs w:val="19"/>
          <w:u w:val="single" w:color="auto"/>
          <w:color w:val="auto"/>
        </w:rPr>
        <w:t>Common Stock</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and (ii) the grant by the Company to the Underwriters, acting severally and not jointly, of the option described in Section 2(b) hereof to purchase all or any part of 555,000 additional shares of Common Stock. The aforesaid 3,700,000 shares of Common Stock (the “</w:t>
      </w:r>
      <w:r>
        <w:rPr>
          <w:rFonts w:ascii="Arial" w:cs="Arial" w:eastAsia="Arial" w:hAnsi="Arial"/>
          <w:sz w:val="19"/>
          <w:szCs w:val="19"/>
          <w:u w:val="single" w:color="auto"/>
          <w:color w:val="auto"/>
        </w:rPr>
        <w:t>Initial Securities</w:t>
      </w:r>
      <w:r>
        <w:rPr>
          <w:rFonts w:ascii="Arial" w:cs="Arial" w:eastAsia="Arial" w:hAnsi="Arial"/>
          <w:sz w:val="19"/>
          <w:szCs w:val="19"/>
          <w:color w:val="auto"/>
        </w:rPr>
        <w:t>”) to be purchased by the Underwriters and all or any part of the 555,000 shares of Common Stock subject to the option described in Section 2(b) hereof (the “</w:t>
      </w:r>
      <w:r>
        <w:rPr>
          <w:rFonts w:ascii="Arial" w:cs="Arial" w:eastAsia="Arial" w:hAnsi="Arial"/>
          <w:sz w:val="19"/>
          <w:szCs w:val="19"/>
          <w:u w:val="single" w:color="auto"/>
          <w:color w:val="auto"/>
        </w:rPr>
        <w:t>Option Securities</w:t>
      </w:r>
      <w:r>
        <w:rPr>
          <w:rFonts w:ascii="Arial" w:cs="Arial" w:eastAsia="Arial" w:hAnsi="Arial"/>
          <w:sz w:val="19"/>
          <w:szCs w:val="19"/>
          <w:color w:val="auto"/>
        </w:rPr>
        <w:t>”) are herein called,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understands that the Underwriters propose to make a public offering of the Securities as soon as the Representatives deem advisable after this Agreement has been executed and delivered.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has filed with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a registration statement on Form S3 (No. 333-250015) (including all amendments thereto, the “</w:t>
      </w:r>
      <w:r>
        <w:rPr>
          <w:rFonts w:ascii="Arial" w:cs="Arial" w:eastAsia="Arial" w:hAnsi="Arial"/>
          <w:sz w:val="20"/>
          <w:szCs w:val="20"/>
          <w:u w:val="single" w:color="auto"/>
          <w:color w:val="auto"/>
        </w:rPr>
        <w:t>Initial Registration Statement</w:t>
      </w:r>
      <w:r>
        <w:rPr>
          <w:rFonts w:ascii="Arial" w:cs="Arial" w:eastAsia="Arial" w:hAnsi="Arial"/>
          <w:sz w:val="20"/>
          <w:szCs w:val="20"/>
          <w:color w:val="auto"/>
        </w:rPr>
        <w:t>”). The Company meets the requirements for use of Form S3 under the Securities Act of 1933, as amended (the “</w:t>
      </w:r>
      <w:r>
        <w:rPr>
          <w:rFonts w:ascii="Arial" w:cs="Arial" w:eastAsia="Arial" w:hAnsi="Arial"/>
          <w:sz w:val="20"/>
          <w:szCs w:val="20"/>
          <w:u w:val="single" w:color="auto"/>
          <w:color w:val="auto"/>
        </w:rPr>
        <w:t>1933 Act</w:t>
      </w:r>
      <w:r>
        <w:rPr>
          <w:rFonts w:ascii="Arial" w:cs="Arial" w:eastAsia="Arial" w:hAnsi="Arial"/>
          <w:sz w:val="20"/>
          <w:szCs w:val="20"/>
          <w:color w:val="auto"/>
        </w:rPr>
        <w:t>”), and the rules and regulations of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thereunder (the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The Initial</w:t>
      </w:r>
    </w:p>
    <w:p>
      <w:pPr>
        <w:sectPr>
          <w:pgSz w:w="11900" w:h="16838" w:orient="portrait"/>
          <w:cols w:equalWidth="0" w:num="1">
            <w:col w:w="11240"/>
          </w:cols>
          <w:pgMar w:left="320" w:top="1419" w:right="339" w:bottom="1440" w:gutter="0" w:footer="0" w:header="0"/>
        </w:sectPr>
      </w:pPr>
    </w:p>
    <w:bookmarkStart w:id="6" w:name="page7"/>
    <w:bookmarkEnd w:id="6"/>
    <w:p>
      <w:pPr>
        <w:jc w:val="both"/>
        <w:spacing w:after="0" w:line="269" w:lineRule="auto"/>
        <w:rPr>
          <w:sz w:val="20"/>
          <w:szCs w:val="20"/>
          <w:color w:val="auto"/>
        </w:rPr>
      </w:pPr>
      <w:r>
        <w:rPr>
          <w:rFonts w:ascii="Arial" w:cs="Arial" w:eastAsia="Arial" w:hAnsi="Arial"/>
          <w:sz w:val="18"/>
          <w:szCs w:val="18"/>
          <w:color w:val="auto"/>
        </w:rPr>
        <w:t>Registration Statement and any post-effective amendment thereto, each in the form heretofore delivered to you, and, excluding exhibits thereto, to you for each of the other Underwriters, have been declared effective by the Commission in such form and meet the requirements of the 1933 Act and the Rules and Regulations. The proposed offering of the Securities may be made pursuant to General Instruction I.B.1 of Form S-3. Other than (i) the Initial Registration Statement, (ii) a registration statement, if any, increasing the size of the offering filed pursuant to Rule 462(b) under the 1933 Act and the Rules and Regulations (a “</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(iii) any Preliminary Prospectus (as defined below), (iv) the Prospectus (as defined below) contemplated by this Agreement to be filed pursuant to Rule 424(b) of the Rules and Regulations in accordance with Section 4(i)(a) hereof and (v) any Issuer Free Writing Prospectus (as defined below), no other document with respect to the offer or sale of the Securities has heretofore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1933 Act has been initiated or threatened by the Commission (any preliminary prospectus included in the Initial Registration Statement or filed with the Commission pursuant to Rule 424 of the Rules and Regulations is hereinafter called a “</w:t>
      </w:r>
      <w:r>
        <w:rPr>
          <w:rFonts w:ascii="Arial" w:cs="Arial" w:eastAsia="Arial" w:hAnsi="Arial"/>
          <w:sz w:val="18"/>
          <w:szCs w:val="18"/>
          <w:u w:val="single" w:color="auto"/>
          <w:color w:val="auto"/>
        </w:rPr>
        <w:t>preliminary prospectu</w:t>
      </w:r>
      <w:r>
        <w:rPr>
          <w:rFonts w:ascii="Arial" w:cs="Arial" w:eastAsia="Arial" w:hAnsi="Arial"/>
          <w:sz w:val="18"/>
          <w:szCs w:val="18"/>
          <w:b w:val="1"/>
          <w:bCs w:val="1"/>
          <w:i w:val="1"/>
          <w:iCs w:val="1"/>
          <w:color w:val="auto"/>
        </w:rPr>
        <w:t>s</w:t>
      </w:r>
      <w:r>
        <w:rPr>
          <w:rFonts w:ascii="Arial" w:cs="Arial" w:eastAsia="Arial" w:hAnsi="Arial"/>
          <w:sz w:val="18"/>
          <w:szCs w:val="18"/>
          <w:color w:val="auto"/>
        </w:rPr>
        <w:t>”). The Initial Registration Statement including all exhibits thereto and including the information contained in the Prospectus filed with the Commission pursuant to Rule 424(b) of the Rules and Regulations and deemed by virtue of Rule 430A, 430B and 430C under the 1933 Act to be part of the Initial Registration Statement at the time it became effective is hereinafter collectively called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If the Company has filed a Rule 462(b) Registration Statement, then any reference herein to the term “Registration Statement” shall be deemed to include such Rule 462 Registration Statement. The final prospectus, in the form filed pursuant to and within the time limits described in Rule 424(b) under the Rules and Regulations, is hereinafter called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w:t>
      </w:r>
    </w:p>
    <w:p>
      <w:pPr>
        <w:spacing w:after="0" w:line="216"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Time</w:t>
      </w:r>
      <w:r>
        <w:rPr>
          <w:rFonts w:ascii="Arial" w:cs="Arial" w:eastAsia="Arial" w:hAnsi="Arial"/>
          <w:sz w:val="20"/>
          <w:szCs w:val="20"/>
          <w:color w:val="auto"/>
        </w:rPr>
        <w:t>” means 7:30 P.M., New York City time, on March 22, 2021 or such other time as agreed by the Company and the Representatives.</w:t>
      </w:r>
    </w:p>
    <w:p>
      <w:pPr>
        <w:spacing w:after="0" w:line="177"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Disclosure Package</w:t>
      </w:r>
      <w:r>
        <w:rPr>
          <w:rFonts w:ascii="Arial" w:cs="Arial" w:eastAsia="Arial" w:hAnsi="Arial"/>
          <w:sz w:val="20"/>
          <w:szCs w:val="20"/>
          <w:color w:val="auto"/>
        </w:rPr>
        <w:t xml:space="preserve">” means any Issuer General Use Free Writing Prospectuses issued at or prior to the Applicable Time, the most recent preliminary prospectus that is distributed to investors prior to the Applicable Time and the information included on </w:t>
      </w:r>
      <w:r>
        <w:rPr>
          <w:rFonts w:ascii="Arial" w:cs="Arial" w:eastAsia="Arial" w:hAnsi="Arial"/>
          <w:sz w:val="20"/>
          <w:szCs w:val="20"/>
          <w:u w:val="single" w:color="auto"/>
          <w:color w:val="auto"/>
        </w:rPr>
        <w:t>Schedule B-1</w:t>
      </w:r>
      <w:r>
        <w:rPr>
          <w:rFonts w:ascii="Arial" w:cs="Arial" w:eastAsia="Arial" w:hAnsi="Arial"/>
          <w:sz w:val="20"/>
          <w:szCs w:val="20"/>
          <w:color w:val="auto"/>
        </w:rPr>
        <w:t xml:space="preserve"> hereto, all considered together.</w:t>
      </w:r>
    </w:p>
    <w:p>
      <w:pPr>
        <w:spacing w:after="0" w:line="186" w:lineRule="exact"/>
        <w:rPr>
          <w:sz w:val="20"/>
          <w:szCs w:val="20"/>
          <w:color w:val="auto"/>
        </w:rPr>
      </w:pPr>
    </w:p>
    <w:p>
      <w:pPr>
        <w:jc w:val="both"/>
        <w:ind w:left="66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of the 1933 Act Regulations (“</w:t>
      </w:r>
      <w:r>
        <w:rPr>
          <w:rFonts w:ascii="Arial" w:cs="Arial" w:eastAsia="Arial" w:hAnsi="Arial"/>
          <w:sz w:val="18"/>
          <w:szCs w:val="18"/>
          <w:u w:val="single" w:color="auto"/>
          <w:color w:val="auto"/>
        </w:rPr>
        <w:t>Rule 433</w:t>
      </w:r>
      <w:r>
        <w:rPr>
          <w:rFonts w:ascii="Arial" w:cs="Arial" w:eastAsia="Arial" w:hAnsi="Arial"/>
          <w:sz w:val="18"/>
          <w:szCs w:val="18"/>
          <w:color w:val="auto"/>
        </w:rPr>
        <w:t>”), including without limitation any “free writing prospectus” (as defined in Rule 405 of the 1933 Act Regulations (“</w:t>
      </w:r>
      <w:r>
        <w:rPr>
          <w:rFonts w:ascii="Arial" w:cs="Arial" w:eastAsia="Arial" w:hAnsi="Arial"/>
          <w:sz w:val="18"/>
          <w:szCs w:val="18"/>
          <w:u w:val="single" w:color="auto"/>
          <w:color w:val="auto"/>
        </w:rPr>
        <w:t>Rule 405</w:t>
      </w:r>
      <w:r>
        <w:rPr>
          <w:rFonts w:ascii="Arial" w:cs="Arial" w:eastAsia="Arial" w:hAnsi="Arial"/>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68"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General Use Free Writing Prospectus</w:t>
      </w:r>
      <w:r>
        <w:rPr>
          <w:rFonts w:ascii="Arial" w:cs="Arial" w:eastAsia="Arial" w:hAnsi="Arial"/>
          <w:sz w:val="20"/>
          <w:szCs w:val="20"/>
          <w:color w:val="auto"/>
        </w:rPr>
        <w:t>” means any Issuer Free Writing Prospectus that is intended for general distribution to prospective investors (other than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7" w:name="page8"/>
    <w:bookmarkEnd w:id="7"/>
    <w:p>
      <w:pPr>
        <w:ind w:left="660"/>
        <w:spacing w:after="0" w:line="260" w:lineRule="auto"/>
        <w:rPr>
          <w:sz w:val="20"/>
          <w:szCs w:val="20"/>
          <w:color w:val="auto"/>
        </w:rPr>
      </w:pPr>
      <w:r>
        <w:rPr>
          <w:rFonts w:ascii="Arial" w:cs="Arial" w:eastAsia="Arial" w:hAnsi="Arial"/>
          <w:sz w:val="20"/>
          <w:szCs w:val="20"/>
          <w:color w:val="auto"/>
        </w:rPr>
        <w:t>road show,” as defined in Rule 433(h)(5) (the “</w:t>
      </w:r>
      <w:r>
        <w:rPr>
          <w:rFonts w:ascii="Arial" w:cs="Arial" w:eastAsia="Arial" w:hAnsi="Arial"/>
          <w:sz w:val="20"/>
          <w:szCs w:val="20"/>
          <w:u w:val="single" w:color="auto"/>
          <w:color w:val="auto"/>
        </w:rPr>
        <w:t>Bona Fide Electronic Road Show</w:t>
      </w:r>
      <w:r>
        <w:rPr>
          <w:rFonts w:ascii="Arial" w:cs="Arial" w:eastAsia="Arial" w:hAnsi="Arial"/>
          <w:sz w:val="20"/>
          <w:szCs w:val="20"/>
          <w:color w:val="auto"/>
        </w:rPr>
        <w:t xml:space="preserve">”)), as evidenced by its being specified in </w:t>
      </w:r>
      <w:r>
        <w:rPr>
          <w:rFonts w:ascii="Arial" w:cs="Arial" w:eastAsia="Arial" w:hAnsi="Arial"/>
          <w:sz w:val="20"/>
          <w:szCs w:val="20"/>
          <w:u w:val="single" w:color="auto"/>
          <w:color w:val="auto"/>
        </w:rPr>
        <w:t>Schedule B2</w:t>
      </w:r>
      <w:r>
        <w:rPr>
          <w:rFonts w:ascii="Arial" w:cs="Arial" w:eastAsia="Arial" w:hAnsi="Arial"/>
          <w:sz w:val="20"/>
          <w:szCs w:val="20"/>
          <w:color w:val="auto"/>
        </w:rPr>
        <w:t xml:space="preserve"> hereto.</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Limited Use Free Writing Prospectus</w:t>
      </w:r>
      <w:r>
        <w:rPr>
          <w:rFonts w:ascii="Arial" w:cs="Arial" w:eastAsia="Arial" w:hAnsi="Arial"/>
          <w:sz w:val="20"/>
          <w:szCs w:val="20"/>
          <w:color w:val="auto"/>
        </w:rPr>
        <w:t>” means any Issuer Free Writing Prospectus that is not an Issuer General Use Free Writing Prospectus.</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Testing-the-Waters Communication</w:t>
      </w:r>
      <w:r>
        <w:rPr>
          <w:rFonts w:ascii="Arial" w:cs="Arial" w:eastAsia="Arial" w:hAnsi="Arial"/>
          <w:sz w:val="20"/>
          <w:szCs w:val="20"/>
          <w:color w:val="auto"/>
        </w:rPr>
        <w:t>” means any oral or written communication with potential investors undertaken in reliance on Section 5(d) of the 1933 Act.</w:t>
      </w:r>
    </w:p>
    <w:p>
      <w:pPr>
        <w:spacing w:after="0" w:line="177"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Written Testing-the-Waters Communication</w:t>
      </w:r>
      <w:r>
        <w:rPr>
          <w:rFonts w:ascii="Arial" w:cs="Arial" w:eastAsia="Arial" w:hAnsi="Arial"/>
          <w:sz w:val="20"/>
          <w:szCs w:val="20"/>
          <w:color w:val="auto"/>
        </w:rPr>
        <w:t>” means any Testing-the-Waters Communication that is a “written communication” within the meaning of Rule 405 of the 1933 Act.</w:t>
      </w:r>
    </w:p>
    <w:p>
      <w:pPr>
        <w:spacing w:after="0" w:line="17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0" w:lineRule="auto"/>
        <w:tabs>
          <w:tab w:leader="none" w:pos="1133"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 by the Company</w:t>
      </w:r>
      <w:r>
        <w:rPr>
          <w:rFonts w:ascii="Arial" w:cs="Arial" w:eastAsia="Arial" w:hAnsi="Arial"/>
          <w:sz w:val="20"/>
          <w:szCs w:val="20"/>
          <w:color w:val="auto"/>
        </w:rPr>
        <w:t>. The Company represents and warrants to each Underwriter as of the date</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the Applicable Time, the Closing Time (as defined below) and any Date of Delivery (as defined below), and agrees with each Underwriter, as follows:</w:t>
      </w:r>
    </w:p>
    <w:p>
      <w:pPr>
        <w:spacing w:after="0" w:line="185" w:lineRule="exact"/>
        <w:rPr>
          <w:rFonts w:ascii="Arial" w:cs="Arial" w:eastAsia="Arial" w:hAnsi="Arial"/>
          <w:sz w:val="20"/>
          <w:szCs w:val="20"/>
          <w:color w:val="auto"/>
        </w:rPr>
      </w:pPr>
    </w:p>
    <w:p>
      <w:pPr>
        <w:jc w:val="both"/>
        <w:ind w:left="660" w:firstLine="644"/>
        <w:spacing w:after="0" w:line="243" w:lineRule="auto"/>
        <w:tabs>
          <w:tab w:leader="none" w:pos="176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Registration Statement and Prospectuses</w:t>
      </w:r>
      <w:r>
        <w:rPr>
          <w:rFonts w:ascii="Arial" w:cs="Arial" w:eastAsia="Arial" w:hAnsi="Arial"/>
          <w:sz w:val="20"/>
          <w:szCs w:val="20"/>
          <w:color w:val="auto"/>
        </w:rPr>
        <w:t>. 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93"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5"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Arial" w:cs="Arial" w:eastAsia="Arial" w:hAnsi="Arial"/>
          <w:sz w:val="20"/>
          <w:szCs w:val="20"/>
          <w:u w:val="single" w:color="auto"/>
          <w:color w:val="auto"/>
        </w:rPr>
        <w:t>1934 Act Regulations</w:t>
      </w:r>
      <w:r>
        <w:rPr>
          <w:rFonts w:ascii="Arial" w:cs="Arial" w:eastAsia="Arial" w:hAnsi="Arial"/>
          <w:sz w:val="20"/>
          <w:szCs w:val="20"/>
          <w:color w:val="auto"/>
        </w:rPr>
        <w:t>”).</w:t>
      </w:r>
    </w:p>
    <w:p>
      <w:pPr>
        <w:spacing w:after="0" w:line="191" w:lineRule="exact"/>
        <w:rPr>
          <w:sz w:val="20"/>
          <w:szCs w:val="20"/>
          <w:color w:val="auto"/>
        </w:rPr>
      </w:pPr>
    </w:p>
    <w:p>
      <w:pPr>
        <w:jc w:val="both"/>
        <w:ind w:left="660" w:firstLine="644"/>
        <w:spacing w:after="0" w:line="244" w:lineRule="auto"/>
        <w:tabs>
          <w:tab w:leader="none" w:pos="1747"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Accurate Disclosure</w:t>
      </w:r>
      <w:r>
        <w:rPr>
          <w:rFonts w:ascii="Arial" w:cs="Arial" w:eastAsia="Arial" w:hAnsi="Arial"/>
          <w:sz w:val="20"/>
          <w:szCs w:val="20"/>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8" w:name="page9"/>
    <w:bookmarkEnd w:id="8"/>
    <w:p>
      <w:pPr>
        <w:jc w:val="both"/>
        <w:spacing w:after="0" w:line="274" w:lineRule="auto"/>
        <w:rPr>
          <w:sz w:val="20"/>
          <w:szCs w:val="20"/>
          <w:color w:val="auto"/>
        </w:rPr>
      </w:pPr>
      <w:r>
        <w:rPr>
          <w:rFonts w:ascii="Arial" w:cs="Arial" w:eastAsia="Arial" w:hAnsi="Arial"/>
          <w:sz w:val="18"/>
          <w:szCs w:val="18"/>
          <w:color w:val="auto"/>
        </w:rPr>
        <w:t>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appearing in the third paragraph under the heading “Underwriting—Discounts and Commissions” and the information in the first, second and third paragraphs under the heading “Underwriting—Stabilization, Short Positions,” in each case contained in the Prospectus (collectively, the “</w:t>
      </w:r>
      <w:r>
        <w:rPr>
          <w:rFonts w:ascii="Arial" w:cs="Arial" w:eastAsia="Arial" w:hAnsi="Arial"/>
          <w:sz w:val="18"/>
          <w:szCs w:val="18"/>
          <w:u w:val="single" w:color="auto"/>
          <w:color w:val="auto"/>
        </w:rPr>
        <w:t>Underwriter Information</w:t>
      </w:r>
      <w:r>
        <w:rPr>
          <w:rFonts w:ascii="Arial" w:cs="Arial" w:eastAsia="Arial" w:hAnsi="Arial"/>
          <w:sz w:val="18"/>
          <w:szCs w:val="18"/>
          <w:color w:val="auto"/>
        </w:rPr>
        <w:t>”).</w:t>
      </w:r>
    </w:p>
    <w:p>
      <w:pPr>
        <w:spacing w:after="0" w:line="168" w:lineRule="exact"/>
        <w:rPr>
          <w:sz w:val="20"/>
          <w:szCs w:val="20"/>
          <w:color w:val="auto"/>
        </w:rPr>
      </w:pPr>
    </w:p>
    <w:p>
      <w:pPr>
        <w:jc w:val="both"/>
        <w:ind w:firstLine="644"/>
        <w:spacing w:after="0" w:line="246" w:lineRule="auto"/>
        <w:tabs>
          <w:tab w:leader="none" w:pos="121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Issuer Free Writing Prospectuses</w:t>
      </w:r>
      <w:r>
        <w:rPr>
          <w:rFonts w:ascii="Arial" w:cs="Arial" w:eastAsia="Arial" w:hAnsi="Arial"/>
          <w:sz w:val="20"/>
          <w:szCs w:val="20"/>
          <w:color w:val="auto"/>
        </w:rPr>
        <w:t>. No Issuer Free Writing Prospectus conflicts or will conflict with the information contained in the Registration Statement or the Prospectus and any preliminary or other prospectus deemed to be a part thereof that has not been superseded or modified. No filing of any “road show” (as defined in Rule 433(h)) is required in connection with the offering of the Securities.</w:t>
      </w:r>
    </w:p>
    <w:p>
      <w:pPr>
        <w:spacing w:after="0" w:line="191" w:lineRule="exact"/>
        <w:rPr>
          <w:rFonts w:ascii="Arial" w:cs="Arial" w:eastAsia="Arial" w:hAnsi="Arial"/>
          <w:sz w:val="20"/>
          <w:szCs w:val="20"/>
          <w:color w:val="auto"/>
        </w:rPr>
      </w:pPr>
    </w:p>
    <w:p>
      <w:pPr>
        <w:jc w:val="both"/>
        <w:ind w:firstLine="644"/>
        <w:spacing w:after="0" w:line="257" w:lineRule="auto"/>
        <w:tabs>
          <w:tab w:leader="none" w:pos="1131"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Testing-the-Waters Materials</w:t>
      </w:r>
      <w:r>
        <w:rPr>
          <w:rFonts w:ascii="Arial" w:cs="Arial" w:eastAsia="Arial" w:hAnsi="Arial"/>
          <w:sz w:val="19"/>
          <w:szCs w:val="19"/>
          <w:color w:val="auto"/>
        </w:rPr>
        <w:t xml:space="preserve">. The Company (A) has not engaged in any Testing-the-Waters Communication other than Testing-the-Waters Communications with the consent of the Representatives with entities that the Representatives have confirmed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9"/>
          <w:szCs w:val="19"/>
          <w:u w:val="single" w:color="auto"/>
          <w:color w:val="auto"/>
        </w:rPr>
        <w:t>Schedule B-3</w:t>
      </w:r>
      <w:r>
        <w:rPr>
          <w:rFonts w:ascii="Arial" w:cs="Arial" w:eastAsia="Arial" w:hAnsi="Arial"/>
          <w:sz w:val="19"/>
          <w:szCs w:val="19"/>
          <w:color w:val="auto"/>
        </w:rPr>
        <w:t xml:space="preserve"> hereto.</w:t>
      </w:r>
    </w:p>
    <w:p>
      <w:pPr>
        <w:spacing w:after="0" w:line="184" w:lineRule="exact"/>
        <w:rPr>
          <w:rFonts w:ascii="Arial" w:cs="Arial" w:eastAsia="Arial" w:hAnsi="Arial"/>
          <w:sz w:val="19"/>
          <w:szCs w:val="19"/>
          <w:color w:val="auto"/>
        </w:rPr>
      </w:pPr>
    </w:p>
    <w:p>
      <w:pPr>
        <w:jc w:val="both"/>
        <w:ind w:firstLine="644"/>
        <w:spacing w:after="0" w:line="244" w:lineRule="auto"/>
        <w:tabs>
          <w:tab w:leader="none" w:pos="1171"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Company Not Ineligible Issuer</w:t>
      </w:r>
      <w:r>
        <w:rPr>
          <w:rFonts w:ascii="Arial" w:cs="Arial" w:eastAsia="Arial" w:hAnsi="Arial"/>
          <w:sz w:val="20"/>
          <w:szCs w:val="20"/>
          <w:color w:val="auto"/>
        </w:rPr>
        <w:t>. At the time of filing the Registration Statement and any post-effective amendment thereto, at the earliest time thereafter that the Company or another offering participant made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94" w:lineRule="exact"/>
        <w:rPr>
          <w:rFonts w:ascii="Arial" w:cs="Arial" w:eastAsia="Arial" w:hAnsi="Arial"/>
          <w:sz w:val="20"/>
          <w:szCs w:val="20"/>
          <w:color w:val="auto"/>
        </w:rPr>
      </w:pPr>
    </w:p>
    <w:p>
      <w:pPr>
        <w:ind w:firstLine="644"/>
        <w:spacing w:after="0" w:line="260" w:lineRule="auto"/>
        <w:tabs>
          <w:tab w:leader="none" w:pos="1307"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Emerging Growth Company Status.</w:t>
      </w:r>
      <w:r>
        <w:rPr>
          <w:rFonts w:ascii="Arial" w:cs="Arial" w:eastAsia="Arial" w:hAnsi="Arial"/>
          <w:sz w:val="20"/>
          <w:szCs w:val="20"/>
          <w:color w:val="auto"/>
        </w:rPr>
        <w:t xml:space="preserve"> From the time of the initial filing of the Registration Statement with the Commission (or, if earlier, the first date on which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19" w:right="339" w:bottom="1440" w:gutter="0" w:footer="0" w:header="0"/>
        </w:sectPr>
      </w:pPr>
    </w:p>
    <w:bookmarkStart w:id="9" w:name="page10"/>
    <w:bookmarkEnd w:id="9"/>
    <w:p>
      <w:pPr>
        <w:jc w:val="both"/>
        <w:ind w:left="4"/>
        <w:spacing w:after="0" w:line="250" w:lineRule="auto"/>
        <w:rPr>
          <w:sz w:val="20"/>
          <w:szCs w:val="20"/>
          <w:color w:val="auto"/>
        </w:rPr>
      </w:pPr>
      <w:r>
        <w:rPr>
          <w:rFonts w:ascii="Arial" w:cs="Arial" w:eastAsia="Arial" w:hAnsi="Arial"/>
          <w:sz w:val="20"/>
          <w:szCs w:val="20"/>
          <w:color w:val="auto"/>
        </w:rPr>
        <w:t>engaged directly or through any Person authorized to act on its behalf in any Testing-the-Waters Communication) through the date hereof, the Company has been and is an “emerging growth company,” as defined in Section 2(a) of the 1933 Act (an “</w:t>
      </w:r>
      <w:r>
        <w:rPr>
          <w:rFonts w:ascii="Arial" w:cs="Arial" w:eastAsia="Arial" w:hAnsi="Arial"/>
          <w:sz w:val="20"/>
          <w:szCs w:val="20"/>
          <w:u w:val="single" w:color="auto"/>
          <w:color w:val="auto"/>
        </w:rPr>
        <w:t>Emerging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Growth Company</w:t>
      </w:r>
      <w:r>
        <w:rPr>
          <w:rFonts w:ascii="Arial" w:cs="Arial" w:eastAsia="Arial" w:hAnsi="Arial"/>
          <w:sz w:val="20"/>
          <w:szCs w:val="20"/>
          <w:color w:val="auto"/>
        </w:rPr>
        <w:t>”).</w:t>
      </w:r>
    </w:p>
    <w:p>
      <w:pPr>
        <w:spacing w:after="0" w:line="186" w:lineRule="exact"/>
        <w:rPr>
          <w:sz w:val="20"/>
          <w:szCs w:val="20"/>
          <w:color w:val="auto"/>
        </w:rPr>
      </w:pPr>
    </w:p>
    <w:p>
      <w:pPr>
        <w:jc w:val="both"/>
        <w:ind w:left="4" w:firstLine="644"/>
        <w:spacing w:after="0" w:line="291" w:lineRule="auto"/>
        <w:tabs>
          <w:tab w:leader="none" w:pos="123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or incorporated by reference in the Registration Statement, the General Disclosure Package and the Prospectus are independent public accountants as required by the 1933 Act, the 1933 Act Regulations and the Public Company Accounting Oversight Board.</w:t>
      </w:r>
    </w:p>
    <w:p>
      <w:pPr>
        <w:spacing w:after="0" w:line="151" w:lineRule="exact"/>
        <w:rPr>
          <w:rFonts w:ascii="Arial" w:cs="Arial" w:eastAsia="Arial" w:hAnsi="Arial"/>
          <w:sz w:val="18"/>
          <w:szCs w:val="18"/>
          <w:color w:val="auto"/>
        </w:rPr>
      </w:pPr>
    </w:p>
    <w:p>
      <w:pPr>
        <w:jc w:val="both"/>
        <w:ind w:left="4" w:firstLine="644"/>
        <w:spacing w:after="0" w:line="270" w:lineRule="auto"/>
        <w:tabs>
          <w:tab w:leader="none" w:pos="128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throughout the periods involved, except in the case of unaudited interim financial statements, subject to year-end audit adjustments and the exclusion of certain footnotes as permitted by the applicable rules of the Commission. The supporting schedules included in the Registration Statement,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spacing w:after="0" w:line="172" w:lineRule="exact"/>
        <w:rPr>
          <w:rFonts w:ascii="Arial" w:cs="Arial" w:eastAsia="Arial" w:hAnsi="Arial"/>
          <w:sz w:val="18"/>
          <w:szCs w:val="18"/>
          <w:color w:val="auto"/>
        </w:rPr>
      </w:pPr>
    </w:p>
    <w:p>
      <w:pPr>
        <w:jc w:val="both"/>
        <w:ind w:left="4" w:firstLine="644"/>
        <w:spacing w:after="0" w:line="303" w:lineRule="auto"/>
        <w:tabs>
          <w:tab w:leader="none" w:pos="1189"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whether or not arising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(B) there have been no transactions entered into by the Company, other than those in the ordinary course of business, which are material with respect to the Company, and</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been no dividend or distribution of any kind declared, paid or made by the Company on any class of its capital stock.</w:t>
      </w:r>
    </w:p>
    <w:p>
      <w:pPr>
        <w:spacing w:after="0" w:line="222" w:lineRule="exact"/>
        <w:rPr>
          <w:rFonts w:ascii="Arial" w:cs="Arial" w:eastAsia="Arial" w:hAnsi="Arial"/>
          <w:sz w:val="18"/>
          <w:szCs w:val="18"/>
          <w:color w:val="auto"/>
        </w:rPr>
      </w:pPr>
    </w:p>
    <w:p>
      <w:pPr>
        <w:jc w:val="both"/>
        <w:ind w:left="4" w:firstLine="644"/>
        <w:spacing w:after="0" w:line="257" w:lineRule="auto"/>
        <w:tabs>
          <w:tab w:leader="none" w:pos="108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Good Standing of the Company</w:t>
      </w:r>
      <w:r>
        <w:rPr>
          <w:rFonts w:ascii="Arial" w:cs="Arial" w:eastAsia="Arial" w:hAnsi="Arial"/>
          <w:sz w:val="19"/>
          <w:szCs w:val="19"/>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84" w:lineRule="exact"/>
        <w:rPr>
          <w:rFonts w:ascii="Arial" w:cs="Arial" w:eastAsia="Arial" w:hAnsi="Arial"/>
          <w:sz w:val="19"/>
          <w:szCs w:val="19"/>
          <w:color w:val="auto"/>
        </w:rPr>
      </w:pPr>
    </w:p>
    <w:p>
      <w:pPr>
        <w:ind w:left="1124" w:hanging="476"/>
        <w:spacing w:after="0"/>
        <w:tabs>
          <w:tab w:leader="none" w:pos="1124"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No Subsidiaries</w:t>
      </w:r>
      <w:r>
        <w:rPr>
          <w:rFonts w:ascii="Arial" w:cs="Arial" w:eastAsia="Arial" w:hAnsi="Arial"/>
          <w:sz w:val="20"/>
          <w:szCs w:val="20"/>
          <w:color w:val="auto"/>
        </w:rPr>
        <w:t>. The Company has no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4"/>
          </w:cols>
          <w:pgMar w:left="976" w:top="1419" w:right="339" w:bottom="1440" w:gutter="0" w:footer="0" w:header="0"/>
        </w:sectPr>
      </w:pPr>
    </w:p>
    <w:bookmarkStart w:id="10" w:name="page11"/>
    <w:bookmarkEnd w:id="10"/>
    <w:p>
      <w:pPr>
        <w:jc w:val="both"/>
        <w:ind w:left="-460" w:firstLine="644"/>
        <w:spacing w:after="0" w:line="257" w:lineRule="auto"/>
        <w:tabs>
          <w:tab w:leader="none" w:pos="767"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issued and outstanding shares of capital stock of the Company are as set forth in the Registration Statement, the General Disclosure Package and the Prospectus under the heading “Description of Capital Stock”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180" w:lineRule="exact"/>
        <w:rPr>
          <w:rFonts w:ascii="Arial" w:cs="Arial" w:eastAsia="Arial" w:hAnsi="Arial"/>
          <w:sz w:val="19"/>
          <w:szCs w:val="19"/>
          <w:color w:val="auto"/>
        </w:rPr>
      </w:pPr>
    </w:p>
    <w:p>
      <w:pPr>
        <w:ind w:left="780" w:hanging="59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38" w:lineRule="exact"/>
        <w:rPr>
          <w:rFonts w:ascii="Arial" w:cs="Arial" w:eastAsia="Arial" w:hAnsi="Arial"/>
          <w:sz w:val="18"/>
          <w:szCs w:val="18"/>
          <w:color w:val="auto"/>
        </w:rPr>
      </w:pPr>
    </w:p>
    <w:p>
      <w:pPr>
        <w:jc w:val="both"/>
        <w:ind w:left="-460" w:firstLine="644"/>
        <w:spacing w:after="0" w:line="274" w:lineRule="auto"/>
        <w:tabs>
          <w:tab w:leader="none" w:pos="81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168" w:lineRule="exact"/>
        <w:rPr>
          <w:rFonts w:ascii="Arial" w:cs="Arial" w:eastAsia="Arial" w:hAnsi="Arial"/>
          <w:sz w:val="18"/>
          <w:szCs w:val="18"/>
          <w:color w:val="auto"/>
        </w:rPr>
      </w:pPr>
    </w:p>
    <w:p>
      <w:pPr>
        <w:jc w:val="both"/>
        <w:ind w:left="-460" w:firstLine="644"/>
        <w:spacing w:after="0" w:line="246" w:lineRule="auto"/>
        <w:tabs>
          <w:tab w:leader="none" w:pos="864"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Registration Rights</w:t>
      </w:r>
      <w:r>
        <w:rPr>
          <w:rFonts w:ascii="Arial" w:cs="Arial" w:eastAsia="Arial" w:hAnsi="Arial"/>
          <w:sz w:val="20"/>
          <w:szCs w:val="20"/>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91" w:lineRule="exact"/>
        <w:rPr>
          <w:rFonts w:ascii="Arial" w:cs="Arial" w:eastAsia="Arial" w:hAnsi="Arial"/>
          <w:sz w:val="20"/>
          <w:szCs w:val="20"/>
          <w:color w:val="auto"/>
        </w:rPr>
      </w:pPr>
    </w:p>
    <w:p>
      <w:pPr>
        <w:jc w:val="both"/>
        <w:ind w:left="-460" w:firstLine="644"/>
        <w:spacing w:after="0" w:line="254" w:lineRule="auto"/>
        <w:tabs>
          <w:tab w:leader="none" w:pos="78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Absence of Violations, Defaults and Conflicts</w:t>
      </w:r>
      <w:r>
        <w:rPr>
          <w:rFonts w:ascii="Arial" w:cs="Arial" w:eastAsia="Arial" w:hAnsi="Arial"/>
          <w:sz w:val="19"/>
          <w:szCs w:val="19"/>
          <w:color w:val="auto"/>
        </w:rPr>
        <w:t>. The Company is not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Arial" w:cs="Arial" w:eastAsia="Arial" w:hAnsi="Arial"/>
          <w:sz w:val="19"/>
          <w:szCs w:val="19"/>
          <w:u w:val="single" w:color="auto"/>
          <w:color w:val="auto"/>
        </w:rPr>
        <w:t>Agreements and Instruments</w:t>
      </w:r>
      <w:r>
        <w:rPr>
          <w:rFonts w:ascii="Arial" w:cs="Arial" w:eastAsia="Arial" w:hAnsi="Arial"/>
          <w:sz w:val="19"/>
          <w:szCs w:val="19"/>
          <w:color w:val="auto"/>
        </w:rPr>
        <w:t>”),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respective properties, assets or operations (each, a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except for such violations that would not, singly or in the aggregate,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w:t>
      </w:r>
      <w:r>
        <w:rPr>
          <w:rFonts w:ascii="Arial" w:cs="Arial" w:eastAsia="Arial" w:hAnsi="Arial"/>
          <w:sz w:val="19"/>
          <w:szCs w:val="19"/>
          <w:u w:val="single" w:color="auto"/>
          <w:color w:val="auto"/>
        </w:rPr>
        <w:t>Use of Proceeds</w:t>
      </w:r>
      <w:r>
        <w:rPr>
          <w:rFonts w:ascii="Arial" w:cs="Arial" w:eastAsia="Arial" w:hAnsi="Arial"/>
          <w:sz w:val="19"/>
          <w:szCs w:val="19"/>
          <w:color w:val="auto"/>
        </w:rPr>
        <w:t>”) and compliance by the Company with its obligations hereunder have been duly authorized by all necessary corporate action and do not and will not, whether with or without the giving of notice or passage of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20"/>
          </w:cols>
          <w:pgMar w:left="1440" w:top="1419" w:right="3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8"/>
          <w:szCs w:val="18"/>
          <w:color w:val="auto"/>
        </w:rPr>
        <w:t>both, conflict with or constitute a breach of, or default or Repayment Event (as defined below) under, or result in the creation or imposition of any lien, charge or encumbrance upon any properties or assets of the Company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any material violation of any law, statute, rule, regulation, judgment, order, writ or decree of any Governmental Entity. As used herein, a “</w:t>
      </w:r>
      <w:r>
        <w:rPr>
          <w:rFonts w:ascii="Arial" w:cs="Arial" w:eastAsia="Arial" w:hAnsi="Arial"/>
          <w:sz w:val="18"/>
          <w:szCs w:val="18"/>
          <w:u w:val="single" w:color="auto"/>
          <w:color w:val="auto"/>
        </w:rPr>
        <w:t>Repayment Event</w:t>
      </w:r>
      <w:r>
        <w:rPr>
          <w:rFonts w:ascii="Arial" w:cs="Arial" w:eastAsia="Arial" w:hAnsi="Arial"/>
          <w:sz w:val="18"/>
          <w:szCs w:val="18"/>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168" w:lineRule="exact"/>
        <w:rPr>
          <w:sz w:val="20"/>
          <w:szCs w:val="20"/>
          <w:color w:val="auto"/>
        </w:rPr>
      </w:pPr>
    </w:p>
    <w:p>
      <w:pPr>
        <w:jc w:val="both"/>
        <w:ind w:firstLine="644"/>
        <w:spacing w:after="0" w:line="291"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exists or, to the knowledge of the Company, is imminent, and the Company is not aware of any existing or imminent labor disturbance by the employees of any of its principal suppliers, manufacturers, customers or contractors, which, in either case, would result in a Material Adverse Effect.</w:t>
      </w:r>
    </w:p>
    <w:p>
      <w:pPr>
        <w:spacing w:after="0" w:line="151" w:lineRule="exact"/>
        <w:rPr>
          <w:rFonts w:ascii="Arial" w:cs="Arial" w:eastAsia="Arial" w:hAnsi="Arial"/>
          <w:sz w:val="18"/>
          <w:szCs w:val="18"/>
          <w:color w:val="auto"/>
        </w:rPr>
      </w:pPr>
    </w:p>
    <w:p>
      <w:pPr>
        <w:jc w:val="both"/>
        <w:ind w:firstLine="644"/>
        <w:spacing w:after="0" w:line="256" w:lineRule="auto"/>
        <w:tabs>
          <w:tab w:leader="none" w:pos="135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which would reasonably be expected to result in a Material Adverse Effect, or which would reasonably be expected to materially and adversely affect its properties or assets or the consummation of the transactions contemplated in this Agreement or the performance by the Company of its obligations hereunder; and the aggregate of all pending legal or governmental proceedings to which the Company is a party or of which any of its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184" w:lineRule="exact"/>
        <w:rPr>
          <w:rFonts w:ascii="Arial" w:cs="Arial" w:eastAsia="Arial" w:hAnsi="Arial"/>
          <w:sz w:val="19"/>
          <w:szCs w:val="19"/>
          <w:color w:val="auto"/>
        </w:rPr>
      </w:pPr>
    </w:p>
    <w:p>
      <w:pPr>
        <w:jc w:val="both"/>
        <w:ind w:firstLine="644"/>
        <w:spacing w:after="0" w:line="250" w:lineRule="auto"/>
        <w:tabs>
          <w:tab w:leader="none" w:pos="1298"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Accuracy of Exhibits</w:t>
      </w:r>
      <w:r>
        <w:rPr>
          <w:rFonts w:ascii="Arial" w:cs="Arial" w:eastAsia="Arial" w:hAnsi="Arial"/>
          <w:sz w:val="20"/>
          <w:szCs w:val="20"/>
          <w:color w:val="auto"/>
        </w:rPr>
        <w:t>. There are no contracts or documents which are required to be described in the Registration Statement, the General Disclosure Package or the Prospectus or filed as exhibits to the Registration Statement which have not been so described and filed as required.</w:t>
      </w:r>
    </w:p>
    <w:p>
      <w:pPr>
        <w:spacing w:after="0" w:line="185" w:lineRule="exact"/>
        <w:rPr>
          <w:rFonts w:ascii="Arial" w:cs="Arial" w:eastAsia="Arial" w:hAnsi="Arial"/>
          <w:sz w:val="20"/>
          <w:szCs w:val="20"/>
          <w:color w:val="auto"/>
        </w:rPr>
      </w:pPr>
    </w:p>
    <w:p>
      <w:pPr>
        <w:jc w:val="both"/>
        <w:ind w:firstLine="644"/>
        <w:spacing w:after="0" w:line="243" w:lineRule="auto"/>
        <w:tabs>
          <w:tab w:leader="none" w:pos="127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Absence of Further Requirements</w:t>
      </w:r>
      <w:r>
        <w:rPr>
          <w:rFonts w:ascii="Arial" w:cs="Arial" w:eastAsia="Arial" w:hAnsi="Arial"/>
          <w:sz w:val="20"/>
          <w:szCs w:val="20"/>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Nasdaq Stock Market LLC, state securities laws or the rules of the Financial Industry Regulatory Authority, Inc. (“FINRA”).</w:t>
      </w:r>
    </w:p>
    <w:p>
      <w:pPr>
        <w:spacing w:after="0" w:line="195" w:lineRule="exact"/>
        <w:rPr>
          <w:rFonts w:ascii="Arial" w:cs="Arial" w:eastAsia="Arial" w:hAnsi="Arial"/>
          <w:sz w:val="20"/>
          <w:szCs w:val="20"/>
          <w:color w:val="auto"/>
        </w:rPr>
      </w:pPr>
    </w:p>
    <w:p>
      <w:pPr>
        <w:jc w:val="both"/>
        <w:ind w:firstLine="644"/>
        <w:spacing w:after="0" w:line="269" w:lineRule="auto"/>
        <w:tabs>
          <w:tab w:leader="none" w:pos="128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The Company possesses such permits, licenses, approvals, consents and other authorizations (collectively, “</w:t>
      </w:r>
      <w:r>
        <w:rPr>
          <w:rFonts w:ascii="Arial" w:cs="Arial" w:eastAsia="Arial" w:hAnsi="Arial"/>
          <w:sz w:val="19"/>
          <w:szCs w:val="19"/>
          <w:u w:val="single" w:color="auto"/>
          <w:color w:val="auto"/>
        </w:rPr>
        <w:t>Governmental Licenses</w:t>
      </w:r>
      <w:r>
        <w:rPr>
          <w:rFonts w:ascii="Arial" w:cs="Arial" w:eastAsia="Arial" w:hAnsi="Arial"/>
          <w:sz w:val="19"/>
          <w:szCs w:val="19"/>
          <w:color w:val="auto"/>
        </w:rPr>
        <w:t>”) issued by the appropriate Governmental Entities necessary to conduct the business as now operated by it (including without limitation, all such certificates, authorizations, registrations,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0"/>
          </w:cols>
          <w:pgMar w:left="980" w:top="1419"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9"/>
          <w:szCs w:val="19"/>
          <w:color w:val="auto"/>
        </w:rPr>
        <w:t>permits, licenses, approvals and consents required by the United States Food and Drug Administration (the “</w:t>
      </w:r>
      <w:r>
        <w:rPr>
          <w:rFonts w:ascii="Arial" w:cs="Arial" w:eastAsia="Arial" w:hAnsi="Arial"/>
          <w:sz w:val="19"/>
          <w:szCs w:val="19"/>
          <w:u w:val="single" w:color="auto"/>
          <w:color w:val="auto"/>
        </w:rPr>
        <w:t>FDA</w:t>
      </w:r>
      <w:r>
        <w:rPr>
          <w:rFonts w:ascii="Arial" w:cs="Arial" w:eastAsia="Arial" w:hAnsi="Arial"/>
          <w:sz w:val="19"/>
          <w:szCs w:val="19"/>
          <w:color w:val="auto"/>
        </w:rPr>
        <w:t>”) or any other federal, state, local or foreign agencies or bodies engaged in the regulation of clinical laboratories, clinical trials, diagnostic products or other medical devices), except where the failure so to possess would not, singly or in the aggregate, result in a Material Adverse Effect. The Company is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The Company has not received any written notice of proceedings relating to the revocation or modification of any Governmental Licenses which, singly or in the aggregate, if the subject of an unfavorable decision, ruling or finding, would result in a Material Adverse Effect. All applications, notifications, submissions, information, claims, reports and statistics, and other data and conclusions derived therefrom, utilized as the basis for any and all requests for a Governmental License from the FDA or other Governmental Entity relating to the Company, its business and the products and services of the Company,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w:t>
      </w:r>
    </w:p>
    <w:p>
      <w:pPr>
        <w:spacing w:after="0" w:line="190" w:lineRule="exact"/>
        <w:rPr>
          <w:sz w:val="20"/>
          <w:szCs w:val="20"/>
          <w:color w:val="auto"/>
        </w:rPr>
      </w:pPr>
    </w:p>
    <w:p>
      <w:pPr>
        <w:jc w:val="both"/>
        <w:ind w:firstLine="644"/>
        <w:spacing w:after="0" w:line="255" w:lineRule="auto"/>
        <w:tabs>
          <w:tab w:leader="none" w:pos="132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Title to Property</w:t>
      </w:r>
      <w:r>
        <w:rPr>
          <w:rFonts w:ascii="Arial" w:cs="Arial" w:eastAsia="Arial" w:hAnsi="Arial"/>
          <w:sz w:val="19"/>
          <w:szCs w:val="19"/>
          <w:color w:val="auto"/>
        </w:rPr>
        <w:t>. The Company has good and marketable title to all real property owned by it and good title to all other properties owned by it,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affect the value of such property and do not materially interfere with the use made and proposed to be made of such property by the Company; and all of the leases and subleases material to the business of the Company, considered as one enterprise, and under which the Company holds properties described in the Registration Statement, the General Disclosure Package or the Prospectus, are in full force and effect, and the Company has no written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89" w:lineRule="exact"/>
        <w:rPr>
          <w:rFonts w:ascii="Arial" w:cs="Arial" w:eastAsia="Arial" w:hAnsi="Arial"/>
          <w:sz w:val="19"/>
          <w:szCs w:val="19"/>
          <w:color w:val="auto"/>
        </w:rPr>
      </w:pPr>
    </w:p>
    <w:p>
      <w:pPr>
        <w:jc w:val="both"/>
        <w:ind w:firstLine="644"/>
        <w:spacing w:after="0" w:line="271" w:lineRule="auto"/>
        <w:tabs>
          <w:tab w:leader="none" w:pos="135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(i) The Company owns or has valid, binding and enforceable licenses or other rights under the patents, patent applications, copyrights, know-how (including trade secrets and other unpatented and/or unpatentable proprietary or confidential information, systems or procedures), trademarks, service marks, trade names or other intellectual property necessary for, or used in the conduct of the business of the Company and (ii) has, or to the knowledge of the Company, can acquire or license on reasonable terms such intellectual property that is necessary for the proposed conduct of, the business of the Company, in each case, as described in the Registration Statement, the General Disclosure Package and the Prospectus (collectively, the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to the knowledge of the Company, the registered patents, trademarks, and copyrights, if any, included within the Intellectual Property and which are purported to be owned or exclusively licensed by the Company are valid, enforceable, and subsisting; other than as disclosed in the Registration Statement, the General Disclosure Package and the Prospectus, (A) the Company is not obligated to pay a material royalty, grant a license to any material portion of the Intellectual Property, or provide other material consideration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0"/>
          </w:cols>
          <w:pgMar w:left="980" w:top="1419"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9"/>
          <w:szCs w:val="19"/>
          <w:color w:val="auto"/>
        </w:rPr>
        <w:t>third party in connection with the Intellectual Property, (B) the Company has not received any written notice of any claim of infringement, misappropriation or conflict with any asserted rights of others with respect to any of the Company’s products, processes or Intellectual Property, (C) to the knowledge of the Company, neither the sale nor use of any of the discoveries, inventions, products or processes of the Company referred to in the Registration Statement, the General Disclosure Package or the Prospectus do or will, to the knowledge of the Company, infringe, misappropriate or violate any right or valid patent claim of any third party, and (D) to the knowledge of the Company, no third party has any ownership right in or to any Intellectual Property that is owned by the Company, other than any co-owner of any patent constituting Intellectual Property who is listed on the records of the U.S. Patent and Trademark Office (the “</w:t>
      </w:r>
      <w:r>
        <w:rPr>
          <w:rFonts w:ascii="Arial" w:cs="Arial" w:eastAsia="Arial" w:hAnsi="Arial"/>
          <w:sz w:val="19"/>
          <w:szCs w:val="19"/>
          <w:u w:val="single" w:color="auto"/>
          <w:color w:val="auto"/>
        </w:rPr>
        <w:t>USPTO</w:t>
      </w:r>
      <w:r>
        <w:rPr>
          <w:rFonts w:ascii="Arial" w:cs="Arial" w:eastAsia="Arial" w:hAnsi="Arial"/>
          <w:sz w:val="19"/>
          <w:szCs w:val="19"/>
          <w:color w:val="auto"/>
        </w:rPr>
        <w:t>”) and any co-owner of any patent application constituting Intellectual Property who is named in such patent application, and, to the knowledge of the Company, no third party has any ownership right in or to any Intellectual Property in any field of use that is exclusively licensed to the Company, other than any licensor to the Company of such Intellectual Property.</w:t>
      </w:r>
    </w:p>
    <w:p>
      <w:pPr>
        <w:spacing w:after="0" w:line="187" w:lineRule="exact"/>
        <w:rPr>
          <w:sz w:val="20"/>
          <w:szCs w:val="20"/>
          <w:color w:val="auto"/>
        </w:rPr>
      </w:pPr>
    </w:p>
    <w:p>
      <w:pPr>
        <w:jc w:val="both"/>
        <w:ind w:firstLine="644"/>
        <w:spacing w:after="0" w:line="276" w:lineRule="auto"/>
        <w:tabs>
          <w:tab w:leader="none" w:pos="147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Patents and Patent Applications</w:t>
      </w:r>
      <w:r>
        <w:rPr>
          <w:rFonts w:ascii="Arial" w:cs="Arial" w:eastAsia="Arial" w:hAnsi="Arial"/>
          <w:sz w:val="18"/>
          <w:szCs w:val="18"/>
          <w:color w:val="auto"/>
        </w:rPr>
        <w:t>. All patents and patent applications owned by or exclusively licensed to the Company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(A) preclude the grant of a patent in connection with any such application or (B) reasonably be expected to form the basis of a finding of invalidity with respect to any patents that have issued with respect to such applications.</w:t>
      </w:r>
    </w:p>
    <w:p>
      <w:pPr>
        <w:spacing w:after="0" w:line="164" w:lineRule="exact"/>
        <w:rPr>
          <w:rFonts w:ascii="Arial" w:cs="Arial" w:eastAsia="Arial" w:hAnsi="Arial"/>
          <w:sz w:val="18"/>
          <w:szCs w:val="18"/>
          <w:color w:val="auto"/>
        </w:rPr>
      </w:pPr>
    </w:p>
    <w:p>
      <w:pPr>
        <w:jc w:val="both"/>
        <w:ind w:firstLine="644"/>
        <w:spacing w:after="0" w:line="269" w:lineRule="auto"/>
        <w:tabs>
          <w:tab w:leader="none" w:pos="135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as described in the Registration Statement, the General Disclosure Package and the Prospectus or would not, 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or to the manufacture, processing, distribution, use, treatment, storage, disposal, transport or handling of Hazardous Materials (collectively, “</w:t>
      </w:r>
      <w:r>
        <w:rPr>
          <w:rFonts w:ascii="Arial" w:cs="Arial" w:eastAsia="Arial" w:hAnsi="Arial"/>
          <w:sz w:val="18"/>
          <w:szCs w:val="18"/>
          <w:u w:val="single" w:color="auto"/>
          <w:color w:val="auto"/>
        </w:rPr>
        <w:t>Environmental Laws</w:t>
      </w:r>
      <w:r>
        <w:rPr>
          <w:rFonts w:ascii="Arial" w:cs="Arial" w:eastAsia="Arial" w:hAnsi="Arial"/>
          <w:sz w:val="18"/>
          <w:szCs w:val="18"/>
          <w:color w:val="auto"/>
        </w:rPr>
        <w:t>”), (B) the Company has all permits, authorizations and approvals required under any applicable Environmental Laws and is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(D)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pacing w:after="0" w:line="178" w:lineRule="exact"/>
        <w:rPr>
          <w:rFonts w:ascii="Arial" w:cs="Arial" w:eastAsia="Arial" w:hAnsi="Arial"/>
          <w:sz w:val="18"/>
          <w:szCs w:val="18"/>
          <w:color w:val="auto"/>
        </w:rPr>
      </w:pPr>
    </w:p>
    <w:p>
      <w:pPr>
        <w:jc w:val="both"/>
        <w:ind w:firstLine="644"/>
        <w:spacing w:after="0" w:line="291" w:lineRule="auto"/>
        <w:tabs>
          <w:tab w:leader="none" w:pos="143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Accounting Controls and Disclosure Controls</w:t>
      </w:r>
      <w:r>
        <w:rPr>
          <w:rFonts w:ascii="Arial" w:cs="Arial" w:eastAsia="Arial" w:hAnsi="Arial"/>
          <w:sz w:val="18"/>
          <w:szCs w:val="18"/>
          <w:color w:val="auto"/>
        </w:rPr>
        <w:t>. The Company maintains effective internal control over financial reporting (as defined under Rule 13a15 and 15d15 under the rules and regulations of the Commission under the 1934 Act (the “</w:t>
      </w:r>
      <w:r>
        <w:rPr>
          <w:rFonts w:ascii="Arial" w:cs="Arial" w:eastAsia="Arial" w:hAnsi="Arial"/>
          <w:sz w:val="18"/>
          <w:szCs w:val="18"/>
          <w:u w:val="single" w:color="auto"/>
          <w:color w:val="auto"/>
        </w:rPr>
        <w:t>1934</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 Regulations</w:t>
      </w:r>
      <w:r>
        <w:rPr>
          <w:rFonts w:ascii="Arial" w:cs="Arial" w:eastAsia="Arial" w:hAnsi="Arial"/>
          <w:sz w:val="18"/>
          <w:szCs w:val="18"/>
          <w:color w:val="auto"/>
        </w:rPr>
        <w:t>”)) and a system of internal accounting controls sufficient to provide reasonable assurances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19" w:right="339" w:bottom="1440" w:gutter="0" w:footer="0" w:header="0"/>
        </w:sectPr>
      </w:pPr>
    </w:p>
    <w:bookmarkStart w:id="14" w:name="page15"/>
    <w:bookmarkEnd w:id="14"/>
    <w:p>
      <w:pPr>
        <w:jc w:val="both"/>
        <w:spacing w:after="0" w:line="256" w:lineRule="auto"/>
        <w:rPr>
          <w:sz w:val="20"/>
          <w:szCs w:val="20"/>
          <w:color w:val="auto"/>
        </w:rPr>
      </w:pPr>
      <w:r>
        <w:rPr>
          <w:rFonts w:ascii="Arial" w:cs="Arial" w:eastAsia="Arial" w:hAnsi="Arial"/>
          <w:sz w:val="19"/>
          <w:szCs w:val="19"/>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w:t>
      </w:r>
    </w:p>
    <w:p>
      <w:pPr>
        <w:spacing w:after="0" w:line="184" w:lineRule="exact"/>
        <w:rPr>
          <w:sz w:val="20"/>
          <w:szCs w:val="20"/>
          <w:color w:val="auto"/>
        </w:rPr>
      </w:pPr>
    </w:p>
    <w:p>
      <w:pPr>
        <w:jc w:val="both"/>
        <w:ind w:firstLine="644"/>
        <w:spacing w:after="0" w:line="268" w:lineRule="auto"/>
        <w:tabs>
          <w:tab w:leader="none" w:pos="147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Compliance with Health Care Laws</w:t>
      </w:r>
      <w:r>
        <w:rPr>
          <w:rFonts w:ascii="Arial" w:cs="Arial" w:eastAsia="Arial" w:hAnsi="Arial"/>
          <w:sz w:val="18"/>
          <w:szCs w:val="18"/>
          <w:color w:val="auto"/>
        </w:rPr>
        <w:t>. Except as described in the Registration Statement, the General Disclosure Package and the Prospectus or as would not, singly or in the aggregate, reasonably be expected to give rise to a material liability of the Company, the Company is, and since January 1, 2010 has been, in compliance with, all health care laws applicable to the Company or any of its products or activities, including, but not limited to, the federal Anti-Kickback Statute (42 U.S.C. § 1320a-7b(b)), the Anti-Inducement Law (42 U.S.C. § 1320a-7a(a)(5)), the civil False Claims Act (31 U.S.C. §§ 3729 et seq.), the criminal False Claims Law (42 U.S.C. § 1320a-7b(a)), the Stark law (42 U.S.C. § 1395nn), the Health Insurance Portability and Accountability Act of 1996 (42 U.S.C. §§ 1320d et seq.)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(42 U.S.C. § 263a et seq.), the regulations promulgated pursuant to such laws, and any other similar state or federal law (collectively, “</w:t>
      </w:r>
      <w:r>
        <w:rPr>
          <w:rFonts w:ascii="Arial" w:cs="Arial" w:eastAsia="Arial" w:hAnsi="Arial"/>
          <w:sz w:val="18"/>
          <w:szCs w:val="18"/>
          <w:u w:val="single" w:color="auto"/>
          <w:color w:val="auto"/>
        </w:rPr>
        <w:t>Health Care Laws</w:t>
      </w:r>
      <w:r>
        <w:rPr>
          <w:rFonts w:ascii="Arial" w:cs="Arial" w:eastAsia="Arial" w:hAnsi="Arial"/>
          <w:sz w:val="18"/>
          <w:szCs w:val="18"/>
          <w:color w:val="auto"/>
        </w:rPr>
        <w:t>”). The Company has not received any written notification, correspondence or other communication, including notification of any pending or threatened claim, suit, proceeding, hearing, enforcement, investigation, arbitration or other action from any governmental authority, including, without limitation, the FDA, the Federal Trade Commission, the Centers for Medicare &amp; Medicaid Services, or the U.S. Department of Health and Human Services Office of Inspector General, of potential or actual non-compliance by, or liability of, the Company under any Health Care Laws, except, with respect to any of the foregoing, such as would not, in the aggregate, reasonably be expected to have a Material Adverse Effect. To the Company’s knowledge, there are no facts or circumstances that would reasonably be expected to give rise to material liability of the Company under any Health Care Laws. The Company has not had any product or clinical laboratory (whether Company owned or that of a third party manufacturer) subject to a governmental authority (including FDA) shutdown or import or export prohibition, nor received any FDA Form 483 or other governmental authority notice of inspectional observations, “warning letters,” “untitled letters,” requests to make changes to the Company products, processes or operations, or similar written notice from the FDA or other governmental authority alleging or asserting material noncompliance with any applicable Health Care Laws. To the Company’s knowledge, neither the FDA nor any other governmental authority is considering such action. The Company is not a party to any corporate integrity agreements, monitoring agreements, consent decrees, settlement orders, or similar agreements with or imposed by any governmental or regulatory authority. Additionally, neither the Company nor any of its employees, officers, directors, or agents has been excluded, suspended or debarred from participation in any U.S. federal health care program or human clinical research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980" w:top="1419" w:right="339" w:bottom="1440" w:gutter="0" w:footer="0" w:header="0"/>
        </w:sectPr>
      </w:pPr>
    </w:p>
    <w:bookmarkStart w:id="15" w:name="page16"/>
    <w:bookmarkEnd w:id="15"/>
    <w:p>
      <w:pPr>
        <w:ind w:left="4"/>
        <w:spacing w:after="0" w:line="260" w:lineRule="auto"/>
        <w:rPr>
          <w:sz w:val="20"/>
          <w:szCs w:val="20"/>
          <w:color w:val="auto"/>
        </w:rPr>
      </w:pPr>
      <w:r>
        <w:rPr>
          <w:rFonts w:ascii="Arial" w:cs="Arial" w:eastAsia="Arial" w:hAnsi="Arial"/>
          <w:sz w:val="20"/>
          <w:szCs w:val="20"/>
          <w:color w:val="auto"/>
        </w:rPr>
        <w:t>knowledge of the Company, is subject to a governmental inquiry, investigation, proceeding, or other similar action that could reasonably be expected to result in debarment, suspension, or exclusion.</w:t>
      </w:r>
    </w:p>
    <w:p>
      <w:pPr>
        <w:spacing w:after="0" w:line="177" w:lineRule="exact"/>
        <w:rPr>
          <w:sz w:val="20"/>
          <w:szCs w:val="20"/>
          <w:color w:val="auto"/>
        </w:rPr>
      </w:pPr>
    </w:p>
    <w:p>
      <w:pPr>
        <w:jc w:val="both"/>
        <w:ind w:left="4" w:firstLine="644"/>
        <w:spacing w:after="0" w:line="270" w:lineRule="auto"/>
        <w:tabs>
          <w:tab w:leader="none" w:pos="1524"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 Safety Notices</w:t>
      </w:r>
      <w:r>
        <w:rPr>
          <w:rFonts w:ascii="Arial" w:cs="Arial" w:eastAsia="Arial" w:hAnsi="Arial"/>
          <w:sz w:val="18"/>
          <w:szCs w:val="18"/>
          <w:color w:val="auto"/>
        </w:rPr>
        <w:t>. (a)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Arial" w:cs="Arial" w:eastAsia="Arial" w:hAnsi="Arial"/>
          <w:sz w:val="18"/>
          <w:szCs w:val="18"/>
          <w:u w:val="single" w:color="auto"/>
          <w:color w:val="auto"/>
        </w:rPr>
        <w:t>Safety Notices</w:t>
      </w:r>
      <w:r>
        <w:rPr>
          <w:rFonts w:ascii="Arial" w:cs="Arial" w:eastAsia="Arial" w:hAnsi="Arial"/>
          <w:sz w:val="18"/>
          <w:szCs w:val="18"/>
          <w:color w:val="auto"/>
        </w:rPr>
        <w:t>”) and (b) to the Company’s knowledge, there are no facts that would be reasonably likely to result in (x) a Safety Notice with respect to the Company’s products or services, or</w:t>
      </w:r>
    </w:p>
    <w:p>
      <w:pPr>
        <w:spacing w:after="0" w:line="2"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20"/>
          <w:szCs w:val="20"/>
          <w:color w:val="auto"/>
        </w:rPr>
      </w:pPr>
      <w:r>
        <w:rPr>
          <w:rFonts w:ascii="Arial" w:cs="Arial" w:eastAsia="Arial" w:hAnsi="Arial"/>
          <w:sz w:val="20"/>
          <w:szCs w:val="20"/>
          <w:color w:val="auto"/>
        </w:rPr>
        <w:t>a termination or suspension of marketing or testing of any of the Company’s products or services.</w:t>
      </w:r>
    </w:p>
    <w:p>
      <w:pPr>
        <w:spacing w:after="0" w:line="199" w:lineRule="exact"/>
        <w:rPr>
          <w:rFonts w:ascii="Arial" w:cs="Arial" w:eastAsia="Arial" w:hAnsi="Arial"/>
          <w:sz w:val="20"/>
          <w:szCs w:val="20"/>
          <w:color w:val="auto"/>
        </w:rPr>
      </w:pPr>
    </w:p>
    <w:p>
      <w:pPr>
        <w:jc w:val="both"/>
        <w:ind w:left="4" w:firstLine="644"/>
        <w:spacing w:after="0" w:line="271" w:lineRule="auto"/>
        <w:tabs>
          <w:tab w:leader="none" w:pos="1387"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United States federal income tax returns of the Company required by law to be filed have been filed and all taxes shown by such returns or otherwise assessed, which are due and payable, have been paid, except assessments against which appeals have been or will be promptly taken and as to which adequate reserves have been provided. The Company has filed all other tax returns that are required to have been filed by it pursuant to applicable foreign, state, local or other law except insofar as the failure to file such returns would not result in a Material Adverse Effect, and has paid all material taxes due pursuant to such returns or pursuant to any assessment received by the Company, except for such taxes, if any, as are being contested in good faith and as to which adequate reserves have been established by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w:t>
      </w:r>
    </w:p>
    <w:p>
      <w:pPr>
        <w:spacing w:after="0" w:line="173" w:lineRule="exact"/>
        <w:rPr>
          <w:rFonts w:ascii="Arial" w:cs="Arial" w:eastAsia="Arial" w:hAnsi="Arial"/>
          <w:sz w:val="18"/>
          <w:szCs w:val="18"/>
          <w:color w:val="auto"/>
        </w:rPr>
      </w:pPr>
    </w:p>
    <w:p>
      <w:pPr>
        <w:jc w:val="both"/>
        <w:ind w:left="4" w:firstLine="644"/>
        <w:spacing w:after="0" w:line="306" w:lineRule="auto"/>
        <w:tabs>
          <w:tab w:leader="none" w:pos="1373"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w:t>
      </w:r>
    </w:p>
    <w:p>
      <w:pPr>
        <w:jc w:val="both"/>
        <w:ind w:left="4"/>
        <w:spacing w:after="0" w:line="281" w:lineRule="auto"/>
        <w:rPr>
          <w:rFonts w:ascii="Arial" w:cs="Arial" w:eastAsia="Arial" w:hAnsi="Arial"/>
          <w:sz w:val="16"/>
          <w:szCs w:val="16"/>
          <w:color w:val="auto"/>
        </w:rPr>
      </w:pPr>
      <w:r>
        <w:rPr>
          <w:rFonts w:ascii="Arial" w:cs="Arial" w:eastAsia="Arial" w:hAnsi="Arial"/>
          <w:sz w:val="18"/>
          <w:szCs w:val="18"/>
          <w:color w:val="auto"/>
        </w:rPr>
        <w:t>(A) to renew its existing insurance coverage as and when such policies expire or (B) to obtain comparable coverage from similar institutions as may be necessary or appropriate to conduct its business as now conducted and at a cost that would not result in a Material Adverse Effect. The Company has not been denied any insurance coverage which it has sought or for which it has applied.</w:t>
      </w:r>
    </w:p>
    <w:p>
      <w:pPr>
        <w:spacing w:after="0" w:line="161" w:lineRule="exact"/>
        <w:rPr>
          <w:rFonts w:ascii="Arial" w:cs="Arial" w:eastAsia="Arial" w:hAnsi="Arial"/>
          <w:sz w:val="16"/>
          <w:szCs w:val="16"/>
          <w:color w:val="auto"/>
        </w:rPr>
      </w:pPr>
    </w:p>
    <w:p>
      <w:pPr>
        <w:jc w:val="both"/>
        <w:ind w:left="4" w:firstLine="644"/>
        <w:spacing w:after="0" w:line="246" w:lineRule="auto"/>
        <w:tabs>
          <w:tab w:leader="none" w:pos="136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Arial" w:cs="Arial" w:eastAsia="Arial" w:hAnsi="Arial"/>
          <w:sz w:val="20"/>
          <w:szCs w:val="20"/>
          <w:u w:val="single" w:color="auto"/>
          <w:color w:val="auto"/>
        </w:rPr>
        <w:t>1940 Act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4" w:firstLine="644"/>
        <w:spacing w:after="0" w:line="244" w:lineRule="auto"/>
        <w:tabs>
          <w:tab w:leader="none" w:pos="1442"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Absence of Manipulation</w:t>
      </w:r>
      <w:r>
        <w:rPr>
          <w:rFonts w:ascii="Arial" w:cs="Arial" w:eastAsia="Arial" w:hAnsi="Arial"/>
          <w:sz w:val="20"/>
          <w:szCs w:val="20"/>
          <w:color w:val="auto"/>
        </w:rPr>
        <w:t>. Neither the Company nor, to the Company’s knowledge, any affiliate of the Company has taken, nor will the Company or at the direction of the Company any affiliate take, directly or indirectly, any action which is designed, or would be reasonably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1419" w:right="339" w:bottom="1440" w:gutter="0" w:footer="0" w:header="0"/>
        </w:sectPr>
      </w:pPr>
    </w:p>
    <w:bookmarkStart w:id="16" w:name="page17"/>
    <w:bookmarkEnd w:id="16"/>
    <w:p>
      <w:pPr>
        <w:jc w:val="both"/>
        <w:ind w:left="-460" w:firstLine="644"/>
        <w:spacing w:after="0" w:line="255" w:lineRule="auto"/>
        <w:tabs>
          <w:tab w:leader="none" w:pos="102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Foreign Corrupt Practices Act</w:t>
      </w:r>
      <w:r>
        <w:rPr>
          <w:rFonts w:ascii="Arial" w:cs="Arial" w:eastAsia="Arial" w:hAnsi="Arial"/>
          <w:sz w:val="19"/>
          <w:szCs w:val="19"/>
          <w:color w:val="auto"/>
        </w:rPr>
        <w:t>. None of the Company or to the knowledge of the Company, any director, officer, agent, employee, affiliate or other person acting on behalf of the Company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89" w:lineRule="exact"/>
        <w:rPr>
          <w:rFonts w:ascii="Arial" w:cs="Arial" w:eastAsia="Arial" w:hAnsi="Arial"/>
          <w:sz w:val="19"/>
          <w:szCs w:val="19"/>
          <w:color w:val="auto"/>
        </w:rPr>
      </w:pPr>
    </w:p>
    <w:p>
      <w:pPr>
        <w:jc w:val="both"/>
        <w:ind w:left="-460" w:firstLine="644"/>
        <w:spacing w:after="0" w:line="259" w:lineRule="auto"/>
        <w:tabs>
          <w:tab w:leader="none" w:pos="103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Money Laundering Laws</w:t>
      </w:r>
      <w:r>
        <w:rPr>
          <w:rFonts w:ascii="Arial" w:cs="Arial" w:eastAsia="Arial" w:hAnsi="Arial"/>
          <w:sz w:val="19"/>
          <w:szCs w:val="19"/>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9"/>
          <w:szCs w:val="19"/>
          <w:u w:val="single" w:color="auto"/>
          <w:color w:val="auto"/>
        </w:rPr>
        <w:t>Money Laundering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Laws</w:t>
      </w:r>
      <w:r>
        <w:rPr>
          <w:rFonts w:ascii="Arial" w:cs="Arial" w:eastAsia="Arial" w:hAnsi="Arial"/>
          <w:sz w:val="19"/>
          <w:szCs w:val="19"/>
          <w:color w:val="auto"/>
        </w:rPr>
        <w:t>”); and no action, suit or proceeding by or before any Governmental Entity involving the Company with respect to the Money Laundering Laws is pending or, to the knowledge of the Company, threatened.</w:t>
      </w:r>
    </w:p>
    <w:p>
      <w:pPr>
        <w:spacing w:after="0" w:line="178" w:lineRule="exact"/>
        <w:rPr>
          <w:rFonts w:ascii="Arial" w:cs="Arial" w:eastAsia="Arial" w:hAnsi="Arial"/>
          <w:sz w:val="19"/>
          <w:szCs w:val="19"/>
          <w:color w:val="auto"/>
        </w:rPr>
      </w:pPr>
    </w:p>
    <w:p>
      <w:pPr>
        <w:jc w:val="both"/>
        <w:ind w:left="-460" w:firstLine="644"/>
        <w:spacing w:after="0" w:line="255" w:lineRule="auto"/>
        <w:tabs>
          <w:tab w:leader="none" w:pos="94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None of the Company or to the knowledge of the Company, any director, officer, agent, employee, affiliate or representative of the Company is an individual or entity (“</w:t>
      </w:r>
      <w:r>
        <w:rPr>
          <w:rFonts w:ascii="Arial" w:cs="Arial" w:eastAsia="Arial" w:hAnsi="Arial"/>
          <w:sz w:val="19"/>
          <w:szCs w:val="19"/>
          <w:u w:val="single" w:color="auto"/>
          <w:color w:val="auto"/>
        </w:rPr>
        <w:t>Person</w:t>
      </w:r>
      <w:r>
        <w:rPr>
          <w:rFonts w:ascii="Arial" w:cs="Arial" w:eastAsia="Arial" w:hAnsi="Arial"/>
          <w:sz w:val="19"/>
          <w:szCs w:val="19"/>
          <w:color w:val="auto"/>
        </w:rPr>
        <w:t>”)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9" w:lineRule="exact"/>
        <w:rPr>
          <w:rFonts w:ascii="Arial" w:cs="Arial" w:eastAsia="Arial" w:hAnsi="Arial"/>
          <w:sz w:val="19"/>
          <w:szCs w:val="19"/>
          <w:color w:val="auto"/>
        </w:rPr>
      </w:pPr>
    </w:p>
    <w:p>
      <w:pPr>
        <w:jc w:val="both"/>
        <w:ind w:left="-460" w:firstLine="644"/>
        <w:spacing w:after="0" w:line="246" w:lineRule="auto"/>
        <w:tabs>
          <w:tab w:leader="none" w:pos="1009"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Lending Relationship</w:t>
      </w:r>
      <w:r>
        <w:rPr>
          <w:rFonts w:ascii="Arial" w:cs="Arial" w:eastAsia="Arial" w:hAnsi="Arial"/>
          <w:sz w:val="20"/>
          <w:szCs w:val="20"/>
          <w:i w:val="1"/>
          <w:iCs w:val="1"/>
          <w:color w:val="auto"/>
        </w:rPr>
        <w:t>.</w:t>
      </w:r>
      <w:r>
        <w:rPr>
          <w:rFonts w:ascii="Arial" w:cs="Arial" w:eastAsia="Arial" w:hAnsi="Arial"/>
          <w:sz w:val="20"/>
          <w:szCs w:val="20"/>
          <w:color w:val="auto"/>
        </w:rPr>
        <w:t xml:space="preserve"> 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191" w:lineRule="exact"/>
        <w:rPr>
          <w:rFonts w:ascii="Arial" w:cs="Arial" w:eastAsia="Arial" w:hAnsi="Arial"/>
          <w:sz w:val="20"/>
          <w:szCs w:val="20"/>
          <w:color w:val="auto"/>
        </w:rPr>
      </w:pPr>
    </w:p>
    <w:p>
      <w:pPr>
        <w:jc w:val="both"/>
        <w:ind w:left="-460" w:right="20" w:firstLine="644"/>
        <w:spacing w:after="0" w:line="246" w:lineRule="auto"/>
        <w:tabs>
          <w:tab w:leader="none" w:pos="1239"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Statistical and Market-Related Data</w:t>
      </w:r>
      <w:r>
        <w:rPr>
          <w:rFonts w:ascii="Arial" w:cs="Arial" w:eastAsia="Arial" w:hAnsi="Arial"/>
          <w:sz w:val="20"/>
          <w:szCs w:val="20"/>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20"/>
          </w:cols>
          <w:pgMar w:left="1440" w:top="1419" w:right="339" w:bottom="1440" w:gutter="0" w:footer="0" w:header="0"/>
        </w:sectPr>
      </w:pPr>
    </w:p>
    <w:bookmarkStart w:id="17" w:name="page18"/>
    <w:bookmarkEnd w:id="17"/>
    <w:p>
      <w:pPr>
        <w:jc w:val="both"/>
        <w:ind w:right="20" w:firstLine="644"/>
        <w:spacing w:after="0" w:line="250" w:lineRule="auto"/>
        <w:tabs>
          <w:tab w:leader="none" w:pos="1604"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Rating of Debt Securities</w:t>
      </w:r>
      <w:r>
        <w:rPr>
          <w:rFonts w:ascii="Arial" w:cs="Arial" w:eastAsia="Arial" w:hAnsi="Arial"/>
          <w:sz w:val="20"/>
          <w:szCs w:val="20"/>
          <w:color w:val="auto"/>
        </w:rPr>
        <w:t>. The Company has no debt securities or preferred stock that is rated by any “nationally recognized statistical rating organization” (as that term is defined by the Commission for purposes of Rule 436(g)(2) under the 1933 Act).</w:t>
      </w:r>
    </w:p>
    <w:p>
      <w:pPr>
        <w:spacing w:after="0" w:line="185" w:lineRule="exact"/>
        <w:rPr>
          <w:rFonts w:ascii="Arial" w:cs="Arial" w:eastAsia="Arial" w:hAnsi="Arial"/>
          <w:sz w:val="20"/>
          <w:szCs w:val="20"/>
          <w:color w:val="auto"/>
        </w:rPr>
      </w:pPr>
    </w:p>
    <w:p>
      <w:pPr>
        <w:ind w:right="140" w:firstLine="644"/>
        <w:spacing w:after="0" w:line="342" w:lineRule="auto"/>
        <w:tabs>
          <w:tab w:leader="none" w:pos="14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Broker Fees</w:t>
      </w:r>
      <w:r>
        <w:rPr>
          <w:rFonts w:ascii="Arial" w:cs="Arial" w:eastAsia="Arial" w:hAnsi="Arial"/>
          <w:sz w:val="16"/>
          <w:szCs w:val="16"/>
          <w:color w:val="auto"/>
        </w:rPr>
        <w:t>. 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the offering of the Shares contemplated hereby.</w:t>
      </w:r>
    </w:p>
    <w:p>
      <w:pPr>
        <w:spacing w:after="0" w:line="1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There is and has been no failure on the part of the Company or, to the knowledge of the Company, any of the Company’s directors or officers, in their capacities as such, to comply with any provision of the Sarbanes -Oxley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applicable to the Company or such directors or officers as of the date hereof, including Section 402 of the Sarbanes-Oxley Act related to loans. The Company has taken all necessary actions to ensure that, upon the effectiveness of the Registration Statement, it will be in compliance with all provisions of the Sarbanes-Oxley Act which the Company is required to comply with as of the effectiveness of the Registration Statement, and is actively taking steps to ensure that it will be in compliance with other provisions of the Sarbanes-Oxley Act that will become applicable to the Company at all times after the effectiveness of the Registration Statement.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Cybersecurity and Information Technology</w:t>
      </w:r>
      <w:r>
        <w:rPr>
          <w:rFonts w:ascii="Arial" w:cs="Arial" w:eastAsia="Arial" w:hAnsi="Arial"/>
          <w:sz w:val="18"/>
          <w:szCs w:val="18"/>
          <w:color w:val="auto"/>
        </w:rPr>
        <w:t>. The Company’s information technology assets and equipment, computers, technology systems, networks, hardware, software, websites, applications, and databases (collectively, “IT Systems”) are commercially reasonably adequate for, and operate and perform in all material respects, as required in connection with the operation of the business of the Company as currently conducted, and, to the knowledge of the Company, free and clear of all material bugs, errors, defects, Trojan horses, time bombs, malware and other corruptants. The Company has implemented and maintained commercially reasonable controls, policies, procedures, and safeguards to maintain and protect its confidential information and the integrity, continuous operation, redundancy and security of all material IT Systems and data (including all personal data and sensitive, confidential or regulated data (collectively, the “Confidential Data”)) used in connection with the operation of the Company, and has established commercially reasonable disaster recovery plans, procedures and facilities for the business. To the knowledge of the Company, there have been no material breaches, violations, outages or unauthorized uses of or access to the Confidential Data, except for those that have been remedied without material cost or liability.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except as would not, individually or in the aggregate have a Material Adverse Effect.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(xlii) </w:t>
      </w:r>
      <w:r>
        <w:rPr>
          <w:rFonts w:ascii="Arial" w:cs="Arial" w:eastAsia="Arial" w:hAnsi="Arial"/>
          <w:sz w:val="19"/>
          <w:szCs w:val="19"/>
          <w:u w:val="single" w:color="auto"/>
          <w:color w:val="auto"/>
        </w:rPr>
        <w:t>FinCEN</w:t>
      </w:r>
      <w:r>
        <w:rPr>
          <w:rFonts w:ascii="Arial" w:cs="Arial" w:eastAsia="Arial" w:hAnsi="Arial"/>
          <w:sz w:val="19"/>
          <w:szCs w:val="19"/>
          <w:color w:val="auto"/>
        </w:rPr>
        <w:t>. To the Company’s knowledge, all of the beneficial ownership information provided to the Underwriters or to counsel for the Underwriters by the Company or its counsel in certification of the beneficial ownership of holders of 25% or more of the Company’s securities in connection with the offering of the Securities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580"/>
          </w:cols>
          <w:pgMar w:left="980" w:top="1419" w:right="339" w:bottom="1440" w:gutter="0" w:footer="0" w:header="0"/>
        </w:sectPr>
      </w:pPr>
    </w:p>
    <w:bookmarkStart w:id="18" w:name="page19"/>
    <w:bookmarkEnd w:id="18"/>
    <w:p>
      <w:pPr>
        <w:ind w:firstLine="656"/>
        <w:spacing w:after="0" w:line="316" w:lineRule="auto"/>
        <w:tabs>
          <w:tab w:leader="none" w:pos="1117"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delivered to the Representatives or to counsel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shall be deemed a representation and warranty by the Company to each Underwriter as to the matters covered thereby.</w:t>
      </w:r>
    </w:p>
    <w:p>
      <w:pPr>
        <w:spacing w:after="0" w:line="13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6" w:lineRule="auto"/>
        <w:tabs>
          <w:tab w:leader="none" w:pos="1119"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herein set forth, the Company agrees to sell to each Underwriter, severally and not jointly, and each Underwriter, severally and not jointly, agrees to purchase from the Company,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that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64" w:lineRule="exact"/>
        <w:rPr>
          <w:rFonts w:ascii="Arial" w:cs="Arial" w:eastAsia="Arial" w:hAnsi="Arial"/>
          <w:sz w:val="18"/>
          <w:szCs w:val="18"/>
          <w:color w:val="auto"/>
        </w:rPr>
      </w:pPr>
    </w:p>
    <w:p>
      <w:pPr>
        <w:jc w:val="both"/>
        <w:ind w:firstLine="656"/>
        <w:spacing w:after="0" w:line="270" w:lineRule="auto"/>
        <w:tabs>
          <w:tab w:leader="none" w:pos="110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Option Securities</w:t>
      </w:r>
      <w:r>
        <w:rPr>
          <w:rFonts w:ascii="Arial" w:cs="Arial" w:eastAsia="Arial" w:hAnsi="Arial"/>
          <w:sz w:val="18"/>
          <w:szCs w:val="18"/>
          <w:color w:val="auto"/>
        </w:rPr>
        <w:t>. In addition, on the basis of the representations and warranties herein contained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herein set forth, the Company hereby grants an option to the Underwriters, severally and not jointly, to purchase up to an additional 555,000 shares of Common Stock,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w:t>
      </w:r>
      <w:r>
        <w:rPr>
          <w:rFonts w:ascii="Arial" w:cs="Arial" w:eastAsia="Arial" w:hAnsi="Arial"/>
          <w:sz w:val="18"/>
          <w:szCs w:val="18"/>
          <w:color w:val="auto"/>
        </w:rPr>
        <w:t>”) shall be determined by the Representatives, but any Date of Delivery occurring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72" w:lineRule="exact"/>
        <w:rPr>
          <w:rFonts w:ascii="Arial" w:cs="Arial" w:eastAsia="Arial" w:hAnsi="Arial"/>
          <w:sz w:val="18"/>
          <w:szCs w:val="18"/>
          <w:color w:val="auto"/>
        </w:rPr>
      </w:pPr>
    </w:p>
    <w:p>
      <w:pPr>
        <w:jc w:val="both"/>
        <w:ind w:firstLine="656"/>
        <w:spacing w:after="0" w:line="274" w:lineRule="auto"/>
        <w:tabs>
          <w:tab w:leader="none" w:pos="1079"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the Initial Securities shall be made at the offices of Mintz, Levin,</w:t>
      </w:r>
      <w:r>
        <w:rPr>
          <w:rFonts w:ascii="Arial" w:cs="Arial" w:eastAsia="Arial" w:hAnsi="Arial"/>
          <w:sz w:val="18"/>
          <w:szCs w:val="18"/>
          <w:i w:val="1"/>
          <w:iCs w:val="1"/>
          <w:color w:val="auto"/>
        </w:rPr>
        <w:t xml:space="preserve"> </w:t>
      </w:r>
      <w:r>
        <w:rPr>
          <w:rFonts w:ascii="Arial" w:cs="Arial" w:eastAsia="Arial" w:hAnsi="Arial"/>
          <w:sz w:val="18"/>
          <w:szCs w:val="18"/>
          <w:color w:val="auto"/>
        </w:rPr>
        <w:t>Cohn, Ferris, Glovsky and Popeo, P.C., One Financial Center, Boston, MA 02111,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Arial" w:cs="Arial" w:eastAsia="Arial" w:hAnsi="Arial"/>
          <w:sz w:val="18"/>
          <w:szCs w:val="18"/>
          <w:u w:val="single" w:color="auto"/>
          <w:color w:val="auto"/>
        </w:rPr>
        <w:t>Closing Time</w:t>
      </w:r>
      <w:r>
        <w:rPr>
          <w:rFonts w:ascii="Arial" w:cs="Arial" w:eastAsia="Arial" w:hAnsi="Arial"/>
          <w:sz w:val="18"/>
          <w:szCs w:val="18"/>
          <w:color w:val="auto"/>
        </w:rPr>
        <w:t>”). Delivery of the Initial Securities at the Closing Time shall be made through the facilities of The Depository Trust Company unless the Representatives shall otherwise instruct.</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such Option Securities shall be made at the abovementioned offices, or at such other place as shall be agreed upon by the Representatives and the Company, on each Date of Delivery as specified in the notice from Cowen to the Company.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20"/>
          <w:szCs w:val="20"/>
          <w:color w:val="auto"/>
        </w:rPr>
        <w:t>of the Option Securities on each such Date of Delivery shall be made through the facilities of The Depository Trust Company unless the Representatives shall otherwise instruct.</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Payment shall be made to the Company by wire transfer of immediately available funds to a bank account designated by the Company against delivery to the Representatives for the respective accounts of the Underwriters of the Securities to be purchased by them (which delivery shall be made through the facilities of The Depository Trust Company unless the Representatives shall otherwise instruct). It is understood that each Underwriter has authorized the Representatives, for its account, to accept delivery of, receipt for, and make payment of the purchase price for, the Initial Securities and the Option Securities, if any, which it has agreed to purchase. Cowen, Cantor or Blair,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9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16" w:lineRule="exact"/>
        <w:rPr>
          <w:sz w:val="20"/>
          <w:szCs w:val="20"/>
          <w:color w:val="auto"/>
        </w:rPr>
      </w:pPr>
    </w:p>
    <w:p>
      <w:pPr>
        <w:jc w:val="both"/>
        <w:ind w:firstLine="656"/>
        <w:spacing w:after="0" w:line="268" w:lineRule="auto"/>
        <w:tabs>
          <w:tab w:leader="none" w:pos="124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Required Filings; Amendments or Supplements; Notice to the Representative</w:t>
      </w:r>
      <w:r>
        <w:rPr>
          <w:rFonts w:ascii="Arial" w:cs="Arial" w:eastAsia="Arial" w:hAnsi="Arial"/>
          <w:sz w:val="18"/>
          <w:szCs w:val="18"/>
          <w:color w:val="auto"/>
        </w:rPr>
        <w:t>. To prepare the Rule 462(b)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(2nd) day following the execution and delivery of this Agreement or, if applicable, such earlier time as may be required by the Securities Act; to notify the Representatives promptly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the Registration Statement has been filed or becomes effective or any supplement to the General Disclosure Package or the Prospectus or any amended Prospectus or any Issuer Free Writing Prospectus or any Written Testing-the -Waters Communication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Stock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including, but not limited to, any request for information concerning any Testing-the-Waters Communication;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0" w:name="page21"/>
    <w:bookmarkEnd w:id="20"/>
    <w:p>
      <w:pPr>
        <w:jc w:val="both"/>
        <w:ind w:firstLine="656"/>
        <w:spacing w:after="0" w:line="276" w:lineRule="auto"/>
        <w:tabs>
          <w:tab w:leader="none" w:pos="109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Upon request, the Company will furnish or will deliver to the Representatives and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Underwriters, without charge, signed copies of the Registration Statement as originally filed and each amendment thereto (including exhibits filed therewith)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8"/>
          <w:szCs w:val="18"/>
          <w:color w:val="auto"/>
        </w:rPr>
      </w:pPr>
    </w:p>
    <w:p>
      <w:pPr>
        <w:jc w:val="both"/>
        <w:ind w:firstLine="656"/>
        <w:spacing w:after="0" w:line="274" w:lineRule="auto"/>
        <w:tabs>
          <w:tab w:leader="none" w:pos="106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Delivery of Prospectuses</w:t>
      </w:r>
      <w:r>
        <w:rPr>
          <w:rFonts w:ascii="Arial" w:cs="Arial" w:eastAsia="Arial" w:hAnsi="Arial"/>
          <w:sz w:val="18"/>
          <w:szCs w:val="18"/>
          <w:color w:val="auto"/>
        </w:rPr>
        <w:t>. The Company has delivered to each Underwriter, without charge, as many copies of each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copies of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8" w:lineRule="exact"/>
        <w:rPr>
          <w:rFonts w:ascii="Arial" w:cs="Arial" w:eastAsia="Arial" w:hAnsi="Arial"/>
          <w:sz w:val="18"/>
          <w:szCs w:val="18"/>
          <w:color w:val="auto"/>
        </w:rPr>
      </w:pPr>
    </w:p>
    <w:p>
      <w:pPr>
        <w:jc w:val="both"/>
        <w:ind w:firstLine="656"/>
        <w:spacing w:after="0" w:line="243" w:lineRule="auto"/>
        <w:tabs>
          <w:tab w:leader="none" w:pos="1103"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Blue Sky Qualifications</w:t>
      </w:r>
      <w:r>
        <w:rPr>
          <w:rFonts w:ascii="Arial" w:cs="Arial" w:eastAsia="Arial" w:hAnsi="Arial"/>
          <w:sz w:val="20"/>
          <w:szCs w:val="20"/>
          <w:color w:val="auto"/>
        </w:rPr>
        <w:t>. The Company will use its best efforts, in cooperation with the Underwriters, to qualify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for offering 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5" w:lineRule="exact"/>
        <w:rPr>
          <w:rFonts w:ascii="Arial" w:cs="Arial" w:eastAsia="Arial" w:hAnsi="Arial"/>
          <w:sz w:val="20"/>
          <w:szCs w:val="20"/>
          <w:color w:val="auto"/>
        </w:rPr>
      </w:pPr>
    </w:p>
    <w:p>
      <w:pPr>
        <w:jc w:val="both"/>
        <w:ind w:firstLine="656"/>
        <w:spacing w:after="0" w:line="250" w:lineRule="auto"/>
        <w:tabs>
          <w:tab w:leader="none" w:pos="1146"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Rule 158</w:t>
      </w:r>
      <w:r>
        <w:rPr>
          <w:rFonts w:ascii="Arial" w:cs="Arial" w:eastAsia="Arial" w:hAnsi="Arial"/>
          <w:sz w:val="20"/>
          <w:szCs w:val="20"/>
          <w:color w:val="auto"/>
        </w:rPr>
        <w:t>. The Company will timely file such reports pursuant to the 1934 Act as are necessary in order to make generally</w:t>
      </w:r>
      <w:r>
        <w:rPr>
          <w:rFonts w:ascii="Arial" w:cs="Arial" w:eastAsia="Arial" w:hAnsi="Arial"/>
          <w:sz w:val="20"/>
          <w:szCs w:val="20"/>
          <w:i w:val="1"/>
          <w:iCs w:val="1"/>
          <w:color w:val="auto"/>
        </w:rPr>
        <w:t xml:space="preserve"> </w:t>
      </w:r>
      <w:r>
        <w:rPr>
          <w:rFonts w:ascii="Arial" w:cs="Arial" w:eastAsia="Arial" w:hAnsi="Arial"/>
          <w:sz w:val="20"/>
          <w:szCs w:val="20"/>
          <w:color w:val="auto"/>
        </w:rPr>
        <w:t>available to its securityholders as soon as practicable an earnings statement for the purposes of, and to provide to the Underwriters the benefits contemplated by, the last paragraph of Section 11(a) of the 1933 Act.</w:t>
      </w:r>
    </w:p>
    <w:p>
      <w:pPr>
        <w:spacing w:after="0" w:line="185" w:lineRule="exact"/>
        <w:rPr>
          <w:rFonts w:ascii="Arial" w:cs="Arial" w:eastAsia="Arial" w:hAnsi="Arial"/>
          <w:sz w:val="20"/>
          <w:szCs w:val="20"/>
          <w:color w:val="auto"/>
        </w:rPr>
      </w:pPr>
    </w:p>
    <w:p>
      <w:pPr>
        <w:ind w:firstLine="656"/>
        <w:spacing w:after="0" w:line="316"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all material respects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manner specified in the Registration Statement, the General Disclosure Package and the Prospectus under “Use of Proceeds.”</w:t>
      </w:r>
    </w:p>
    <w:p>
      <w:pPr>
        <w:spacing w:after="0" w:line="129" w:lineRule="exact"/>
        <w:rPr>
          <w:rFonts w:ascii="Arial" w:cs="Arial" w:eastAsia="Arial" w:hAnsi="Arial"/>
          <w:sz w:val="18"/>
          <w:szCs w:val="18"/>
          <w:color w:val="auto"/>
        </w:rPr>
      </w:pPr>
    </w:p>
    <w:p>
      <w:pPr>
        <w:ind w:firstLine="656"/>
        <w:spacing w:after="0" w:line="260" w:lineRule="auto"/>
        <w:tabs>
          <w:tab w:leader="none" w:pos="1090"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Listing</w:t>
      </w:r>
      <w:r>
        <w:rPr>
          <w:rFonts w:ascii="Arial" w:cs="Arial" w:eastAsia="Arial" w:hAnsi="Arial"/>
          <w:sz w:val="20"/>
          <w:szCs w:val="20"/>
          <w:color w:val="auto"/>
        </w:rPr>
        <w:t>. The Company will use its reasonable best efforts to effect and maintain the listing of the Common Stock (including the</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on the Nasdaq Global Market.</w:t>
      </w:r>
    </w:p>
    <w:p>
      <w:pPr>
        <w:spacing w:after="0" w:line="176" w:lineRule="exact"/>
        <w:rPr>
          <w:rFonts w:ascii="Arial" w:cs="Arial" w:eastAsia="Arial" w:hAnsi="Arial"/>
          <w:sz w:val="20"/>
          <w:szCs w:val="20"/>
          <w:color w:val="auto"/>
        </w:rPr>
      </w:pPr>
    </w:p>
    <w:p>
      <w:pPr>
        <w:jc w:val="both"/>
        <w:ind w:firstLine="656"/>
        <w:spacing w:after="0" w:line="276" w:lineRule="auto"/>
        <w:tabs>
          <w:tab w:leader="none" w:pos="107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 During a period of 90 days from the date of the Prospectus, the Company will not,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transaction described in clause (i) or (ii) above is to be settled by delivery of Common Stock or such other securities, in cash or otherwise, or</w:t>
      </w:r>
    </w:p>
    <w:p>
      <w:pPr>
        <w:spacing w:after="0" w:line="39" w:lineRule="exact"/>
        <w:rPr>
          <w:sz w:val="20"/>
          <w:szCs w:val="20"/>
          <w:color w:val="auto"/>
        </w:rPr>
      </w:pPr>
    </w:p>
    <w:p>
      <w:pPr>
        <w:jc w:val="both"/>
        <w:ind w:firstLine="8"/>
        <w:spacing w:after="0" w:line="268" w:lineRule="auto"/>
        <w:tabs>
          <w:tab w:leader="none" w:pos="3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publicly announce an intention to effect any such swap, agreement or other transaction described in clause (i) or (ii). The foregoing sentence shall not apply to (A)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employee benefit or stock incentive plans of the Company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filing by the Company of any registration statement on Form S-8 or a successor form thereto; or (F) the issuance by the Company of any shares of Common Stock in connection with a licensing agreement, joint venture, acquisition or business combination or other collaboration or strategic transaction (including the filing of a registration statement on Form S-4 or other appropriate form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recipients of such shares of Common Stock agree to be bound by the terms of the lock-up letter described in Section 5(i) hereof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sum of the aggregate number of shares of Common Stock so issued shall not exceed 5% of the total outstanding shares of Common Stock outstanding immediately following the consummation of the offering of the Securities.</w:t>
      </w:r>
    </w:p>
    <w:p>
      <w:pPr>
        <w:spacing w:after="0" w:line="178" w:lineRule="exact"/>
        <w:rPr>
          <w:rFonts w:ascii="Arial" w:cs="Arial" w:eastAsia="Arial" w:hAnsi="Arial"/>
          <w:sz w:val="18"/>
          <w:szCs w:val="18"/>
          <w:color w:val="auto"/>
        </w:rPr>
      </w:pPr>
    </w:p>
    <w:p>
      <w:pPr>
        <w:jc w:val="both"/>
        <w:ind w:firstLine="656"/>
        <w:spacing w:after="0" w:line="263" w:lineRule="auto"/>
        <w:tabs>
          <w:tab w:leader="none" w:pos="1154"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Reporting Requirements</w:t>
      </w:r>
      <w:r>
        <w:rPr>
          <w:rFonts w:ascii="Arial" w:cs="Arial" w:eastAsia="Arial" w:hAnsi="Arial"/>
          <w:sz w:val="19"/>
          <w:szCs w:val="19"/>
          <w:color w:val="auto"/>
        </w:rPr>
        <w:t>. The Company, during the period when a Prospectus relating to the Securities is (or, but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76" w:lineRule="exact"/>
        <w:rPr>
          <w:rFonts w:ascii="Arial" w:cs="Arial" w:eastAsia="Arial" w:hAnsi="Arial"/>
          <w:sz w:val="19"/>
          <w:szCs w:val="19"/>
          <w:color w:val="auto"/>
        </w:rPr>
      </w:pPr>
    </w:p>
    <w:p>
      <w:pPr>
        <w:jc w:val="both"/>
        <w:ind w:firstLine="656"/>
        <w:spacing w:after="0" w:line="269" w:lineRule="auto"/>
        <w:tabs>
          <w:tab w:leader="none" w:pos="1033"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The Company agrees that, unless it obtains the prior written consent of the Representatives, 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 and any “road show for an offering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8"/>
          <w:szCs w:val="18"/>
          <w:color w:val="auto"/>
        </w:rPr>
      </w:pPr>
    </w:p>
    <w:p>
      <w:pPr>
        <w:ind w:right="20" w:firstLine="656"/>
        <w:spacing w:after="0" w:line="260" w:lineRule="auto"/>
        <w:tabs>
          <w:tab w:leader="none" w:pos="1090"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Testing-the-Waters Materials</w:t>
      </w:r>
      <w:r>
        <w:rPr>
          <w:rFonts w:ascii="Arial" w:cs="Arial" w:eastAsia="Arial" w:hAnsi="Arial"/>
          <w:sz w:val="20"/>
          <w:szCs w:val="20"/>
          <w:color w:val="auto"/>
        </w:rPr>
        <w:t>. If at any time following the distribution of any Written Testing-the-Waters Communication there occurred or occurs an event or development as a result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9"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9"/>
          <w:szCs w:val="19"/>
          <w:color w:val="auto"/>
        </w:rPr>
        <w:t>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6" w:lineRule="exact"/>
        <w:rPr>
          <w:sz w:val="20"/>
          <w:szCs w:val="20"/>
          <w:color w:val="auto"/>
        </w:rPr>
      </w:pPr>
    </w:p>
    <w:p>
      <w:pPr>
        <w:jc w:val="both"/>
        <w:ind w:firstLine="656"/>
        <w:spacing w:after="0" w:line="250" w:lineRule="auto"/>
        <w:tabs>
          <w:tab w:leader="none" w:pos="111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Emerging Growth Company Status</w:t>
      </w:r>
      <w:r>
        <w:rPr>
          <w:rFonts w:ascii="Arial" w:cs="Arial" w:eastAsia="Arial" w:hAnsi="Arial"/>
          <w:sz w:val="20"/>
          <w:szCs w:val="20"/>
          <w:color w:val="auto"/>
        </w:rPr>
        <w:t>. The Company will promptly notify the Representatives if the Company ceases to be an Emerging Growth Company at any time prior to the later of (i) completion of the distribution of the Securities within the meaning of the 1933 Act and (ii) completion of the 90-day restricted period referred to in Section 3(h).</w:t>
      </w:r>
    </w:p>
    <w:p>
      <w:pPr>
        <w:spacing w:after="0" w:line="18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6"/>
          <w:szCs w:val="16"/>
          <w:u w:val="single" w:color="auto"/>
          <w:color w:val="auto"/>
        </w:rPr>
        <w:t>Payment of Expenses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7" w:lineRule="auto"/>
        <w:tabs>
          <w:tab w:leader="none" w:pos="1146"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will pay or cause to be paid all expenses incident to the performance of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3(d)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(provided that the travel, lodging and any motor vehicle travel expenses of the Representatives shall be paid for by the Underwriters), and 50 percent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in an amount not to exceed $30,000 (excluding filing fees) (ix) the fees and expenses incurred in connection with the listing of the Securities on the Nasdaq Global Market, and</w:t>
      </w:r>
    </w:p>
    <w:p>
      <w:pPr>
        <w:spacing w:after="0" w:line="2" w:lineRule="exact"/>
        <w:rPr>
          <w:rFonts w:ascii="Arial" w:cs="Arial" w:eastAsia="Arial" w:hAnsi="Arial"/>
          <w:sz w:val="18"/>
          <w:szCs w:val="18"/>
          <w:color w:val="auto"/>
        </w:rPr>
      </w:pPr>
    </w:p>
    <w:p>
      <w:pPr>
        <w:jc w:val="both"/>
        <w:ind w:firstLine="8"/>
        <w:spacing w:after="0" w:line="241" w:lineRule="auto"/>
        <w:tabs>
          <w:tab w:leader="none" w:pos="30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95" w:lineRule="exact"/>
        <w:rPr>
          <w:rFonts w:ascii="Arial" w:cs="Arial" w:eastAsia="Arial" w:hAnsi="Arial"/>
          <w:sz w:val="20"/>
          <w:szCs w:val="20"/>
          <w:color w:val="auto"/>
        </w:rPr>
      </w:pPr>
    </w:p>
    <w:p>
      <w:pPr>
        <w:jc w:val="both"/>
        <w:ind w:firstLine="656"/>
        <w:spacing w:after="0" w:line="263" w:lineRule="auto"/>
        <w:tabs>
          <w:tab w:leader="none" w:pos="1225" w:val="left"/>
        </w:tabs>
        <w:numPr>
          <w:ilvl w:val="1"/>
          <w:numId w:val="23"/>
        </w:numPr>
        <w:rPr>
          <w:rFonts w:ascii="Arial" w:cs="Arial" w:eastAsia="Arial" w:hAnsi="Arial"/>
          <w:sz w:val="19"/>
          <w:szCs w:val="19"/>
          <w:color w:val="auto"/>
        </w:rPr>
      </w:pPr>
      <w:r>
        <w:rPr>
          <w:rFonts w:ascii="Arial" w:cs="Arial" w:eastAsia="Arial" w:hAnsi="Arial"/>
          <w:sz w:val="19"/>
          <w:szCs w:val="19"/>
          <w:i w:val="1"/>
          <w:iCs w:val="1"/>
          <w:color w:val="auto"/>
        </w:rPr>
        <w:t>Termination of Agreement</w:t>
      </w:r>
      <w:r>
        <w:rPr>
          <w:rFonts w:ascii="Arial" w:cs="Arial" w:eastAsia="Arial" w:hAnsi="Arial"/>
          <w:sz w:val="19"/>
          <w:szCs w:val="19"/>
          <w:color w:val="auto"/>
        </w:rPr>
        <w:t>. If this Agreement is terminated by the Representatives in accordance with the provisions of</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5, Section 9(a)(i) or (iii) or Section 10 hereof, the Company shall reimburse the Underwriters for all of their reasonably documented outofpocket expenses, including the reasonable fees and disbursements of counsel for the Underwriters; provided, however, that is this Agreement is terminated by the Representatives pursuant to Section 10, the Company 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20"/>
          <w:szCs w:val="20"/>
          <w:color w:val="auto"/>
        </w:rPr>
        <w:t>obligation to reimburse any out-of-pocket expense of the Underwriters that have failed to purchase the Securities that they have agreed to purchase hereunder.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Conditions of Underwriters’ Obligations</w:t>
      </w:r>
      <w:r>
        <w:rPr>
          <w:rFonts w:ascii="Arial" w:cs="Arial" w:eastAsia="Arial" w:hAnsi="Arial"/>
          <w:sz w:val="20"/>
          <w:szCs w:val="20"/>
          <w:color w:val="auto"/>
        </w:rPr>
        <w:t>. The obligations of the several Underwriters hereunder are subject to the accuracy of the 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191" w:lineRule="exact"/>
        <w:rPr>
          <w:sz w:val="20"/>
          <w:szCs w:val="20"/>
          <w:color w:val="auto"/>
        </w:rPr>
      </w:pPr>
    </w:p>
    <w:p>
      <w:pPr>
        <w:jc w:val="both"/>
        <w:ind w:firstLine="656"/>
        <w:spacing w:after="0" w:line="271" w:lineRule="auto"/>
        <w:tabs>
          <w:tab w:leader="none" w:pos="110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Registration Compliance; No Stop Orders</w:t>
      </w:r>
      <w:r>
        <w:rPr>
          <w:rFonts w:ascii="Arial" w:cs="Arial" w:eastAsia="Arial" w:hAnsi="Arial"/>
          <w:sz w:val="18"/>
          <w:szCs w:val="18"/>
          <w:color w:val="auto"/>
        </w:rPr>
        <w:t>. The Registration Statement has become effective under the 1933 Act, and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4(i)(a),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173" w:lineRule="exact"/>
        <w:rPr>
          <w:rFonts w:ascii="Arial" w:cs="Arial" w:eastAsia="Arial" w:hAnsi="Arial"/>
          <w:sz w:val="18"/>
          <w:szCs w:val="18"/>
          <w:color w:val="auto"/>
        </w:rPr>
      </w:pPr>
    </w:p>
    <w:p>
      <w:pPr>
        <w:jc w:val="both"/>
        <w:ind w:firstLine="656"/>
        <w:spacing w:after="0" w:line="257" w:lineRule="auto"/>
        <w:tabs>
          <w:tab w:leader="none" w:pos="1130"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Opinion of Counsel for Company</w:t>
      </w:r>
      <w:r>
        <w:rPr>
          <w:rFonts w:ascii="Arial" w:cs="Arial" w:eastAsia="Arial" w:hAnsi="Arial"/>
          <w:sz w:val="19"/>
          <w:szCs w:val="19"/>
          <w:color w:val="auto"/>
        </w:rPr>
        <w:t>. At the Closing Time, the Representatives shall have received (i) the opinion and negative</w:t>
      </w:r>
      <w:r>
        <w:rPr>
          <w:rFonts w:ascii="Arial" w:cs="Arial" w:eastAsia="Arial" w:hAnsi="Arial"/>
          <w:sz w:val="19"/>
          <w:szCs w:val="19"/>
          <w:i w:val="1"/>
          <w:iCs w:val="1"/>
          <w:color w:val="auto"/>
        </w:rPr>
        <w:t xml:space="preserve"> </w:t>
      </w:r>
      <w:r>
        <w:rPr>
          <w:rFonts w:ascii="Arial" w:cs="Arial" w:eastAsia="Arial" w:hAnsi="Arial"/>
          <w:sz w:val="19"/>
          <w:szCs w:val="19"/>
          <w:color w:val="auto"/>
        </w:rPr>
        <w:t>assurance letter, each dated the Closing Time, of Latham &amp; Watkins LLP, counsel for the Company, in form and substance satisfactory to counsel for the Underwriters, together with signed or reproduced copies of such opinions and negative assurance letter for each of the other Underwriters in form and substance satisfactory to counsel for the Representatives, and (ii) the opinion of Mintz, Levin, Cohn, Ferris, Glovsky and Popeo, P.C., special counsel for the Company with respect to intellectual property, dated the Closing Time, in form and substance satisfactory to counsel for the Underwriters, together with signed or reproduced copies of such opinion for each of the other Underwriters in form and substance satisfactory to counsel for the Representatives.</w:t>
      </w:r>
    </w:p>
    <w:p>
      <w:pPr>
        <w:spacing w:after="0" w:line="184" w:lineRule="exact"/>
        <w:rPr>
          <w:rFonts w:ascii="Arial" w:cs="Arial" w:eastAsia="Arial" w:hAnsi="Arial"/>
          <w:sz w:val="19"/>
          <w:szCs w:val="19"/>
          <w:color w:val="auto"/>
        </w:rPr>
      </w:pPr>
    </w:p>
    <w:p>
      <w:pPr>
        <w:jc w:val="both"/>
        <w:ind w:firstLine="656"/>
        <w:spacing w:after="0" w:line="288" w:lineRule="auto"/>
        <w:tabs>
          <w:tab w:leader="none" w:pos="1119"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and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assurance letter, each dated the Closing Time, of Mintz, Levin, Cohn, Ferris, Glovsky and Popeo, P.C., counsel for the Underwriters, together with signed or reproduced copies of such opinion and negative assurance letter for each of the other Underwriters with respect to such matters as the Representatives may reasonably request, </w:t>
      </w:r>
      <w:r>
        <w:rPr>
          <w:rFonts w:ascii="Arial" w:cs="Arial" w:eastAsia="Arial" w:hAnsi="Arial"/>
          <w:sz w:val="19"/>
          <w:szCs w:val="19"/>
          <w:color w:val="auto"/>
        </w:rPr>
        <w:t>and the Company shall have furnished to such counsel such documents as</w:t>
      </w:r>
      <w:r>
        <w:rPr>
          <w:rFonts w:ascii="Arial" w:cs="Arial" w:eastAsia="Arial" w:hAnsi="Arial"/>
          <w:sz w:val="18"/>
          <w:szCs w:val="18"/>
          <w:color w:val="auto"/>
        </w:rPr>
        <w:t xml:space="preserve"> </w:t>
      </w:r>
      <w:r>
        <w:rPr>
          <w:rFonts w:ascii="Arial" w:cs="Arial" w:eastAsia="Arial" w:hAnsi="Arial"/>
          <w:sz w:val="19"/>
          <w:szCs w:val="19"/>
          <w:color w:val="auto"/>
        </w:rPr>
        <w:t>such counsel may reasonably request for the purpose of enabling such counsel to pass upon such matters</w:t>
      </w:r>
      <w:r>
        <w:rPr>
          <w:rFonts w:ascii="Arial" w:cs="Arial" w:eastAsia="Arial" w:hAnsi="Arial"/>
          <w:sz w:val="17"/>
          <w:szCs w:val="17"/>
          <w:color w:val="auto"/>
        </w:rPr>
        <w:t>.</w:t>
      </w:r>
    </w:p>
    <w:p>
      <w:pPr>
        <w:spacing w:after="0" w:line="147" w:lineRule="exact"/>
        <w:rPr>
          <w:rFonts w:ascii="Arial" w:cs="Arial" w:eastAsia="Arial" w:hAnsi="Arial"/>
          <w:sz w:val="18"/>
          <w:szCs w:val="18"/>
          <w:color w:val="auto"/>
        </w:rPr>
      </w:pPr>
    </w:p>
    <w:p>
      <w:pPr>
        <w:jc w:val="both"/>
        <w:ind w:firstLine="656"/>
        <w:spacing w:after="0" w:line="243" w:lineRule="auto"/>
        <w:tabs>
          <w:tab w:leader="none" w:pos="1130"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Officers’ Certificate</w:t>
      </w:r>
      <w:r>
        <w:rPr>
          <w:rFonts w:ascii="Arial" w:cs="Arial" w:eastAsia="Arial" w:hAnsi="Arial"/>
          <w:sz w:val="20"/>
          <w:szCs w:val="20"/>
          <w:color w:val="auto"/>
        </w:rPr>
        <w:t>. At the Closing Time, there shall not have been, since the date hereof or since the respective dates as of</w:t>
      </w:r>
      <w:r>
        <w:rPr>
          <w:rFonts w:ascii="Arial" w:cs="Arial" w:eastAsia="Arial" w:hAnsi="Arial"/>
          <w:sz w:val="20"/>
          <w:szCs w:val="20"/>
          <w:i w:val="1"/>
          <w:iCs w:val="1"/>
          <w:color w:val="auto"/>
        </w:rPr>
        <w:t xml:space="preserve"> </w:t>
      </w:r>
      <w:r>
        <w:rPr>
          <w:rFonts w:ascii="Arial" w:cs="Arial" w:eastAsia="Arial" w:hAnsi="Arial"/>
          <w:sz w:val="20"/>
          <w:szCs w:val="20"/>
          <w:color w:val="auto"/>
        </w:rPr>
        <w:t>which information is given in the Registration Statement, the General Disclosure Package or the Prospectus, any Material Adverse Effect, whether or not arising in the ordinary course of business, and the Representatives shall have received a certificate of the Chief Executive Officer of the Company and of the Chief Financial Officer of the Company, dated the Closing Time, to the effect that (i) there has been no such Material Adverse Effect, (ii) the representations and warranties of the Company in this Agreement are true and correct with the same force and effect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color w:val="auto"/>
        </w:rPr>
        <w:t>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1" w:lineRule="exact"/>
        <w:rPr>
          <w:sz w:val="20"/>
          <w:szCs w:val="20"/>
          <w:color w:val="auto"/>
        </w:rPr>
      </w:pPr>
    </w:p>
    <w:p>
      <w:pPr>
        <w:jc w:val="both"/>
        <w:ind w:firstLine="656"/>
        <w:spacing w:after="0" w:line="244" w:lineRule="auto"/>
        <w:tabs>
          <w:tab w:leader="none" w:pos="1065"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Accountant’s Comfort Letter</w:t>
      </w:r>
      <w:r>
        <w:rPr>
          <w:rFonts w:ascii="Arial" w:cs="Arial" w:eastAsia="Arial" w:hAnsi="Arial"/>
          <w:sz w:val="20"/>
          <w:szCs w:val="20"/>
          <w:color w:val="auto"/>
        </w:rPr>
        <w:t>. At the time of the execution of this Agreement, the Representatives shall have received from BDO</w:t>
      </w:r>
      <w:r>
        <w:rPr>
          <w:rFonts w:ascii="Arial" w:cs="Arial" w:eastAsia="Arial" w:hAnsi="Arial"/>
          <w:sz w:val="20"/>
          <w:szCs w:val="20"/>
          <w:i w:val="1"/>
          <w:iCs w:val="1"/>
          <w:color w:val="auto"/>
        </w:rPr>
        <w:t xml:space="preserve"> </w:t>
      </w:r>
      <w:r>
        <w:rPr>
          <w:rFonts w:ascii="Arial" w:cs="Arial" w:eastAsia="Arial" w:hAnsi="Arial"/>
          <w:sz w:val="20"/>
          <w:szCs w:val="20"/>
          <w:color w:val="auto"/>
        </w:rPr>
        <w:t>USA,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071"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Bring-down Comfort Letter</w:t>
      </w:r>
      <w:r>
        <w:rPr>
          <w:rFonts w:ascii="Arial" w:cs="Arial" w:eastAsia="Arial" w:hAnsi="Arial"/>
          <w:sz w:val="19"/>
          <w:szCs w:val="19"/>
          <w:color w:val="auto"/>
        </w:rPr>
        <w:t>. At the Closing Time, the Representatives shall have received from BDO USA, LLP a letter, dated</w:t>
      </w:r>
      <w:r>
        <w:rPr>
          <w:rFonts w:ascii="Arial" w:cs="Arial" w:eastAsia="Arial" w:hAnsi="Arial"/>
          <w:sz w:val="19"/>
          <w:szCs w:val="19"/>
          <w:i w:val="1"/>
          <w:iCs w:val="1"/>
          <w:color w:val="auto"/>
        </w:rPr>
        <w:t xml:space="preserve"> </w:t>
      </w:r>
      <w:r>
        <w:rPr>
          <w:rFonts w:ascii="Arial" w:cs="Arial" w:eastAsia="Arial" w:hAnsi="Arial"/>
          <w:sz w:val="19"/>
          <w:szCs w:val="19"/>
          <w:color w:val="auto"/>
        </w:rPr>
        <w:t>as of the 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69" w:lineRule="exact"/>
        <w:rPr>
          <w:rFonts w:ascii="Arial" w:cs="Arial" w:eastAsia="Arial" w:hAnsi="Arial"/>
          <w:sz w:val="19"/>
          <w:szCs w:val="19"/>
          <w:color w:val="auto"/>
        </w:rPr>
      </w:pPr>
    </w:p>
    <w:p>
      <w:pPr>
        <w:ind w:right="20" w:firstLine="656"/>
        <w:spacing w:after="0" w:line="260" w:lineRule="auto"/>
        <w:tabs>
          <w:tab w:leader="none" w:pos="1103"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No Objection</w:t>
      </w:r>
      <w:r>
        <w:rPr>
          <w:rFonts w:ascii="Arial" w:cs="Arial" w:eastAsia="Arial" w:hAnsi="Arial"/>
          <w:sz w:val="20"/>
          <w:szCs w:val="20"/>
          <w:color w:val="auto"/>
        </w:rPr>
        <w:t>. FINRA has confirmed that it has not raised any objection with respect to the fairness and reasonableness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underwriting terms and arrangements relating to the offering of the Securities.</w:t>
      </w:r>
    </w:p>
    <w:p>
      <w:pPr>
        <w:spacing w:after="0" w:line="176" w:lineRule="exact"/>
        <w:rPr>
          <w:rFonts w:ascii="Arial" w:cs="Arial" w:eastAsia="Arial" w:hAnsi="Arial"/>
          <w:sz w:val="20"/>
          <w:szCs w:val="20"/>
          <w:color w:val="auto"/>
        </w:rPr>
      </w:pPr>
    </w:p>
    <w:p>
      <w:pPr>
        <w:ind w:firstLine="656"/>
        <w:spacing w:after="0" w:line="287" w:lineRule="auto"/>
        <w:tabs>
          <w:tab w:leader="none" w:pos="1117"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Lock-up Agreements</w:t>
      </w:r>
      <w:r>
        <w:rPr>
          <w:rFonts w:ascii="Arial" w:cs="Arial" w:eastAsia="Arial" w:hAnsi="Arial"/>
          <w:sz w:val="19"/>
          <w:szCs w:val="19"/>
          <w:color w:val="auto"/>
        </w:rPr>
        <w:t>. At the date of this Agreement, the Representatives shall have received an agreement substantially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signed by each officer and director (including certain funds affiliated therewith) of the Company.</w:t>
      </w:r>
    </w:p>
    <w:p>
      <w:pPr>
        <w:spacing w:after="0" w:line="152" w:lineRule="exact"/>
        <w:rPr>
          <w:rFonts w:ascii="Arial" w:cs="Arial" w:eastAsia="Arial" w:hAnsi="Arial"/>
          <w:sz w:val="19"/>
          <w:szCs w:val="19"/>
          <w:color w:val="auto"/>
        </w:rPr>
      </w:pPr>
    </w:p>
    <w:p>
      <w:pPr>
        <w:jc w:val="both"/>
        <w:ind w:firstLine="656"/>
        <w:spacing w:after="0" w:line="246" w:lineRule="auto"/>
        <w:tabs>
          <w:tab w:leader="none" w:pos="1087"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Conditions to Purchase of Option Securities</w:t>
      </w:r>
      <w:r>
        <w:rPr>
          <w:rFonts w:ascii="Arial" w:cs="Arial" w:eastAsia="Arial" w:hAnsi="Arial"/>
          <w:sz w:val="20"/>
          <w:szCs w:val="20"/>
          <w:color w:val="auto"/>
        </w:rPr>
        <w:t>. In the event that the Underwriters exercise their option provided in Section 2(b)</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to 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Representatives shall have received:</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72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A certificate, dated such Date of Delivery, of the Chief Executive Officer of the Company and of the Chief Financial Officer of the Company confirming that the certificate delivered at the Closing Time pursuant to Section 5(d) hereof remains true and correct as of such Date of Delivery.</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828"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Opinion of Counsel for Company</w:t>
      </w:r>
      <w:r>
        <w:rPr>
          <w:rFonts w:ascii="Arial" w:cs="Arial" w:eastAsia="Arial" w:hAnsi="Arial"/>
          <w:sz w:val="18"/>
          <w:szCs w:val="18"/>
          <w:color w:val="auto"/>
        </w:rPr>
        <w:t>. If requested by the Representatives, the opinion and negative assurance letter of Latham &amp; Watkins LLP, counsel for the Company, together with the opinion of Mintz, Levin, Cohn, Ferris, Glovsky and Popeo, P.C., special counsel for the Company with respect to intellectual property, each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164" w:lineRule="exact"/>
        <w:rPr>
          <w:rFonts w:ascii="Arial" w:cs="Arial" w:eastAsia="Arial" w:hAnsi="Arial"/>
          <w:sz w:val="18"/>
          <w:szCs w:val="18"/>
          <w:color w:val="auto"/>
        </w:rPr>
      </w:pPr>
    </w:p>
    <w:p>
      <w:pPr>
        <w:jc w:val="both"/>
        <w:ind w:left="660" w:firstLine="644"/>
        <w:spacing w:after="0" w:line="250" w:lineRule="auto"/>
        <w:tabs>
          <w:tab w:leader="none" w:pos="1816"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Opinion of Counsel for Underwriters</w:t>
      </w:r>
      <w:r>
        <w:rPr>
          <w:rFonts w:ascii="Arial" w:cs="Arial" w:eastAsia="Arial" w:hAnsi="Arial"/>
          <w:sz w:val="20"/>
          <w:szCs w:val="20"/>
          <w:color w:val="auto"/>
        </w:rPr>
        <w:t>. If requested by the Representatives, the opinion and negative assurance letter of Mintz, Levin, Cohn, Ferris, Glovsky and Popeo, P.C., counsel for the Underwriters, dated such Date of Delivery, relating to the Option Securities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25" w:name="page26"/>
    <w:bookmarkEnd w:id="25"/>
    <w:p>
      <w:pPr>
        <w:ind w:left="660"/>
        <w:spacing w:after="0" w:line="260" w:lineRule="auto"/>
        <w:rPr>
          <w:sz w:val="20"/>
          <w:szCs w:val="20"/>
          <w:color w:val="auto"/>
        </w:rPr>
      </w:pPr>
      <w:r>
        <w:rPr>
          <w:rFonts w:ascii="Arial" w:cs="Arial" w:eastAsia="Arial" w:hAnsi="Arial"/>
          <w:sz w:val="20"/>
          <w:szCs w:val="20"/>
          <w:color w:val="auto"/>
        </w:rPr>
        <w:t>purchased on such Date of Delivery and otherwise to the same effect as the opinion and negative assurance letter required by Section 5(c) hereof.</w:t>
      </w:r>
    </w:p>
    <w:p>
      <w:pPr>
        <w:spacing w:after="0" w:line="177" w:lineRule="exact"/>
        <w:rPr>
          <w:sz w:val="20"/>
          <w:szCs w:val="20"/>
          <w:color w:val="auto"/>
        </w:rPr>
      </w:pPr>
    </w:p>
    <w:p>
      <w:pPr>
        <w:jc w:val="both"/>
        <w:ind w:left="660" w:firstLine="644"/>
        <w:spacing w:after="0" w:line="263" w:lineRule="auto"/>
        <w:tabs>
          <w:tab w:leader="none" w:pos="1805"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Bring-down Comfort Letter</w:t>
      </w:r>
      <w:r>
        <w:rPr>
          <w:rFonts w:ascii="Arial" w:cs="Arial" w:eastAsia="Arial" w:hAnsi="Arial"/>
          <w:sz w:val="19"/>
          <w:szCs w:val="19"/>
          <w:color w:val="auto"/>
        </w:rPr>
        <w:t>. If requested by the Representatives, a letter from BDO USA,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176" w:lineRule="exact"/>
        <w:rPr>
          <w:rFonts w:ascii="Arial" w:cs="Arial" w:eastAsia="Arial" w:hAnsi="Arial"/>
          <w:sz w:val="19"/>
          <w:szCs w:val="19"/>
          <w:color w:val="auto"/>
        </w:rPr>
      </w:pPr>
    </w:p>
    <w:p>
      <w:pPr>
        <w:jc w:val="both"/>
        <w:ind w:firstLine="656"/>
        <w:spacing w:after="0" w:line="243" w:lineRule="auto"/>
        <w:tabs>
          <w:tab w:leader="none" w:pos="106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Additional Documents</w:t>
      </w:r>
      <w:r>
        <w:rPr>
          <w:rFonts w:ascii="Arial" w:cs="Arial" w:eastAsia="Arial" w:hAnsi="Arial"/>
          <w:sz w:val="20"/>
          <w:szCs w:val="20"/>
          <w:color w:val="auto"/>
        </w:rPr>
        <w:t>. At the Closing Time and at each Date of Delivery (if any) counsel for the Underwriters shall have been</w:t>
      </w:r>
      <w:r>
        <w:rPr>
          <w:rFonts w:ascii="Arial" w:cs="Arial" w:eastAsia="Arial" w:hAnsi="Arial"/>
          <w:sz w:val="20"/>
          <w:szCs w:val="20"/>
          <w:i w:val="1"/>
          <w:iCs w:val="1"/>
          <w:color w:val="auto"/>
        </w:rPr>
        <w:t xml:space="preserve"> </w:t>
      </w:r>
      <w:r>
        <w:rPr>
          <w:rFonts w:ascii="Arial" w:cs="Arial" w:eastAsia="Arial" w:hAnsi="Arial"/>
          <w:sz w:val="20"/>
          <w:szCs w:val="20"/>
          <w:color w:val="auto"/>
        </w:rPr>
        <w:t>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95" w:lineRule="exact"/>
        <w:rPr>
          <w:rFonts w:ascii="Arial" w:cs="Arial" w:eastAsia="Arial" w:hAnsi="Arial"/>
          <w:sz w:val="20"/>
          <w:szCs w:val="20"/>
          <w:color w:val="auto"/>
        </w:rPr>
      </w:pPr>
    </w:p>
    <w:p>
      <w:pPr>
        <w:jc w:val="both"/>
        <w:ind w:firstLine="656"/>
        <w:spacing w:after="0" w:line="259" w:lineRule="auto"/>
        <w:tabs>
          <w:tab w:leader="none" w:pos="1130"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Termination of Agreement</w:t>
      </w:r>
      <w:r>
        <w:rPr>
          <w:rFonts w:ascii="Arial" w:cs="Arial" w:eastAsia="Arial" w:hAnsi="Arial"/>
          <w:sz w:val="19"/>
          <w:szCs w:val="19"/>
          <w:color w:val="auto"/>
        </w:rPr>
        <w:t>. If any condition specified in this Section shall not have been fulfilled when and as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0" w:lineRule="auto"/>
        <w:tabs>
          <w:tab w:leader="none" w:pos="1079"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Indemnification of Underwriters</w:t>
      </w:r>
      <w:r>
        <w:rPr>
          <w:rFonts w:ascii="Arial" w:cs="Arial" w:eastAsia="Arial" w:hAnsi="Arial"/>
          <w:sz w:val="20"/>
          <w:szCs w:val="20"/>
          <w:color w:val="auto"/>
        </w:rPr>
        <w:t>. The Company agrees to indemnify and hold harmless each Underwriter, its affiliates (as such</w:t>
      </w:r>
      <w:r>
        <w:rPr>
          <w:rFonts w:ascii="Arial" w:cs="Arial" w:eastAsia="Arial" w:hAnsi="Arial"/>
          <w:sz w:val="20"/>
          <w:szCs w:val="20"/>
          <w:i w:val="1"/>
          <w:iCs w:val="1"/>
          <w:color w:val="auto"/>
        </w:rPr>
        <w:t xml:space="preserve"> </w:t>
      </w:r>
      <w:r>
        <w:rPr>
          <w:rFonts w:ascii="Arial" w:cs="Arial" w:eastAsia="Arial" w:hAnsi="Arial"/>
          <w:sz w:val="20"/>
          <w:szCs w:val="20"/>
          <w:color w:val="auto"/>
        </w:rPr>
        <w:t>term is defined in Rule 501(b) under the 1933 Act (each, an “</w:t>
      </w:r>
      <w:r>
        <w:rPr>
          <w:rFonts w:ascii="Arial" w:cs="Arial" w:eastAsia="Arial" w:hAnsi="Arial"/>
          <w:sz w:val="20"/>
          <w:szCs w:val="20"/>
          <w:u w:val="single" w:color="auto"/>
          <w:color w:val="auto"/>
        </w:rPr>
        <w:t>Affiliate</w:t>
      </w:r>
      <w:r>
        <w:rPr>
          <w:rFonts w:ascii="Arial" w:cs="Arial" w:eastAsia="Arial" w:hAnsi="Arial"/>
          <w:sz w:val="20"/>
          <w:szCs w:val="20"/>
          <w:color w:val="auto"/>
        </w:rPr>
        <w:t>”)), its selling agents and each person, if any, who controls any Underwriter within the meaning of Section 15 of the 1933 Act or Section 20 of the 1934 Act as follows:</w:t>
      </w:r>
    </w:p>
    <w:p>
      <w:pPr>
        <w:spacing w:after="0" w:line="185" w:lineRule="exact"/>
        <w:rPr>
          <w:rFonts w:ascii="Arial" w:cs="Arial" w:eastAsia="Arial" w:hAnsi="Arial"/>
          <w:sz w:val="20"/>
          <w:szCs w:val="20"/>
          <w:color w:val="auto"/>
        </w:rPr>
      </w:pPr>
    </w:p>
    <w:p>
      <w:pPr>
        <w:jc w:val="both"/>
        <w:ind w:left="660" w:firstLine="644"/>
        <w:spacing w:after="0" w:line="271" w:lineRule="auto"/>
        <w:tabs>
          <w:tab w:leader="none" w:pos="18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8"/>
          <w:szCs w:val="18"/>
          <w:u w:val="single" w:color="auto"/>
          <w:color w:val="auto"/>
        </w:rPr>
        <w:t>Marketing Materials</w:t>
      </w:r>
      <w:r>
        <w:rPr>
          <w:rFonts w:ascii="Arial" w:cs="Arial" w:eastAsia="Arial" w:hAnsi="Arial"/>
          <w:sz w:val="18"/>
          <w:szCs w:val="18"/>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necessary in order to make the statements therein, in the light of the circumstances under which they were made, not misleading;</w:t>
      </w:r>
    </w:p>
    <w:p>
      <w:pPr>
        <w:spacing w:after="0" w:line="239" w:lineRule="exact"/>
        <w:rPr>
          <w:sz w:val="20"/>
          <w:szCs w:val="20"/>
          <w:color w:val="auto"/>
        </w:rPr>
      </w:pPr>
    </w:p>
    <w:p>
      <w:pPr>
        <w:jc w:val="both"/>
        <w:ind w:left="660" w:firstLine="644"/>
        <w:spacing w:after="0" w:line="282" w:lineRule="auto"/>
        <w:tabs>
          <w:tab w:leader="none" w:pos="18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161" w:lineRule="exact"/>
        <w:rPr>
          <w:rFonts w:ascii="Arial" w:cs="Arial" w:eastAsia="Arial" w:hAnsi="Arial"/>
          <w:sz w:val="18"/>
          <w:szCs w:val="18"/>
          <w:color w:val="auto"/>
        </w:rPr>
      </w:pPr>
    </w:p>
    <w:p>
      <w:pPr>
        <w:jc w:val="both"/>
        <w:ind w:left="660" w:firstLine="644"/>
        <w:spacing w:after="0" w:line="270" w:lineRule="auto"/>
        <w:tabs>
          <w:tab w:leader="none" w:pos="18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w:t>
      </w:r>
    </w:p>
    <w:p>
      <w:pPr>
        <w:spacing w:after="0" w:line="2"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6" w:lineRule="exact"/>
        <w:rPr>
          <w:sz w:val="20"/>
          <w:szCs w:val="20"/>
          <w:color w:val="auto"/>
        </w:rPr>
      </w:pPr>
    </w:p>
    <w:p>
      <w:pPr>
        <w:jc w:val="both"/>
        <w:ind w:firstLine="656"/>
        <w:spacing w:after="0" w:line="257" w:lineRule="auto"/>
        <w:tabs>
          <w:tab w:leader="none" w:pos="1090"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Indemnification of Company, Directors and Officers</w:t>
      </w:r>
      <w:r>
        <w:rPr>
          <w:rFonts w:ascii="Arial" w:cs="Arial" w:eastAsia="Arial" w:hAnsi="Arial"/>
          <w:sz w:val="19"/>
          <w:szCs w:val="19"/>
          <w:color w:val="auto"/>
        </w:rPr>
        <w:t>. Each Underwriter severally, and not jointly, agrees to indemnify and hold</w:t>
      </w:r>
      <w:r>
        <w:rPr>
          <w:rFonts w:ascii="Arial" w:cs="Arial" w:eastAsia="Arial" w:hAnsi="Arial"/>
          <w:sz w:val="19"/>
          <w:szCs w:val="19"/>
          <w:i w:val="1"/>
          <w:iCs w:val="1"/>
          <w:color w:val="auto"/>
        </w:rPr>
        <w:t xml:space="preserve"> </w:t>
      </w:r>
      <w:r>
        <w:rPr>
          <w:rFonts w:ascii="Arial" w:cs="Arial" w:eastAsia="Arial" w:hAnsi="Arial"/>
          <w:sz w:val="19"/>
          <w:szCs w:val="19"/>
          <w:color w:val="auto"/>
        </w:rPr>
        <w:t>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4" w:lineRule="exact"/>
        <w:rPr>
          <w:rFonts w:ascii="Arial" w:cs="Arial" w:eastAsia="Arial" w:hAnsi="Arial"/>
          <w:sz w:val="19"/>
          <w:szCs w:val="19"/>
          <w:color w:val="auto"/>
        </w:rPr>
      </w:pPr>
    </w:p>
    <w:p>
      <w:pPr>
        <w:jc w:val="both"/>
        <w:ind w:firstLine="656"/>
        <w:spacing w:after="0" w:line="271" w:lineRule="auto"/>
        <w:tabs>
          <w:tab w:leader="none" w:pos="1119"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Actions against Parties; Notification</w:t>
      </w:r>
      <w:r>
        <w:rPr>
          <w:rFonts w:ascii="Arial" w:cs="Arial" w:eastAsia="Arial" w:hAnsi="Arial"/>
          <w:sz w:val="18"/>
          <w:szCs w:val="18"/>
          <w:color w:val="auto"/>
        </w:rPr>
        <w:t>. Each indemnified party shall give notice as promptly as reasonably practicable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27" w:name="page28"/>
    <w:bookmarkEnd w:id="27"/>
    <w:p>
      <w:pPr>
        <w:jc w:val="both"/>
        <w:spacing w:after="0" w:line="243" w:lineRule="auto"/>
        <w:rPr>
          <w:sz w:val="20"/>
          <w:szCs w:val="20"/>
          <w:color w:val="auto"/>
        </w:rPr>
      </w:pPr>
      <w:r>
        <w:rPr>
          <w:rFonts w:ascii="Arial" w:cs="Arial" w:eastAsia="Arial" w:hAnsi="Arial"/>
          <w:sz w:val="20"/>
          <w:szCs w:val="20"/>
          <w:color w:val="auto"/>
        </w:rPr>
        <w:t>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6" w:lineRule="exact"/>
        <w:rPr>
          <w:sz w:val="20"/>
          <w:szCs w:val="20"/>
          <w:color w:val="auto"/>
        </w:rPr>
      </w:pPr>
    </w:p>
    <w:p>
      <w:pPr>
        <w:jc w:val="both"/>
        <w:ind w:firstLine="656"/>
        <w:spacing w:after="0" w:line="276" w:lineRule="auto"/>
        <w:tabs>
          <w:tab w:leader="none" w:pos="1117"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reimburse the indemnified party for fees and expenses of counsel, such indemnifying party agrees that it shall be liable for any settlement of the nature contemplated by Section 6(a)(ii) effected without its written consent if (i) such settlement is entered into more than 90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Contribution</w:t>
      </w:r>
      <w:r>
        <w:rPr>
          <w:rFonts w:ascii="Arial" w:cs="Arial" w:eastAsia="Arial" w:hAnsi="Arial"/>
          <w:sz w:val="20"/>
          <w:szCs w:val="20"/>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28" w:name="page29"/>
    <w:bookmarkEnd w:id="28"/>
    <w:p>
      <w:pPr>
        <w:jc w:val="both"/>
        <w:ind w:right="20"/>
        <w:spacing w:after="0" w:line="269" w:lineRule="auto"/>
        <w:rPr>
          <w:sz w:val="20"/>
          <w:szCs w:val="20"/>
          <w:color w:val="auto"/>
        </w:rPr>
      </w:pPr>
      <w:r>
        <w:rPr>
          <w:rFonts w:ascii="Arial" w:cs="Arial" w:eastAsia="Arial" w:hAnsi="Arial"/>
          <w:sz w:val="19"/>
          <w:szCs w:val="19"/>
          <w:color w:val="auto"/>
        </w:rPr>
        <w:t>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person guilty of fraudulent misrepresentation (within the meaning of Section 11(f) of the 1933 Act) shall be entitled to contribution from any person who was not guilty of such fraudulent misrepresentation.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and not joint.</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6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Representatives may terminate this Agreement, by notice to the Company, at any time at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(i) 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or Euroclear systems in Europe, or (vi) if a banking moratorium has been declared by either Federal or New York authorities.</w:t>
      </w:r>
    </w:p>
    <w:p>
      <w:pPr>
        <w:spacing w:after="0" w:line="216" w:lineRule="exact"/>
        <w:rPr>
          <w:sz w:val="20"/>
          <w:szCs w:val="20"/>
          <w:color w:val="auto"/>
        </w:rPr>
      </w:pPr>
    </w:p>
    <w:p>
      <w:pPr>
        <w:jc w:val="both"/>
        <w:ind w:firstLine="656"/>
        <w:spacing w:after="0" w:line="250" w:lineRule="auto"/>
        <w:tabs>
          <w:tab w:leader="none" w:pos="1117"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Liabilities</w:t>
      </w:r>
      <w:r>
        <w:rPr>
          <w:rFonts w:ascii="Arial" w:cs="Arial" w:eastAsia="Arial" w:hAnsi="Arial"/>
          <w:sz w:val="20"/>
          <w:szCs w:val="20"/>
          <w:color w:val="auto"/>
        </w:rPr>
        <w:t>. If this Agreement is terminated pursuant to this Section, such termination shall be without liability of any party to</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party except as provided in Section 4 hereof, and provided further that Sections 1, 6, 7, 8, 14, 15 and 16 shall survive such termination and remain in full force and effect.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65" w:lineRule="exact"/>
        <w:rPr>
          <w:sz w:val="20"/>
          <w:szCs w:val="20"/>
          <w:color w:val="auto"/>
        </w:rPr>
      </w:pPr>
    </w:p>
    <w:p>
      <w:pPr>
        <w:jc w:val="both"/>
        <w:ind w:left="660" w:firstLine="644"/>
        <w:spacing w:after="0" w:line="246" w:lineRule="auto"/>
        <w:tabs>
          <w:tab w:leader="none" w:pos="1742"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841"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action taken pursuant to this Section shall relieve any defaulting Underwriter from liability in respect of its default.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to have been duly given if mailed or transmitted by any standard form of telecommunication. Notices to the Underwriters shall be directed to the Representatives, c/o Cowen at Attention: Head of Equity Capital Markets, Fax: 646-562-1249 with a copy to the General Counsel, Fax: 646-562-1124, c/o Cantor at 499 Park Avenue, New York, New York 10022 (fax: 212-829-4708), Attention: General Counsel and c/o Blair at 150 N. Riverside Plaza, Chicago, Illinois 60606, Attention: Equity Capital Markets and separately, General Counsel. Notices to the Company shall be directed to it at 1261 Liberty Way, Suite C, Vista, CA 92081, attention of Kamal Adawi.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9" w:right="339" w:bottom="1440" w:gutter="0" w:footer="0" w:header="0"/>
        </w:sectPr>
      </w:pPr>
    </w:p>
    <w:bookmarkStart w:id="30" w:name="page31"/>
    <w:bookmarkEnd w:id="30"/>
    <w:p>
      <w:pPr>
        <w:jc w:val="both"/>
        <w:ind w:firstLine="648"/>
        <w:spacing w:after="0" w:line="270"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Consent to Jurisdiction; Waiver of Immunity</w:t>
      </w:r>
      <w:r>
        <w:rPr>
          <w:rFonts w:ascii="Arial" w:cs="Arial" w:eastAsia="Arial" w:hAnsi="Arial"/>
          <w:sz w:val="19"/>
          <w:szCs w:val="19"/>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9"/>
          <w:szCs w:val="19"/>
          <w:u w:val="single" w:color="auto"/>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9" w:right="339" w:bottom="1440" w:gutter="0" w:footer="0" w:header="0"/>
        </w:sectPr>
      </w:pPr>
    </w:p>
    <w:bookmarkStart w:id="31" w:name="page32"/>
    <w:bookmarkEnd w:id="31"/>
    <w:p>
      <w:pPr>
        <w:jc w:val="both"/>
        <w:spacing w:after="0" w:line="316" w:lineRule="auto"/>
        <w:rPr>
          <w:sz w:val="20"/>
          <w:szCs w:val="20"/>
          <w:color w:val="auto"/>
        </w:rPr>
      </w:pPr>
      <w:r>
        <w:rPr>
          <w:rFonts w:ascii="Arial" w:cs="Arial" w:eastAsia="Arial" w:hAnsi="Arial"/>
          <w:sz w:val="18"/>
          <w:szCs w:val="18"/>
          <w:color w:val="auto"/>
        </w:rPr>
        <w:t>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TIME</w:t>
      </w:r>
      <w:r>
        <w:rPr>
          <w:rFonts w:ascii="Arial" w:cs="Arial" w:eastAsia="Arial" w:hAnsi="Arial"/>
          <w:sz w:val="20"/>
          <w:szCs w:val="20"/>
          <w:color w:val="auto"/>
        </w:rPr>
        <w:t>. TIME SHALL BE OF THE ESSENCE OF THIS AGREEMENT. EXCEPT AS OTHERWISE SET FORTH HEREIN, SPECIFIED TIMES OF DAY REFER TO NEW YORK CITY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deemed to be an original, but all such counterparts shall together constitute one and the same agreement. This Agreement may be delivered via facsimilie,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9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0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20.</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63" w:lineRule="auto"/>
        <w:tabs>
          <w:tab w:leader="none" w:pos="1135"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6" w:lineRule="exact"/>
        <w:rPr>
          <w:rFonts w:ascii="Arial" w:cs="Arial" w:eastAsia="Arial" w:hAnsi="Arial"/>
          <w:sz w:val="19"/>
          <w:szCs w:val="19"/>
          <w:color w:val="auto"/>
        </w:rPr>
      </w:pPr>
    </w:p>
    <w:p>
      <w:pPr>
        <w:jc w:val="both"/>
        <w:ind w:firstLine="656"/>
        <w:spacing w:after="0" w:line="263" w:lineRule="auto"/>
        <w:tabs>
          <w:tab w:leader="none" w:pos="1139"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19" w:right="339" w:bottom="1440" w:gutter="0" w:footer="0" w:header="0"/>
        </w:sectPr>
      </w:pPr>
    </w:p>
    <w:bookmarkStart w:id="32" w:name="page33"/>
    <w:bookmarkEnd w:id="32"/>
    <w:p>
      <w:pPr>
        <w:jc w:val="both"/>
        <w:ind w:firstLine="237"/>
        <w:spacing w:after="0" w:line="250" w:lineRule="auto"/>
        <w:rPr>
          <w:sz w:val="20"/>
          <w:szCs w:val="20"/>
          <w:color w:val="auto"/>
        </w:rPr>
      </w:pPr>
      <w:r>
        <w:rPr>
          <w:rFonts w:ascii="Arial" w:cs="Arial" w:eastAsia="Arial" w:hAnsi="Arial"/>
          <w:sz w:val="20"/>
          <w:szCs w:val="20"/>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86"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EXAGEN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 /s/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150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20"/>
          <w:szCs w:val="20"/>
          <w:color w:val="auto"/>
        </w:rPr>
        <w:t>Name: Fortunato Ron Rocca</w:t>
      </w:r>
    </w:p>
    <w:p>
      <w:pPr>
        <w:ind w:left="438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CONFIRMED AND ACCEPTED,</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of the date first above written: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COWEN AND COMPANY,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 /s/ E. James Streator,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 James Streator, III</w:t>
      </w: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&amp; CO.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 /s/ Mark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1130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Mark Kaplan</w:t>
      </w:r>
    </w:p>
    <w:p>
      <w:pPr>
        <w:spacing w:after="0"/>
        <w:rPr>
          <w:sz w:val="20"/>
          <w:szCs w:val="20"/>
          <w:color w:val="auto"/>
        </w:rPr>
      </w:pPr>
      <w:r>
        <w:rPr>
          <w:rFonts w:ascii="Arial" w:cs="Arial" w:eastAsia="Arial" w:hAnsi="Arial"/>
          <w:sz w:val="20"/>
          <w:szCs w:val="20"/>
          <w:color w:val="auto"/>
        </w:rPr>
        <w:t>Title: Global Chief Operating Officer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WILLIAM BLAIR &amp; COMPANY,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 /s/ Rakhee Bhagat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-14605</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Rahkee Bhagat</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themselves and as Representatives of the other Underwriters named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Underwriting Agreement</w:t>
      </w:r>
    </w:p>
    <w:p>
      <w:pPr>
        <w:sectPr>
          <w:pgSz w:w="11900" w:h="16838" w:orient="portrait"/>
          <w:cols w:equalWidth="0" w:num="1">
            <w:col w:w="11240"/>
          </w:cols>
          <w:pgMar w:left="320" w:top="1419" w:right="339" w:bottom="1440" w:gutter="0" w:footer="0" w:header="0"/>
        </w:sectPr>
      </w:pPr>
    </w:p>
    <w:bookmarkStart w:id="33" w:name="page34"/>
    <w:bookmarkEnd w:id="33"/>
    <w:p>
      <w:pPr>
        <w:ind w:left="5020"/>
        <w:spacing w:after="0"/>
        <w:rPr>
          <w:sz w:val="20"/>
          <w:szCs w:val="20"/>
          <w:color w:val="auto"/>
        </w:rPr>
      </w:pPr>
      <w:r>
        <w:rPr>
          <w:rFonts w:ascii="Arial" w:cs="Arial" w:eastAsia="Arial" w:hAnsi="Arial"/>
          <w:sz w:val="20"/>
          <w:szCs w:val="20"/>
          <w:color w:val="auto"/>
        </w:rPr>
        <w:t>SCHEDULE 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public offering price per share for the Securities shall be $16.25.</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purchase price per share for the Securities to be paid by the several Underwriters shall be $15.275, being an amount equal to the public offering price set forth above less $0.975 per share, subject to adjustment in accordance with Section 2(b) for dividends or distributions declared by the Company and payable on the Initial Securities but not payable on the Option Securities.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80" w:type="dxa"/>
            <w:vAlign w:val="bottom"/>
            <w:gridSpan w:val="2"/>
          </w:tcPr>
          <w:p>
            <w:pPr>
              <w:jc w:val="center"/>
              <w:ind w:right="980"/>
              <w:spacing w:after="0"/>
              <w:rPr>
                <w:sz w:val="20"/>
                <w:szCs w:val="20"/>
                <w:color w:val="auto"/>
              </w:rPr>
            </w:pPr>
            <w:r>
              <w:rPr>
                <w:rFonts w:ascii="Arial" w:cs="Arial" w:eastAsia="Arial" w:hAnsi="Arial"/>
                <w:sz w:val="20"/>
                <w:szCs w:val="20"/>
                <w:color w:val="auto"/>
                <w:w w:val="92"/>
              </w:rPr>
              <w:t>Number of</w:t>
            </w:r>
          </w:p>
        </w:tc>
        <w:tc>
          <w:tcPr>
            <w:tcW w:w="0" w:type="dxa"/>
            <w:vAlign w:val="bottom"/>
          </w:tcPr>
          <w:p>
            <w:pPr>
              <w:spacing w:after="0"/>
              <w:rPr>
                <w:sz w:val="1"/>
                <w:szCs w:val="1"/>
                <w:color w:val="auto"/>
              </w:rPr>
            </w:pPr>
          </w:p>
        </w:tc>
      </w:tr>
      <w:tr>
        <w:trPr>
          <w:trHeight w:val="206"/>
        </w:trPr>
        <w:tc>
          <w:tcPr>
            <w:tcW w:w="7760" w:type="dxa"/>
            <w:vAlign w:val="bottom"/>
          </w:tcPr>
          <w:p>
            <w:pPr>
              <w:spacing w:after="0" w:line="206" w:lineRule="exact"/>
              <w:rPr>
                <w:sz w:val="20"/>
                <w:szCs w:val="20"/>
                <w:color w:val="auto"/>
              </w:rPr>
            </w:pPr>
            <w:r>
              <w:rPr>
                <w:rFonts w:ascii="Arial" w:cs="Arial" w:eastAsia="Arial" w:hAnsi="Arial"/>
                <w:sz w:val="20"/>
                <w:szCs w:val="20"/>
                <w:color w:val="auto"/>
              </w:rPr>
              <w:t>Name of Underwriter</w:t>
            </w:r>
          </w:p>
        </w:tc>
        <w:tc>
          <w:tcPr>
            <w:tcW w:w="960" w:type="dxa"/>
            <w:vAlign w:val="bottom"/>
          </w:tcPr>
          <w:p>
            <w:pPr>
              <w:spacing w:after="0"/>
              <w:rPr>
                <w:sz w:val="17"/>
                <w:szCs w:val="17"/>
                <w:color w:val="auto"/>
              </w:rPr>
            </w:pPr>
          </w:p>
        </w:tc>
        <w:tc>
          <w:tcPr>
            <w:tcW w:w="2280" w:type="dxa"/>
            <w:vAlign w:val="bottom"/>
            <w:gridSpan w:val="2"/>
          </w:tcPr>
          <w:p>
            <w:pPr>
              <w:jc w:val="center"/>
              <w:ind w:right="980"/>
              <w:spacing w:after="0" w:line="206" w:lineRule="exact"/>
              <w:rPr>
                <w:sz w:val="20"/>
                <w:szCs w:val="20"/>
                <w:color w:val="auto"/>
              </w:rPr>
            </w:pPr>
            <w:r>
              <w:rPr>
                <w:rFonts w:ascii="Arial" w:cs="Arial" w:eastAsia="Arial" w:hAnsi="Arial"/>
                <w:sz w:val="20"/>
                <w:szCs w:val="20"/>
                <w:color w:val="auto"/>
                <w:w w:val="92"/>
              </w:rPr>
              <w:t>Initial Securities</w:t>
            </w:r>
          </w:p>
        </w:tc>
        <w:tc>
          <w:tcPr>
            <w:tcW w:w="0" w:type="dxa"/>
            <w:vAlign w:val="bottom"/>
          </w:tcPr>
          <w:p>
            <w:pPr>
              <w:spacing w:after="0"/>
              <w:rPr>
                <w:sz w:val="1"/>
                <w:szCs w:val="1"/>
                <w:color w:val="auto"/>
              </w:rPr>
            </w:pPr>
          </w:p>
        </w:tc>
      </w:tr>
      <w:tr>
        <w:trPr>
          <w:trHeight w:val="578"/>
        </w:trPr>
        <w:tc>
          <w:tcPr>
            <w:tcW w:w="7760" w:type="dxa"/>
            <w:vAlign w:val="bottom"/>
          </w:tcPr>
          <w:p>
            <w:pPr>
              <w:spacing w:after="0"/>
              <w:rPr>
                <w:sz w:val="20"/>
                <w:szCs w:val="20"/>
                <w:color w:val="auto"/>
              </w:rPr>
            </w:pPr>
            <w:r>
              <w:rPr>
                <w:rFonts w:ascii="Arial" w:cs="Arial" w:eastAsia="Arial" w:hAnsi="Arial"/>
                <w:sz w:val="20"/>
                <w:szCs w:val="20"/>
                <w:color w:val="auto"/>
              </w:rPr>
              <w:t>Cowen and Company, LLC</w:t>
            </w:r>
          </w:p>
        </w:tc>
        <w:tc>
          <w:tcPr>
            <w:tcW w:w="96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1,202,500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20"/>
                <w:szCs w:val="20"/>
                <w:color w:val="auto"/>
              </w:rPr>
              <w:t>William Blair &amp; Company, L.L.C.</w:t>
            </w:r>
          </w:p>
        </w:tc>
        <w:tc>
          <w:tcPr>
            <w:tcW w:w="226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971,250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20"/>
                <w:szCs w:val="20"/>
                <w:color w:val="auto"/>
              </w:rPr>
              <w:t>Cantor Fitzgerald &amp; Co..</w:t>
            </w:r>
          </w:p>
        </w:tc>
        <w:tc>
          <w:tcPr>
            <w:tcW w:w="226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740,000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20"/>
                <w:szCs w:val="20"/>
                <w:color w:val="auto"/>
              </w:rPr>
              <w:t>Canaccord Genuity LLC</w:t>
            </w:r>
          </w:p>
        </w:tc>
        <w:tc>
          <w:tcPr>
            <w:tcW w:w="226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416,250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20"/>
                <w:szCs w:val="20"/>
                <w:color w:val="auto"/>
              </w:rPr>
              <w:t>BTIG, LLC</w:t>
            </w:r>
          </w:p>
        </w:tc>
        <w:tc>
          <w:tcPr>
            <w:tcW w:w="226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370,000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60" w:type="dxa"/>
            <w:vAlign w:val="bottom"/>
            <w:vMerge w:val="restart"/>
          </w:tcPr>
          <w:p>
            <w:pPr>
              <w:ind w:left="660"/>
              <w:spacing w:after="0"/>
              <w:rPr>
                <w:sz w:val="20"/>
                <w:szCs w:val="20"/>
                <w:color w:val="auto"/>
              </w:rPr>
            </w:pPr>
            <w:r>
              <w:rPr>
                <w:rFonts w:ascii="Arial" w:cs="Arial" w:eastAsia="Arial" w:hAnsi="Arial"/>
                <w:sz w:val="20"/>
                <w:szCs w:val="20"/>
                <w:color w:val="auto"/>
              </w:rPr>
              <w:t>Total</w:t>
            </w: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60" w:type="dxa"/>
            <w:vAlign w:val="bottom"/>
            <w:vMerge w:val="continue"/>
          </w:tcPr>
          <w:p>
            <w:pPr>
              <w:spacing w:after="0"/>
              <w:rPr>
                <w:sz w:val="22"/>
                <w:szCs w:val="22"/>
                <w:color w:val="auto"/>
              </w:rPr>
            </w:pPr>
          </w:p>
        </w:tc>
        <w:tc>
          <w:tcPr>
            <w:tcW w:w="2260" w:type="dxa"/>
            <w:vAlign w:val="bottom"/>
            <w:gridSpan w:val="2"/>
          </w:tcPr>
          <w:p>
            <w:pPr>
              <w:jc w:val="center"/>
              <w:ind w:left="881"/>
              <w:spacing w:after="0"/>
              <w:rPr>
                <w:sz w:val="20"/>
                <w:szCs w:val="20"/>
                <w:color w:val="auto"/>
              </w:rPr>
            </w:pPr>
            <w:r>
              <w:rPr>
                <w:rFonts w:ascii="Arial" w:cs="Arial" w:eastAsia="Arial" w:hAnsi="Arial"/>
                <w:sz w:val="20"/>
                <w:szCs w:val="20"/>
                <w:color w:val="auto"/>
                <w:w w:val="89"/>
              </w:rPr>
              <w:t>3,700,000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Sch A-1</w:t>
      </w:r>
    </w:p>
    <w:p>
      <w:pPr>
        <w:sectPr>
          <w:pgSz w:w="11900" w:h="16838" w:orient="portrait"/>
          <w:cols w:equalWidth="0" w:num="1">
            <w:col w:w="11040"/>
          </w:cols>
          <w:pgMar w:left="320" w:top="1419" w:right="539" w:bottom="1440" w:gutter="0" w:footer="0" w:header="0"/>
        </w:sectPr>
      </w:pPr>
    </w:p>
    <w:bookmarkStart w:id="34" w:name="page35"/>
    <w:bookmarkEnd w:id="34"/>
    <w:p>
      <w:pPr>
        <w:jc w:val="center"/>
        <w:ind w:right="-11"/>
        <w:spacing w:after="0"/>
        <w:rPr>
          <w:sz w:val="20"/>
          <w:szCs w:val="20"/>
          <w:color w:val="auto"/>
        </w:rPr>
      </w:pPr>
      <w:r>
        <w:rPr>
          <w:rFonts w:ascii="Arial" w:cs="Arial" w:eastAsia="Arial" w:hAnsi="Arial"/>
          <w:sz w:val="20"/>
          <w:szCs w:val="20"/>
          <w:color w:val="auto"/>
        </w:rPr>
        <w:t>SCHEDULE B-1</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u w:val="single" w:color="auto"/>
          <w:color w:val="auto"/>
        </w:rPr>
        <w:t>Pricing Terms</w:t>
      </w:r>
    </w:p>
    <w:p>
      <w:pPr>
        <w:spacing w:after="0" w:line="216" w:lineRule="exact"/>
        <w:rPr>
          <w:sz w:val="20"/>
          <w:szCs w:val="20"/>
          <w:color w:val="auto"/>
        </w:rPr>
      </w:pPr>
    </w:p>
    <w:p>
      <w:pPr>
        <w:ind w:left="352" w:hanging="352"/>
        <w:spacing w:after="0"/>
        <w:tabs>
          <w:tab w:leader="none" w:pos="35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Company is selling 3,700,000 shares of Common Stock.</w:t>
      </w:r>
    </w:p>
    <w:p>
      <w:pPr>
        <w:spacing w:after="0" w:line="215" w:lineRule="exact"/>
        <w:rPr>
          <w:rFonts w:ascii="Arial" w:cs="Arial" w:eastAsia="Arial" w:hAnsi="Arial"/>
          <w:sz w:val="20"/>
          <w:szCs w:val="20"/>
          <w:color w:val="auto"/>
        </w:rPr>
      </w:pPr>
    </w:p>
    <w:p>
      <w:pPr>
        <w:ind w:left="-8" w:firstLine="8"/>
        <w:spacing w:after="0" w:line="260" w:lineRule="auto"/>
        <w:tabs>
          <w:tab w:leader="none" w:pos="404"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Company has granted an option to the Underwriters, severally and not jointly, to purchase up to an additional 555,000 shares of Common Stock.</w:t>
      </w:r>
    </w:p>
    <w:p>
      <w:pPr>
        <w:spacing w:after="0" w:line="176" w:lineRule="exact"/>
        <w:rPr>
          <w:rFonts w:ascii="Arial" w:cs="Arial" w:eastAsia="Arial" w:hAnsi="Arial"/>
          <w:sz w:val="20"/>
          <w:szCs w:val="20"/>
          <w:color w:val="auto"/>
        </w:rPr>
      </w:pPr>
    </w:p>
    <w:p>
      <w:pPr>
        <w:ind w:left="352" w:hanging="352"/>
        <w:spacing w:after="0"/>
        <w:tabs>
          <w:tab w:leader="none" w:pos="352"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public offering price per share for the Securities shall be $16.25.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Sch B-1</w:t>
      </w:r>
    </w:p>
    <w:p>
      <w:pPr>
        <w:sectPr>
          <w:pgSz w:w="11900" w:h="16838" w:orient="portrait"/>
          <w:cols w:equalWidth="0" w:num="1">
            <w:col w:w="11232"/>
          </w:cols>
          <w:pgMar w:left="328" w:top="1419" w:right="339" w:bottom="1440" w:gutter="0" w:footer="0" w:header="0"/>
        </w:sectPr>
      </w:pPr>
    </w:p>
    <w:bookmarkStart w:id="35" w:name="page36"/>
    <w:bookmarkEnd w:id="35"/>
    <w:p>
      <w:pPr>
        <w:jc w:val="center"/>
        <w:ind w:right="-1100"/>
        <w:spacing w:after="0"/>
        <w:rPr>
          <w:sz w:val="20"/>
          <w:szCs w:val="20"/>
          <w:color w:val="auto"/>
        </w:rPr>
      </w:pPr>
      <w:r>
        <w:rPr>
          <w:rFonts w:ascii="Arial" w:cs="Arial" w:eastAsia="Arial" w:hAnsi="Arial"/>
          <w:sz w:val="20"/>
          <w:szCs w:val="20"/>
          <w:color w:val="auto"/>
        </w:rPr>
        <w:t>SCHEDULE B-2</w:t>
      </w:r>
    </w:p>
    <w:p>
      <w:pPr>
        <w:spacing w:after="0" w:line="243" w:lineRule="exact"/>
        <w:rPr>
          <w:sz w:val="20"/>
          <w:szCs w:val="20"/>
          <w:color w:val="auto"/>
        </w:rPr>
      </w:pPr>
    </w:p>
    <w:p>
      <w:pPr>
        <w:jc w:val="right"/>
        <w:ind w:right="3479"/>
        <w:spacing w:after="0"/>
        <w:rPr>
          <w:sz w:val="20"/>
          <w:szCs w:val="20"/>
          <w:color w:val="auto"/>
        </w:rPr>
      </w:pPr>
      <w:r>
        <w:rPr>
          <w:rFonts w:ascii="Arial" w:cs="Arial" w:eastAsia="Arial" w:hAnsi="Arial"/>
          <w:sz w:val="20"/>
          <w:szCs w:val="20"/>
          <w:u w:val="single" w:color="auto"/>
          <w:color w:val="auto"/>
        </w:rPr>
        <w:t>Free Writing Prospectuses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Sch B-2</w:t>
      </w:r>
    </w:p>
    <w:p>
      <w:pPr>
        <w:sectPr>
          <w:pgSz w:w="11900" w:h="16838" w:orient="portrait"/>
          <w:cols w:equalWidth="0" w:num="1">
            <w:col w:w="10139"/>
          </w:cols>
          <w:pgMar w:left="320" w:top="1419" w:right="1440" w:bottom="1440" w:gutter="0" w:footer="0" w:header="0"/>
        </w:sectPr>
      </w:pPr>
    </w:p>
    <w:bookmarkStart w:id="36" w:name="page37"/>
    <w:bookmarkEnd w:id="36"/>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SCHEDULE B-3</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6"/>
          <w:szCs w:val="16"/>
          <w:u w:val="single" w:color="auto"/>
          <w:color w:val="auto"/>
        </w:rPr>
        <w:t>Written Testing-the-Waters Communications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Sch B-3</w:t>
      </w:r>
    </w:p>
    <w:p>
      <w:pPr>
        <w:sectPr>
          <w:pgSz w:w="11900" w:h="16838" w:orient="portrait"/>
          <w:cols w:equalWidth="0" w:num="1">
            <w:col w:w="10139"/>
          </w:cols>
          <w:pgMar w:left="320" w:top="144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lock-up]</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_____________________,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Cowen and Company,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William Blair &amp; Company, L.L.C.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&amp; Co.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Representatives of the several Underwriters</w:t>
      </w: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8"/>
          <w:szCs w:val="18"/>
          <w:color w:val="auto"/>
        </w:rPr>
        <w:t>Cowen and Company, LLC</w:t>
      </w:r>
    </w:p>
    <w:p>
      <w:pPr>
        <w:spacing w:after="0"/>
        <w:rPr>
          <w:sz w:val="20"/>
          <w:szCs w:val="20"/>
          <w:color w:val="auto"/>
        </w:rPr>
      </w:pPr>
      <w:r>
        <w:rPr>
          <w:rFonts w:ascii="Arial" w:cs="Arial" w:eastAsia="Arial" w:hAnsi="Arial"/>
          <w:sz w:val="20"/>
          <w:szCs w:val="20"/>
          <w:color w:val="auto"/>
        </w:rPr>
        <w:t>599 Lexington Avenue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 10022</w:t>
      </w:r>
    </w:p>
    <w:p>
      <w:pPr>
        <w:spacing w:after="0" w:line="1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9"/>
          <w:szCs w:val="19"/>
          <w:color w:val="auto"/>
        </w:rPr>
        <w:t>William Blair &amp; Company, L.L.C.</w:t>
      </w:r>
    </w:p>
    <w:p>
      <w:pPr>
        <w:spacing w:after="0"/>
        <w:rPr>
          <w:sz w:val="20"/>
          <w:szCs w:val="20"/>
          <w:color w:val="auto"/>
        </w:rPr>
      </w:pPr>
      <w:r>
        <w:rPr>
          <w:rFonts w:ascii="Arial" w:cs="Arial" w:eastAsia="Arial" w:hAnsi="Arial"/>
          <w:sz w:val="20"/>
          <w:szCs w:val="20"/>
          <w:color w:val="auto"/>
        </w:rPr>
        <w:t>150 N. Riverside Plaza</w:t>
      </w:r>
    </w:p>
    <w:p>
      <w:pPr>
        <w:spacing w:after="0"/>
        <w:rPr>
          <w:sz w:val="20"/>
          <w:szCs w:val="20"/>
          <w:color w:val="auto"/>
        </w:rPr>
      </w:pPr>
      <w:r>
        <w:rPr>
          <w:rFonts w:ascii="Arial" w:cs="Arial" w:eastAsia="Arial" w:hAnsi="Arial"/>
          <w:sz w:val="20"/>
          <w:szCs w:val="20"/>
          <w:color w:val="auto"/>
        </w:rPr>
        <w:t>Chicago, Illinois 60606</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8"/>
          <w:szCs w:val="18"/>
          <w:color w:val="auto"/>
        </w:rPr>
        <w:t>Cantor Fitzgerald &amp; Co.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499 Park Avenue</w:t>
      </w:r>
    </w:p>
    <w:p>
      <w:pPr>
        <w:spacing w:after="0"/>
        <w:rPr>
          <w:sz w:val="20"/>
          <w:szCs w:val="20"/>
          <w:color w:val="auto"/>
        </w:rPr>
      </w:pPr>
      <w:r>
        <w:rPr>
          <w:rFonts w:ascii="Arial" w:cs="Arial" w:eastAsia="Arial" w:hAnsi="Arial"/>
          <w:sz w:val="20"/>
          <w:szCs w:val="20"/>
          <w:color w:val="auto"/>
        </w:rPr>
        <w:t>New York, New York 10022</w:t>
      </w:r>
    </w:p>
    <w:p>
      <w:pPr>
        <w:spacing w:after="0" w:line="227"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8"/>
          <w:szCs w:val="18"/>
          <w:u w:val="single" w:color="auto"/>
          <w:color w:val="auto"/>
        </w:rPr>
        <w:t>Proposed Public Offering by Exagen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The undersigned, a stockholder, officer and/or director of Exagen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understands that Cowen and Company, LLC, Cantor Fitzgerald &amp; Co. and William Blair &amp; Company, L.L.C. (the “</w:t>
      </w:r>
      <w:r>
        <w:rPr>
          <w:rFonts w:ascii="Arial" w:cs="Arial" w:eastAsia="Arial" w:hAnsi="Arial"/>
          <w:sz w:val="19"/>
          <w:szCs w:val="19"/>
          <w:u w:val="single" w:color="auto"/>
          <w:color w:val="auto"/>
        </w:rPr>
        <w:t>Representatives”</w:t>
      </w:r>
      <w:r>
        <w:rPr>
          <w:rFonts w:ascii="Arial" w:cs="Arial" w:eastAsia="Arial" w:hAnsi="Arial"/>
          <w:sz w:val="19"/>
          <w:szCs w:val="19"/>
          <w:color w:val="auto"/>
        </w:rPr>
        <w:t>), as representatives of the several underwriters, propose to enter into an Underwriting Agreement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with the Company providing for the public offering (the “</w:t>
      </w:r>
      <w:r>
        <w:rPr>
          <w:rFonts w:ascii="Arial" w:cs="Arial" w:eastAsia="Arial" w:hAnsi="Arial"/>
          <w:sz w:val="19"/>
          <w:szCs w:val="19"/>
          <w:u w:val="single" w:color="auto"/>
          <w:color w:val="auto"/>
        </w:rPr>
        <w:t>Public Offering</w:t>
      </w:r>
      <w:r>
        <w:rPr>
          <w:rFonts w:ascii="Arial" w:cs="Arial" w:eastAsia="Arial" w:hAnsi="Arial"/>
          <w:sz w:val="19"/>
          <w:szCs w:val="19"/>
          <w:color w:val="auto"/>
        </w:rPr>
        <w:t>”) of shares (the “</w:t>
      </w:r>
      <w:r>
        <w:rPr>
          <w:rFonts w:ascii="Arial" w:cs="Arial" w:eastAsia="Arial" w:hAnsi="Arial"/>
          <w:sz w:val="19"/>
          <w:szCs w:val="19"/>
          <w:u w:val="single" w:color="auto"/>
          <w:color w:val="auto"/>
        </w:rPr>
        <w:t>Securities</w:t>
      </w:r>
      <w:r>
        <w:rPr>
          <w:rFonts w:ascii="Arial" w:cs="Arial" w:eastAsia="Arial" w:hAnsi="Arial"/>
          <w:sz w:val="19"/>
          <w:szCs w:val="19"/>
          <w:color w:val="auto"/>
        </w:rPr>
        <w:t>”) of the Company’s common stock, par value $0.001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90 days from the date of the Underwriting Agreement (the “</w:t>
      </w:r>
      <w:r>
        <w:rPr>
          <w:rFonts w:ascii="Arial" w:cs="Arial" w:eastAsia="Arial" w:hAnsi="Arial"/>
          <w:sz w:val="19"/>
          <w:szCs w:val="19"/>
          <w:u w:val="single" w:color="auto"/>
          <w:color w:val="auto"/>
        </w:rPr>
        <w:t>Lock-Up Period</w:t>
      </w:r>
      <w:r>
        <w:rPr>
          <w:rFonts w:ascii="Arial" w:cs="Arial" w:eastAsia="Arial" w:hAnsi="Arial"/>
          <w:sz w:val="19"/>
          <w:szCs w:val="19"/>
          <w:color w:val="auto"/>
        </w:rPr>
        <w:t>”), the undersigned will not, without the prior written consent of the Representatives,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9"/>
          <w:szCs w:val="19"/>
          <w:u w:val="single" w:color="auto"/>
          <w:color w:val="auto"/>
        </w:rPr>
        <w:t>Lock-Up Securities</w:t>
      </w:r>
      <w:r>
        <w:rPr>
          <w:rFonts w:ascii="Arial" w:cs="Arial" w:eastAsia="Arial" w:hAnsi="Arial"/>
          <w:sz w:val="19"/>
          <w:szCs w:val="19"/>
          <w:color w:val="auto"/>
        </w:rPr>
        <w:t>”), or exercise any right with respect to the registration of any of the Lock-Up Securities, or file or cause to be filed any registration statement in connection therewith, under the Securities Act of 1933, as amended, or (ii) enter into any swap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A-1</w:t>
      </w:r>
    </w:p>
    <w:p>
      <w:pPr>
        <w:sectPr>
          <w:pgSz w:w="11900" w:h="16838" w:orient="portrait"/>
          <w:cols w:equalWidth="0" w:num="1">
            <w:col w:w="11240"/>
          </w:cols>
          <w:pgMar w:left="320" w:top="1419" w:right="339" w:bottom="1440" w:gutter="0" w:footer="0" w:header="0"/>
        </w:sectPr>
      </w:pPr>
    </w:p>
    <w:bookmarkStart w:id="38" w:name="page39"/>
    <w:bookmarkEnd w:id="38"/>
    <w:p>
      <w:pPr>
        <w:jc w:val="both"/>
        <w:spacing w:after="0" w:line="250" w:lineRule="auto"/>
        <w:rPr>
          <w:sz w:val="20"/>
          <w:szCs w:val="20"/>
          <w:color w:val="auto"/>
        </w:rPr>
      </w:pPr>
      <w:r>
        <w:rPr>
          <w:rFonts w:ascii="Arial" w:cs="Arial" w:eastAsia="Arial" w:hAnsi="Arial"/>
          <w:sz w:val="20"/>
          <w:szCs w:val="20"/>
          <w:color w:val="auto"/>
        </w:rPr>
        <w:t>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the foregoing, and subject to the conditions below, the undersigned may transfer the Lock-Up Securities without the prior written consent of the Representatives:</w:t>
      </w:r>
    </w:p>
    <w:p>
      <w:pPr>
        <w:spacing w:after="0" w:line="177"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as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gifts; or</w:t>
      </w:r>
    </w:p>
    <w:p>
      <w:pPr>
        <w:spacing w:after="0" w:line="215" w:lineRule="exact"/>
        <w:rPr>
          <w:rFonts w:ascii="Arial" w:cs="Arial" w:eastAsia="Arial" w:hAnsi="Arial"/>
          <w:sz w:val="20"/>
          <w:szCs w:val="20"/>
          <w:color w:val="auto"/>
        </w:rPr>
      </w:pPr>
    </w:p>
    <w:p>
      <w:pPr>
        <w:ind w:left="1300" w:hanging="644"/>
        <w:spacing w:after="0" w:line="250" w:lineRule="auto"/>
        <w:tabs>
          <w:tab w:leader="none" w:pos="1102"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85" w:lineRule="exact"/>
        <w:rPr>
          <w:rFonts w:ascii="Arial" w:cs="Arial" w:eastAsia="Arial" w:hAnsi="Arial"/>
          <w:sz w:val="20"/>
          <w:szCs w:val="20"/>
          <w:color w:val="auto"/>
        </w:rPr>
      </w:pPr>
    </w:p>
    <w:p>
      <w:pPr>
        <w:ind w:left="1160" w:hanging="504"/>
        <w:spacing w:after="0"/>
        <w:tabs>
          <w:tab w:leader="none" w:pos="11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if the undersigned is a trust, to the trustee or beneficiary of such trust or to the estate of a beneficiary of such trust;</w:t>
      </w:r>
    </w:p>
    <w:p>
      <w:pPr>
        <w:spacing w:after="0" w:line="227" w:lineRule="exact"/>
        <w:rPr>
          <w:rFonts w:ascii="Arial" w:cs="Arial" w:eastAsia="Arial" w:hAnsi="Arial"/>
          <w:sz w:val="19"/>
          <w:szCs w:val="19"/>
          <w:color w:val="auto"/>
        </w:rPr>
      </w:pPr>
    </w:p>
    <w:p>
      <w:pPr>
        <w:ind w:left="1300" w:right="20" w:hanging="644"/>
        <w:spacing w:after="0" w:line="250" w:lineRule="auto"/>
        <w:tabs>
          <w:tab w:leader="none" w:pos="120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85" w:lineRule="exact"/>
        <w:rPr>
          <w:rFonts w:ascii="Arial" w:cs="Arial" w:eastAsia="Arial" w:hAnsi="Arial"/>
          <w:sz w:val="20"/>
          <w:szCs w:val="20"/>
          <w:color w:val="auto"/>
        </w:rPr>
      </w:pPr>
    </w:p>
    <w:p>
      <w:pPr>
        <w:ind w:left="1080" w:hanging="424"/>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undersigned’s affiliates or to any investment fund or other entity controlled or managed by the undersigned;</w:t>
      </w:r>
    </w:p>
    <w:p>
      <w:pPr>
        <w:spacing w:after="0" w:line="215" w:lineRule="exact"/>
        <w:rPr>
          <w:rFonts w:ascii="Arial" w:cs="Arial" w:eastAsia="Arial" w:hAnsi="Arial"/>
          <w:sz w:val="20"/>
          <w:szCs w:val="20"/>
          <w:color w:val="auto"/>
        </w:rPr>
      </w:pPr>
    </w:p>
    <w:p>
      <w:pPr>
        <w:ind w:left="1140" w:hanging="484"/>
        <w:spacing w:after="0"/>
        <w:tabs>
          <w:tab w:leader="none" w:pos="11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pursuant to a qualified domestic relations order or in connection with a divorce settlement;</w:t>
      </w:r>
    </w:p>
    <w:p>
      <w:pPr>
        <w:spacing w:after="0" w:line="215" w:lineRule="exact"/>
        <w:rPr>
          <w:rFonts w:ascii="Arial" w:cs="Arial" w:eastAsia="Arial" w:hAnsi="Arial"/>
          <w:sz w:val="20"/>
          <w:szCs w:val="20"/>
          <w:color w:val="auto"/>
        </w:rPr>
      </w:pPr>
    </w:p>
    <w:p>
      <w:pPr>
        <w:ind w:left="1200" w:hanging="544"/>
        <w:spacing w:after="0"/>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by will or intestate succession upon the death of the undersigned; or</w:t>
      </w:r>
    </w:p>
    <w:p>
      <w:pPr>
        <w:spacing w:after="0" w:line="215" w:lineRule="exact"/>
        <w:rPr>
          <w:rFonts w:ascii="Arial" w:cs="Arial" w:eastAsia="Arial" w:hAnsi="Arial"/>
          <w:sz w:val="20"/>
          <w:szCs w:val="20"/>
          <w:color w:val="auto"/>
        </w:rPr>
      </w:pPr>
    </w:p>
    <w:p>
      <w:pPr>
        <w:ind w:left="1240" w:hanging="584"/>
        <w:spacing w:after="0"/>
        <w:tabs>
          <w:tab w:leader="none" w:pos="12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to the Company in satisfaction of any tax withholding obligation;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provided, in each case, that (1) the Representatives receive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and (4) the undersigned does not otherwise voluntarily effect any public filing or report regarding such transfers (other than a filing on a Form 5 made after the expiration of the Lock-Up Period).</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Furthermore, no provision in this letter shall be deemed to restrict or prohibit (1) the transfer of the undersigned’s Lock-Up Securities to the Company in connection with the termination of the undersigned’s services to the Company, provided that no filing by any party under the Exchange Act or other public announcement shall be required or shall be made voluntarily in connection with such transfer (other than a filing on a Form 5 made after the expiration of the Lock-Up Period), (2) the exercise or exchange by the undersigned of options to purchase shares of Common Stock granted pursuant to any stock option, stock bonus or other stock plan or arrangement, or warrants to purchase or acquire any securities of the Company; provided, however, that the underlying shares of Common Stock shall continue to be subject to the restrictions on transfer set forth in this letter, and (3) the transfer of Lock-Up Securities upon the completion of a bona fide third-party tender offer, merger, consolidation or other similar transaction made to all holders of the Company’s securities involving a change of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A-2</w:t>
      </w:r>
    </w:p>
    <w:p>
      <w:pPr>
        <w:sectPr>
          <w:pgSz w:w="11900" w:h="16838" w:orient="portrait"/>
          <w:cols w:equalWidth="0" w:num="1">
            <w:col w:w="11240"/>
          </w:cols>
          <w:pgMar w:left="320" w:top="1419" w:right="339" w:bottom="1440" w:gutter="0" w:footer="0" w:header="0"/>
        </w:sectPr>
      </w:pPr>
    </w:p>
    <w:bookmarkStart w:id="39" w:name="page40"/>
    <w:bookmarkEnd w:id="39"/>
    <w:p>
      <w:pPr>
        <w:jc w:val="both"/>
        <w:spacing w:after="0" w:line="260" w:lineRule="auto"/>
        <w:rPr>
          <w:sz w:val="20"/>
          <w:szCs w:val="20"/>
          <w:color w:val="auto"/>
        </w:rPr>
      </w:pPr>
      <w:r>
        <w:rPr>
          <w:rFonts w:ascii="Arial" w:cs="Arial" w:eastAsia="Arial" w:hAnsi="Arial"/>
          <w:sz w:val="20"/>
          <w:szCs w:val="20"/>
          <w:color w:val="auto"/>
        </w:rPr>
        <w:t>Company; provided, however, that in the event that such tender offer, merger, consolidation or other such transaction is not completed, such securities held by the undersigned shall remain subject to the restrictions on transfer set forth in this letter.</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anything herein to the contrary, nothing herein shall prevent the undersigned from establishing a 10b5-1 trading plan that complies with Rule 10b5-1 under the Exchange Act (“</w:t>
      </w:r>
      <w:r>
        <w:rPr>
          <w:rFonts w:ascii="Arial" w:cs="Arial" w:eastAsia="Arial" w:hAnsi="Arial"/>
          <w:sz w:val="18"/>
          <w:szCs w:val="18"/>
          <w:u w:val="single" w:color="auto"/>
          <w:color w:val="auto"/>
        </w:rPr>
        <w:t>10b5-1 trading plan</w:t>
      </w:r>
      <w:r>
        <w:rPr>
          <w:rFonts w:ascii="Arial" w:cs="Arial" w:eastAsia="Arial" w:hAnsi="Arial"/>
          <w:sz w:val="18"/>
          <w:szCs w:val="18"/>
          <w:color w:val="auto"/>
        </w:rPr>
        <w:t>”) or from amending an existing 10b5-1 trading plan so long as there are no sales of Lock-Up Securities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Furthermore, during the Lock-Up Period, the undersigned may sell shares of Common Stock of the Company purchased by the undersigned in the Public Offering or on the open market following the Public Offering if and only if (i) such sales are not required during the Lock-Up Period to be reported in any press release or public report or filing with the Securities and Exchange Commission, or otherwise and (ii) the undersigned does not otherwise voluntarily effect any press release, public filing or report regarding such sales during the Lock-Up Period.</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Notwithstanding anything herein to the contrary, in the event that the Representatives release, in full or in part, any officer, director or stockholder of the Company holding one percent (1%) or more of the outstanding shares of Common Stock of the Company (a “</w:t>
      </w:r>
      <w:r>
        <w:rPr>
          <w:rFonts w:ascii="Arial" w:cs="Arial" w:eastAsia="Arial" w:hAnsi="Arial"/>
          <w:sz w:val="18"/>
          <w:szCs w:val="18"/>
          <w:u w:val="single" w:color="auto"/>
          <w:color w:val="auto"/>
        </w:rPr>
        <w:t>Stockholder</w:t>
      </w:r>
      <w:r>
        <w:rPr>
          <w:rFonts w:ascii="Arial" w:cs="Arial" w:eastAsia="Arial" w:hAnsi="Arial"/>
          <w:sz w:val="18"/>
          <w:szCs w:val="18"/>
          <w:color w:val="auto"/>
        </w:rPr>
        <w:t>”) from the restrictions of any lock-up letter signed by such Stockholder with the Representatives (a “</w:t>
      </w:r>
      <w:r>
        <w:rPr>
          <w:rFonts w:ascii="Arial" w:cs="Arial" w:eastAsia="Arial" w:hAnsi="Arial"/>
          <w:sz w:val="18"/>
          <w:szCs w:val="18"/>
          <w:u w:val="single" w:color="auto"/>
          <w:color w:val="auto"/>
        </w:rPr>
        <w:t>Triggering Release</w:t>
      </w:r>
      <w:r>
        <w:rPr>
          <w:rFonts w:ascii="Arial" w:cs="Arial" w:eastAsia="Arial" w:hAnsi="Arial"/>
          <w:sz w:val="18"/>
          <w:szCs w:val="18"/>
          <w:color w:val="auto"/>
        </w:rPr>
        <w:t>”), then the undersigned shall be concurrently released in the same manner and on the same terms (including with respect to any conditions or provisos that apply to such release) from the restrictions of this Agreement with respect to that percentage of the total number of shares of Common Stock held by the undersigned equal to the same percentage of such Stockholder’s shares of Common Stock released in the Triggering Release (the “</w:t>
      </w:r>
      <w:r>
        <w:rPr>
          <w:rFonts w:ascii="Arial" w:cs="Arial" w:eastAsia="Arial" w:hAnsi="Arial"/>
          <w:sz w:val="18"/>
          <w:szCs w:val="18"/>
          <w:u w:val="single" w:color="auto"/>
          <w:color w:val="auto"/>
        </w:rPr>
        <w:t>Release Percentage</w:t>
      </w:r>
      <w:r>
        <w:rPr>
          <w:rFonts w:ascii="Arial" w:cs="Arial" w:eastAsia="Arial" w:hAnsi="Arial"/>
          <w:sz w:val="18"/>
          <w:szCs w:val="18"/>
          <w:color w:val="auto"/>
        </w:rPr>
        <w:t>”); provided that (i) the Representatives shall provide notice to the Company and the undersigned of any Triggering Release and setting forth the number of shares of Common Stock proposed to be released, provided that the failure to provide such notice shall not give rise to any claim or liability against the Representatives; (ii) upon receipt of such notice from the Representatives, the Company will notify the undersigned of the requested Triggering Release within two business days; (iii) the undersigned may require the release by the Representatives from the terms of this lock-up of a number of shares equal to the Release Percentage multiplied by the number of shares of Common Stock held by it (the “</w:t>
      </w:r>
      <w:r>
        <w:rPr>
          <w:rFonts w:ascii="Arial" w:cs="Arial" w:eastAsia="Arial" w:hAnsi="Arial"/>
          <w:sz w:val="18"/>
          <w:szCs w:val="18"/>
          <w:u w:val="single" w:color="auto"/>
          <w:color w:val="auto"/>
        </w:rPr>
        <w:t>Pro Rata Stockholders</w:t>
      </w:r>
      <w:r>
        <w:rPr>
          <w:rFonts w:ascii="Arial" w:cs="Arial" w:eastAsia="Arial" w:hAnsi="Arial"/>
          <w:sz w:val="18"/>
          <w:szCs w:val="18"/>
          <w:color w:val="auto"/>
        </w:rPr>
        <w:t>”) by (x) providing notice in writing to the Representatives of such requirement and (y) certifying in writing to the Representatives and the Company the total number of shares of Common Stock held by such Pro Rata Stockholder as of the time of the request of the Triggering Release. If the Company fails to notify the undersigned within five business days of the request of the Triggering Release, the failure to give such notice shall not give rise to any claim or liability against the Company or the Representatives.</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 A-3</w:t>
      </w:r>
    </w:p>
    <w:p>
      <w:pPr>
        <w:sectPr>
          <w:pgSz w:w="11900" w:h="16838" w:orient="portrait"/>
          <w:cols w:equalWidth="0" w:num="1">
            <w:col w:w="11240"/>
          </w:cols>
          <w:pgMar w:left="320" w:top="1419" w:right="339" w:bottom="1440" w:gutter="0" w:footer="0" w:header="0"/>
        </w:sectPr>
      </w:pPr>
    </w:p>
    <w:bookmarkStart w:id="40" w:name="page41"/>
    <w:bookmarkEnd w:id="40"/>
    <w:p>
      <w:pPr>
        <w:jc w:val="both"/>
        <w:spacing w:after="0" w:line="260" w:lineRule="auto"/>
        <w:rPr>
          <w:sz w:val="20"/>
          <w:szCs w:val="20"/>
          <w:color w:val="auto"/>
        </w:rPr>
      </w:pPr>
      <w:r>
        <w:rPr>
          <w:rFonts w:ascii="Arial" w:cs="Arial" w:eastAsia="Arial" w:hAnsi="Arial"/>
          <w:sz w:val="20"/>
          <w:szCs w:val="20"/>
          <w:color w:val="auto"/>
        </w:rPr>
        <w:t>than the provisions thereof which survive termination), or (iii) April 15, 2021, in the event that the Underwriting Agreement has not been executed by such date.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 A-4</w:t>
      </w:r>
    </w:p>
    <w:p>
      <w:pPr>
        <w:sectPr>
          <w:pgSz w:w="11900" w:h="16838" w:orient="portrait"/>
          <w:cols w:equalWidth="0" w:num="1">
            <w:col w:w="11220"/>
          </w:cols>
          <w:pgMar w:left="320" w:top="1419" w:right="359" w:bottom="1440" w:gutter="0" w:footer="0" w:header="0"/>
        </w:sectPr>
      </w:pPr>
    </w:p>
    <w:bookmarkStart w:id="41" w:name="page42"/>
    <w:bookmarkEnd w:id="41"/>
    <w:p>
      <w:pPr>
        <w:ind w:left="278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Name of Security Holder </w:t>
      </w:r>
      <w:r>
        <w:rPr>
          <w:rFonts w:ascii="Arial" w:cs="Arial" w:eastAsia="Arial" w:hAnsi="Arial"/>
          <w:sz w:val="20"/>
          <w:szCs w:val="20"/>
          <w:i w:val="1"/>
          <w:iCs w:val="1"/>
          <w:color w:val="auto"/>
        </w:rPr>
        <w:t>(Print exact name</w:t>
      </w:r>
      <w:r>
        <w:rPr>
          <w:rFonts w:ascii="Arial" w:cs="Arial" w:eastAsia="Arial" w:hAnsi="Arial"/>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By:________________________________________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If not signing in an individual capacity:</w:t>
      </w: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Name of Authorized Signatory </w:t>
      </w:r>
      <w:r>
        <w:rPr>
          <w:rFonts w:ascii="Arial" w:cs="Arial" w:eastAsia="Arial" w:hAnsi="Arial"/>
          <w:sz w:val="20"/>
          <w:szCs w:val="20"/>
          <w:i w:val="1"/>
          <w:iCs w:val="1"/>
          <w:color w:val="auto"/>
        </w:rPr>
        <w:t>(Print</w:t>
      </w:r>
      <w:r>
        <w:rPr>
          <w:rFonts w:ascii="Arial" w:cs="Arial" w:eastAsia="Arial" w:hAnsi="Arial"/>
          <w:sz w:val="20"/>
          <w:szCs w:val="20"/>
          <w:color w:val="auto"/>
        </w:rPr>
        <w:t>)</w:t>
      </w:r>
    </w:p>
    <w:p>
      <w:pPr>
        <w:spacing w:after="0" w:line="22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Title of Authorized Signatory </w:t>
      </w:r>
      <w:r>
        <w:rPr>
          <w:rFonts w:ascii="Arial" w:cs="Arial" w:eastAsia="Arial" w:hAnsi="Arial"/>
          <w:sz w:val="20"/>
          <w:szCs w:val="20"/>
          <w:i w:val="1"/>
          <w:iCs w:val="1"/>
          <w:color w:val="auto"/>
        </w:rPr>
        <w:t>(Print</w:t>
      </w:r>
      <w:r>
        <w:rPr>
          <w:rFonts w:ascii="Arial" w:cs="Arial" w:eastAsia="Arial" w:hAnsi="Arial"/>
          <w:sz w:val="20"/>
          <w:szCs w:val="20"/>
          <w:color w:val="auto"/>
        </w:rPr>
        <w:t>)</w:t>
      </w:r>
    </w:p>
    <w:p>
      <w:pPr>
        <w:spacing w:after="0" w:line="227" w:lineRule="exact"/>
        <w:rPr>
          <w:sz w:val="20"/>
          <w:szCs w:val="20"/>
          <w:color w:val="auto"/>
        </w:rPr>
      </w:pPr>
    </w:p>
    <w:p>
      <w:pPr>
        <w:ind w:left="2780"/>
        <w:spacing w:after="0" w:line="260" w:lineRule="auto"/>
        <w:rPr>
          <w:sz w:val="20"/>
          <w:szCs w:val="20"/>
          <w:color w:val="auto"/>
        </w:rPr>
      </w:pPr>
      <w:r>
        <w:rPr>
          <w:rFonts w:ascii="Arial" w:cs="Arial" w:eastAsia="Arial" w:hAnsi="Arial"/>
          <w:sz w:val="20"/>
          <w:szCs w:val="20"/>
          <w:i w:val="1"/>
          <w:iCs w:val="1"/>
          <w:color w:val="auto"/>
        </w:rPr>
        <w:t>(indicate capacity of person signing if signing as custodian, trustee, or on behalf of an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Exh A-5</w:t>
      </w:r>
    </w:p>
    <w:p>
      <w:pPr>
        <w:sectPr>
          <w:pgSz w:w="11900" w:h="16838" w:orient="portrait"/>
          <w:cols w:equalWidth="0" w:num="1">
            <w:col w:w="9620"/>
          </w:cols>
          <w:pgMar w:left="1440" w:top="1419" w:right="8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349240"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1261 Liberty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Vista, CA 92081</w:t>
      </w:r>
    </w:p>
    <w:p>
      <w:pPr>
        <w:spacing w:after="0" w:line="229" w:lineRule="exact"/>
        <w:rPr>
          <w:sz w:val="20"/>
          <w:szCs w:val="20"/>
          <w:color w:val="auto"/>
        </w:rPr>
      </w:pPr>
    </w:p>
    <w:p>
      <w:pPr>
        <w:ind w:left="1820" w:right="580" w:hanging="647"/>
        <w:spacing w:after="0" w:line="263" w:lineRule="auto"/>
        <w:tabs>
          <w:tab w:leader="none" w:pos="18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Registration Statement on Form S-3 (No. 333-250015); 4,255,000 shares of Common Stock, par value $0.001 per share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acted as special counsel to Exagen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offering of up to 4,255,000 shares (including up to 555,000 shares issuable upon exercise of the underwriters’ option to purchase additional shares) of common stock of the Company, par value $0.001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The offering of the Shares was made under a registration statement on Form S-3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November 10, 2020 (Registration No. 333-250015)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 base prospectus dated November 19, 2020 included in the Registration Statement at the time it originally became effective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 preliminary prospectus supplement dated March 22, 2021 filed with the Commission pursuant to Rule 424(b) under the Act (together with the Base Prospectus, the “</w:t>
      </w:r>
      <w:r>
        <w:rPr>
          <w:rFonts w:ascii="Arial" w:cs="Arial" w:eastAsia="Arial" w:hAnsi="Arial"/>
          <w:sz w:val="19"/>
          <w:szCs w:val="19"/>
          <w:b w:val="1"/>
          <w:bCs w:val="1"/>
          <w:i w:val="1"/>
          <w:iCs w:val="1"/>
          <w:color w:val="auto"/>
        </w:rPr>
        <w:t>Preliminary Prospectus</w:t>
      </w:r>
      <w:r>
        <w:rPr>
          <w:rFonts w:ascii="Arial" w:cs="Arial" w:eastAsia="Arial" w:hAnsi="Arial"/>
          <w:sz w:val="19"/>
          <w:szCs w:val="19"/>
          <w:color w:val="auto"/>
        </w:rPr>
        <w:t>”) and a prospectus supplement dated March 22, 2021 filed with the Commission pursuant to Rule 424(b) under the Act (together with the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xml:space="preserve">”). The Shares are being sold pursuant to an underwriting agreement dated March 22, 2021 by and among the Company and Cowen and Company, LLC, William Blair &amp; Company, L.L.C. and Cantor Fitzgerald &amp; Co., as representatives of the several underwriters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thereto, and the Company (the “</w:t>
      </w:r>
      <w:r>
        <w:rPr>
          <w:rFonts w:ascii="Arial" w:cs="Arial" w:eastAsia="Arial" w:hAnsi="Arial"/>
          <w:sz w:val="19"/>
          <w:szCs w:val="19"/>
          <w:b w:val="1"/>
          <w:bCs w:val="1"/>
          <w:i w:val="1"/>
          <w:iCs w:val="1"/>
          <w:color w:val="auto"/>
        </w:rPr>
        <w:t>Underwriting Agreement</w:t>
      </w:r>
      <w:r>
        <w:rPr>
          <w:rFonts w:ascii="Arial" w:cs="Arial" w:eastAsia="Arial" w:hAnsi="Arial"/>
          <w:sz w:val="19"/>
          <w:szCs w:val="19"/>
          <w:color w:val="auto"/>
        </w:rPr>
        <w:t>”).</w:t>
      </w:r>
    </w:p>
    <w:p>
      <w:pPr>
        <w:sectPr>
          <w:pgSz w:w="11900" w:h="16838" w:orient="portrait"/>
          <w:cols w:equalWidth="0" w:num="1">
            <w:col w:w="11240"/>
          </w:cols>
          <w:pgMar w:left="320" w:top="1422"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3"/>
          <w:szCs w:val="13"/>
          <w:b w:val="1"/>
          <w:bCs w:val="1"/>
          <w:color w:val="auto"/>
        </w:rPr>
        <w:t>March 23, 2021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97000" cy="93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00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issue of the Shares.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and we express no opinion with respect to any other laws.</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Underwriting Agreement,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March 23, 2021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240"/>
          </w:cols>
          <w:pgMar w:left="320" w:top="172" w:right="339" w:bottom="1440" w:gutter="0" w:footer="0" w:header="0"/>
        </w:sectPr>
      </w:pPr>
    </w:p>
    <w:bookmarkStart w:id="44" w:name="page45"/>
    <w:bookmarkEnd w:id="44"/>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65580" cy="539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55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Announces Proposed Public Offering of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March 22, 2021</w:t>
      </w:r>
    </w:p>
    <w:p>
      <w:pPr>
        <w:spacing w:after="0" w:line="297" w:lineRule="exact"/>
        <w:rPr>
          <w:sz w:val="20"/>
          <w:szCs w:val="20"/>
          <w:color w:val="auto"/>
        </w:rPr>
      </w:pPr>
    </w:p>
    <w:p>
      <w:pPr>
        <w:spacing w:after="0" w:line="297" w:lineRule="auto"/>
        <w:rPr>
          <w:sz w:val="20"/>
          <w:szCs w:val="20"/>
          <w:color w:val="auto"/>
        </w:rPr>
      </w:pPr>
      <w:r>
        <w:rPr>
          <w:rFonts w:ascii="Arial" w:cs="Arial" w:eastAsia="Arial" w:hAnsi="Arial"/>
          <w:sz w:val="20"/>
          <w:szCs w:val="20"/>
          <w:color w:val="auto"/>
        </w:rPr>
        <w:t>SAN DIEGO – Exagen Inc. (Nasdaq: XGN), a leading provider of autoimmune testing solutions, today announced that it intends to offer and sell, subject to market and other conditions, shares of its common stock in an underwritten public offering. In addition, Exagen intends to grant the underwriters a 30-day option to purchase up to an additional 15% of the shares of common stock offered in the public offering. All of the shares to be sold in the offering are to be sold by Exagen. There can be no assurance as to whether or when the offering may be completed, or as to the actual size or terms of the offering.</w:t>
      </w:r>
    </w:p>
    <w:p>
      <w:pPr>
        <w:spacing w:after="0" w:line="130" w:lineRule="exact"/>
        <w:rPr>
          <w:sz w:val="20"/>
          <w:szCs w:val="20"/>
          <w:color w:val="auto"/>
        </w:rPr>
      </w:pPr>
    </w:p>
    <w:p>
      <w:pPr>
        <w:ind w:right="60"/>
        <w:spacing w:after="0" w:line="316" w:lineRule="auto"/>
        <w:rPr>
          <w:sz w:val="20"/>
          <w:szCs w:val="20"/>
          <w:color w:val="auto"/>
        </w:rPr>
      </w:pPr>
      <w:r>
        <w:rPr>
          <w:rFonts w:ascii="Arial" w:cs="Arial" w:eastAsia="Arial" w:hAnsi="Arial"/>
          <w:sz w:val="19"/>
          <w:szCs w:val="19"/>
          <w:color w:val="auto"/>
        </w:rPr>
        <w:t>Exagen intends to use the net proceeds from the proposed offering for the development of Multi-omics capabilities, including build out of its clinical laboratory, advancement of its product pipeline, including to support development of tests for fibromyalgia, RA, thrombosis and lupus nephritis, enhancement of intellectual property protection for its technologies, and for working capital and other general corporate purposes. Exagen may also use a portion of the net proceeds to in-license, acquire, or invest in complementary businesses, technologies, products or assets; however, it has no current commitments or obligations to do so.</w:t>
      </w:r>
    </w:p>
    <w:p>
      <w:pPr>
        <w:spacing w:after="0" w:line="128" w:lineRule="exact"/>
        <w:rPr>
          <w:sz w:val="20"/>
          <w:szCs w:val="20"/>
          <w:color w:val="auto"/>
        </w:rPr>
      </w:pPr>
    </w:p>
    <w:p>
      <w:pPr>
        <w:ind w:right="100"/>
        <w:spacing w:after="0" w:line="303" w:lineRule="auto"/>
        <w:rPr>
          <w:sz w:val="20"/>
          <w:szCs w:val="20"/>
          <w:color w:val="auto"/>
        </w:rPr>
      </w:pPr>
      <w:r>
        <w:rPr>
          <w:rFonts w:ascii="Arial" w:cs="Arial" w:eastAsia="Arial" w:hAnsi="Arial"/>
          <w:sz w:val="20"/>
          <w:szCs w:val="20"/>
          <w:color w:val="auto"/>
        </w:rPr>
        <w:t>Cowen, William Blair and Cantor are acting as joint bookrunning managers for the offering. Canaccord Genuity is also acting as bookrunning manager for the offering. BTIG is acting as lead manager for the offering.</w:t>
      </w:r>
    </w:p>
    <w:p>
      <w:pPr>
        <w:spacing w:after="0" w:line="135"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The securities described above are being offered by Exagen pursuant to a shelf registration statement previously filed and declared effective by the Securities and Exchange Commission (SEC). A preliminary prospectus supplement and accompanying prospectus relating to this offering will be filed with the SEC. When available, copies of the preliminary prospectus supplement and the accompanying prospectus relating to this offering may be obtained from: Cowen and Company, LLC c/o Broadridge Financial Solutions, 1155 Long Island Avenue, Edgewood, NY 11717, Attn: Prospectus Department, by email at PostSaleManualRequests@broadridge.com or by telephone at (833) 297-2926; or from William Blair &amp; Company, L.L.C., Attention: Prospectus Department, 150 North Riverside Plaza, Chicago, IL 60606, telephone: 1-800-621-0687, or by email: prospectus@williamblair.com; or from Cantor Fitzgerald &amp; Co., Attention: Capital Markets, 499 Park Avenue, 6th Floor, New York, New York 10022, by telephone at 212-829-7122 or by email at prospectus@cantor.com. Electronic copies of the preliminary prospectus</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supplement and accompanying prospectus will also be available on the website of the SEC at http://www.sec.gov.</w:t>
      </w:r>
    </w:p>
    <w:p>
      <w:pPr>
        <w:spacing w:after="0" w:line="202" w:lineRule="exact"/>
        <w:rPr>
          <w:sz w:val="20"/>
          <w:szCs w:val="20"/>
          <w:color w:val="auto"/>
        </w:rPr>
      </w:pPr>
    </w:p>
    <w:p>
      <w:pPr>
        <w:jc w:val="both"/>
        <w:ind w:right="360"/>
        <w:spacing w:after="0" w:line="299" w:lineRule="auto"/>
        <w:rPr>
          <w:sz w:val="20"/>
          <w:szCs w:val="20"/>
          <w:color w:val="auto"/>
        </w:rPr>
      </w:pPr>
      <w:r>
        <w:rPr>
          <w:rFonts w:ascii="Arial" w:cs="Arial" w:eastAsia="Arial" w:hAnsi="Arial"/>
          <w:sz w:val="20"/>
          <w:szCs w:val="20"/>
          <w:color w:val="auto"/>
        </w:rPr>
        <w:t>This press release shall not constitute an offer to sell or the solicitation of an offer to buy, nor shall there be any sale of these securities in any jurisdiction in which such offer, solicitation or sale would be unlawful prior to the registration or qualification under the securities laws of any such jurisdiction.</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26" w:lineRule="exact"/>
        <w:rPr>
          <w:sz w:val="20"/>
          <w:szCs w:val="20"/>
          <w:color w:val="auto"/>
        </w:rPr>
      </w:pPr>
    </w:p>
    <w:p>
      <w:pPr>
        <w:ind w:right="20"/>
        <w:spacing w:after="0" w:line="297"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Exagen’s expectations of the completion, timing and size of the proposed public offering and the anticipated use of proceeds therefrom. The inclusion of forward-looking statements should not be regarded as a representation by Exagen that any of its plans will be achieved. Actual results may differ from those set forth in this press release due to the risks and uncertainties associated with market conditions and the satisfaction of customary closing conditions related to the proposed public offering, as well as risks and uncertainties inherent in Exagen’s business, including those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Mike Cavanaugh</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646.677.1838</w:t>
      </w:r>
    </w:p>
    <w:p>
      <w:pPr>
        <w:sectPr>
          <w:pgSz w:w="11900" w:h="16838" w:orient="portrait"/>
          <w:cols w:equalWidth="0" w:num="1">
            <w:col w:w="11220"/>
          </w:cols>
          <w:pgMar w:left="320" w:top="1440" w:right="35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Company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Kamal Adawi, Chief Financial Officer</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0139"/>
          </w:cols>
          <w:pgMar w:left="320" w:top="1435" w:right="1440" w:bottom="1440" w:gutter="0" w:footer="0" w:header="0"/>
        </w:sectPr>
      </w:pPr>
    </w:p>
    <w:bookmarkStart w:id="47" w:name="page48"/>
    <w:bookmarkEnd w:id="47"/>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6558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Announces Pricing of Public Offering of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March 22, 2021</w:t>
      </w:r>
    </w:p>
    <w:p>
      <w:pPr>
        <w:spacing w:after="0" w:line="297" w:lineRule="exact"/>
        <w:rPr>
          <w:sz w:val="20"/>
          <w:szCs w:val="20"/>
          <w:color w:val="auto"/>
        </w:rPr>
      </w:pPr>
    </w:p>
    <w:p>
      <w:pPr>
        <w:ind w:right="20"/>
        <w:spacing w:after="0" w:line="297" w:lineRule="auto"/>
        <w:rPr>
          <w:sz w:val="20"/>
          <w:szCs w:val="20"/>
          <w:color w:val="auto"/>
        </w:rPr>
      </w:pPr>
      <w:r>
        <w:rPr>
          <w:rFonts w:ascii="Arial" w:cs="Arial" w:eastAsia="Arial" w:hAnsi="Arial"/>
          <w:sz w:val="20"/>
          <w:szCs w:val="20"/>
          <w:color w:val="auto"/>
        </w:rPr>
        <w:t>SAN DIEGO – Exagen Inc. (Nasdaq: XGN), a leading provider of autoimmune testing solutions, today announced the pricing of an underwritten public offering of 3,700,000 shares of its common stock at a price to the public of $16.25 per share. All of the shares to be sold in the offering are to be sold by Exagen. The gross proceeds to Exagen from the offering, before deducting the underwriting discounts and commissions and other offering expenses, are expected to be $60.1 million. In addition, Exagen has granted the underwriters a 30-day option to purchase up to an additional 555,000 shares of common stock. The offering is expected to close on or about March 25, 2021, subject to the satisfaction of customary closing conditions.</w:t>
      </w:r>
    </w:p>
    <w:p>
      <w:pPr>
        <w:spacing w:after="0" w:line="128" w:lineRule="exact"/>
        <w:rPr>
          <w:sz w:val="20"/>
          <w:szCs w:val="20"/>
          <w:color w:val="auto"/>
        </w:rPr>
      </w:pPr>
    </w:p>
    <w:p>
      <w:pPr>
        <w:ind w:right="60"/>
        <w:spacing w:after="0" w:line="316" w:lineRule="auto"/>
        <w:rPr>
          <w:sz w:val="20"/>
          <w:szCs w:val="20"/>
          <w:color w:val="auto"/>
        </w:rPr>
      </w:pPr>
      <w:r>
        <w:rPr>
          <w:rFonts w:ascii="Arial" w:cs="Arial" w:eastAsia="Arial" w:hAnsi="Arial"/>
          <w:sz w:val="19"/>
          <w:szCs w:val="19"/>
          <w:color w:val="auto"/>
        </w:rPr>
        <w:t>Exagen intends to use the net proceeds from the proposed offering for the development of Multi-omics capabilities, including build out of its clinical laboratory, advancement of its product pipeline, including to support development of tests for fibromyalgia, RA, thrombosis and lupus nephritis, enhancement of intellectual property protection for its technologies, and for working capital and other general corporate purposes. Exagen may also use a portion of the net proceeds to in-license, acquire, or invest in complementary businesses, technologies, products or assets; however, it has no current commitments or obligations to do so.</w:t>
      </w:r>
    </w:p>
    <w:p>
      <w:pPr>
        <w:spacing w:after="0" w:line="128" w:lineRule="exact"/>
        <w:rPr>
          <w:sz w:val="20"/>
          <w:szCs w:val="20"/>
          <w:color w:val="auto"/>
        </w:rPr>
      </w:pPr>
    </w:p>
    <w:p>
      <w:pPr>
        <w:ind w:right="100"/>
        <w:spacing w:after="0" w:line="303" w:lineRule="auto"/>
        <w:rPr>
          <w:sz w:val="20"/>
          <w:szCs w:val="20"/>
          <w:color w:val="auto"/>
        </w:rPr>
      </w:pPr>
      <w:r>
        <w:rPr>
          <w:rFonts w:ascii="Arial" w:cs="Arial" w:eastAsia="Arial" w:hAnsi="Arial"/>
          <w:sz w:val="20"/>
          <w:szCs w:val="20"/>
          <w:color w:val="auto"/>
        </w:rPr>
        <w:t>Cowen, William Blair and Cantor are acting as joint bookrunning managers for the offering. Canaccord Genuity is also acting as bookrunning manager for the offering. BTIG is acting as lead manager for the offering.</w:t>
      </w:r>
    </w:p>
    <w:p>
      <w:pPr>
        <w:spacing w:after="0" w:line="135" w:lineRule="exact"/>
        <w:rPr>
          <w:sz w:val="20"/>
          <w:szCs w:val="20"/>
          <w:color w:val="auto"/>
        </w:rPr>
      </w:pPr>
    </w:p>
    <w:p>
      <w:pPr>
        <w:ind w:right="20"/>
        <w:spacing w:after="0" w:line="314" w:lineRule="auto"/>
        <w:rPr>
          <w:sz w:val="20"/>
          <w:szCs w:val="20"/>
          <w:color w:val="auto"/>
        </w:rPr>
      </w:pPr>
      <w:r>
        <w:rPr>
          <w:rFonts w:ascii="Arial" w:cs="Arial" w:eastAsia="Arial" w:hAnsi="Arial"/>
          <w:sz w:val="19"/>
          <w:szCs w:val="19"/>
          <w:color w:val="auto"/>
        </w:rPr>
        <w:t>The securities described above are being offered by Exagen pursuant to a shelf registration statement previously filed and declared effective by the Securities and Exchange Commission (SEC). A preliminary prospectus supplement and accompanying prospectus relating to this offering were filed with the SEC and a final prospectus supplement relating to the offering will be filed with the SEC. The offering may be made only by means of a prospectus supplement and accompanying prospectus. When available, copies of the final prospectus supplement and the accompanying prospectus relating to this offering may be obtained from: Cowen and Company, LLC c/o Broadridge Financial Solutions, 1155 Long Island Avenue, Edgewood, NY 11717, Attn: Prospectus Department, by email at PostSaleManualRequests@broadridge.com or by telephone at (833) 297-2926; or from William Blair &amp; Company, L.L.C., Attention: Prospectus Department, 150 North Riverside Plaza, Chicago, IL 60606,</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 w:lineRule="exact"/>
        <w:rPr>
          <w:sz w:val="20"/>
          <w:szCs w:val="20"/>
          <w:color w:val="auto"/>
        </w:rPr>
      </w:pPr>
    </w:p>
    <w:p>
      <w:pPr>
        <w:ind w:right="620"/>
        <w:spacing w:after="0" w:line="298" w:lineRule="auto"/>
        <w:rPr>
          <w:sz w:val="20"/>
          <w:szCs w:val="20"/>
          <w:color w:val="auto"/>
        </w:rPr>
      </w:pPr>
      <w:r>
        <w:rPr>
          <w:rFonts w:ascii="Arial" w:cs="Arial" w:eastAsia="Arial" w:hAnsi="Arial"/>
          <w:sz w:val="20"/>
          <w:szCs w:val="20"/>
          <w:color w:val="auto"/>
        </w:rPr>
        <w:t>telephone: 1-800-621-0687, or by email: prospectus@williamblair.com; or from Cantor Fitzgerald &amp; Co., Attention: Capital Markets, 499 Park Avenue, 6th Floor, New York, New York 10022, by telephone at 212-829-7122 or by email at prospectus@cantor.com. Electronic copies of the final prospectus supplement and accompanying prospectus will also be available on the website of the SEC at http://www.sec.gov.</w:t>
      </w:r>
    </w:p>
    <w:p>
      <w:pPr>
        <w:spacing w:after="0" w:line="140" w:lineRule="exact"/>
        <w:rPr>
          <w:sz w:val="20"/>
          <w:szCs w:val="20"/>
          <w:color w:val="auto"/>
        </w:rPr>
      </w:pPr>
    </w:p>
    <w:p>
      <w:pPr>
        <w:jc w:val="both"/>
        <w:ind w:right="380"/>
        <w:spacing w:after="0" w:line="299" w:lineRule="auto"/>
        <w:rPr>
          <w:sz w:val="20"/>
          <w:szCs w:val="20"/>
          <w:color w:val="auto"/>
        </w:rPr>
      </w:pPr>
      <w:r>
        <w:rPr>
          <w:rFonts w:ascii="Arial" w:cs="Arial" w:eastAsia="Arial" w:hAnsi="Arial"/>
          <w:sz w:val="20"/>
          <w:szCs w:val="20"/>
          <w:color w:val="auto"/>
        </w:rPr>
        <w:t>This press release shall not constitute an offer to sell or the solicitation of an offer to buy, nor shall there be any sale of these securities in any jurisdiction in which such offer, solicitation or sale would be unlawful prior to the registration or qualification under the securities laws of any such jurisdiction.</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26" w:lineRule="exact"/>
        <w:rPr>
          <w:sz w:val="20"/>
          <w:szCs w:val="20"/>
          <w:color w:val="auto"/>
        </w:rPr>
      </w:pPr>
    </w:p>
    <w:p>
      <w:pPr>
        <w:ind w:right="40"/>
        <w:spacing w:after="0" w:line="297"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13"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Exagen’s expectations of market conditions and the satisfaction of customary closing conditions related to the public offering, the expected closing of the offering and the anticipated use of proceeds therefrom. The inclusion of forward-looking statements should not be regarded as a representation by Exagen that any of its plans will be achieved. Actual results may differ from those set forth in this press release due to the risks and uncertainties associated with market conditions and the satisfaction of customary closing conditions related to the proposed public offering, as well as risks and uncertainties inherent in Exagen’s business, including those described in the company’s prior press releases and the Company’s filings with the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Mike Cavanaugh</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646.677.1838</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Kamal Adawi, Chief Financial Officer</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lvl w:ilvl="1">
      <w:lvlJc w:val="left"/>
      <w:lvlText w:val="(%2)"/>
      <w:numFmt w:val="lowerLetter"/>
      <w:start w:val="9"/>
    </w:lvl>
  </w:abstractNum>
  <w:abstractNum w:abstractNumId="2">
    <w:nsid w:val="436C6125"/>
    <w:multiLevelType w:val="hybridMultilevel"/>
    <w:lvl w:ilvl="0">
      <w:lvlJc w:val="left"/>
      <w:lvlText w:val="(%1)"/>
      <w:numFmt w:val="lowerRoman"/>
      <w:start w:val="2"/>
    </w:lvl>
  </w:abstractNum>
  <w:abstractNum w:abstractNumId="3">
    <w:nsid w:val="628C895D"/>
    <w:multiLevelType w:val="hybridMultilevel"/>
    <w:lvl w:ilvl="0">
      <w:lvlJc w:val="left"/>
      <w:lvlText w:val="(%1)"/>
      <w:numFmt w:val="lowerRoman"/>
      <w:start w:val="3"/>
    </w:lvl>
  </w:abstractNum>
  <w:abstractNum w:abstractNumId="4">
    <w:nsid w:val="333AB105"/>
    <w:multiLevelType w:val="hybridMultilevel"/>
    <w:lvl w:ilvl="0">
      <w:lvlJc w:val="left"/>
      <w:lvlText w:val="%1"/>
      <w:numFmt w:val="upperLetter"/>
      <w:start w:val="1"/>
    </w:lvl>
    <w:lvl w:ilvl="1">
      <w:lvlJc w:val="left"/>
      <w:lvlText w:val="(%2)"/>
      <w:numFmt w:val="lowerRoman"/>
      <w:start w:val="7"/>
    </w:lvl>
  </w:abstractNum>
  <w:abstractNum w:abstractNumId="5">
    <w:nsid w:val="721DA317"/>
    <w:multiLevelType w:val="hybridMultilevel"/>
    <w:lvl w:ilvl="0">
      <w:lvlJc w:val="left"/>
      <w:lvlText w:val="(%1)"/>
      <w:numFmt w:val="upperLetter"/>
      <w:start w:val="3"/>
    </w:lvl>
    <w:lvl w:ilvl="1">
      <w:lvlJc w:val="left"/>
      <w:lvlText w:val="(%2)"/>
      <w:numFmt w:val="lowerRoman"/>
      <w:start w:val="10"/>
    </w:lvl>
  </w:abstractNum>
  <w:abstractNum w:abstractNumId="6">
    <w:nsid w:val="2443A858"/>
    <w:multiLevelType w:val="hybridMultilevel"/>
    <w:lvl w:ilvl="0">
      <w:lvlJc w:val="left"/>
      <w:lvlText w:val="(%1)"/>
      <w:numFmt w:val="lowerRoman"/>
      <w:start w:val="12"/>
    </w:lvl>
  </w:abstractNum>
  <w:abstractNum w:abstractNumId="7">
    <w:nsid w:val="2D1D5AE9"/>
    <w:multiLevelType w:val="hybridMultilevel"/>
    <w:lvl w:ilvl="0">
      <w:lvlJc w:val="left"/>
      <w:lvlText w:val="(%1)"/>
      <w:numFmt w:val="lowerRoman"/>
      <w:start w:val="17"/>
    </w:lvl>
  </w:abstractNum>
  <w:abstractNum w:abstractNumId="8">
    <w:nsid w:val="6763845E"/>
    <w:multiLevelType w:val="hybridMultilevel"/>
    <w:lvl w:ilvl="0">
      <w:lvlJc w:val="left"/>
      <w:lvlText w:val="(%1)"/>
      <w:numFmt w:val="lowerRoman"/>
      <w:start w:val="22"/>
    </w:lvl>
  </w:abstractNum>
  <w:abstractNum w:abstractNumId="9">
    <w:nsid w:val="75A2A8D4"/>
    <w:multiLevelType w:val="hybridMultilevel"/>
    <w:lvl w:ilvl="0">
      <w:lvlJc w:val="left"/>
      <w:lvlText w:val="(%1)"/>
      <w:numFmt w:val="lowerRoman"/>
      <w:start w:val="24"/>
    </w:lvl>
  </w:abstractNum>
  <w:abstractNum w:abstractNumId="10">
    <w:nsid w:val="8EDBDAB"/>
    <w:multiLevelType w:val="hybridMultilevel"/>
    <w:lvl w:ilvl="0">
      <w:lvlJc w:val="left"/>
      <w:lvlText w:val="(%1)"/>
      <w:numFmt w:val="lowerRoman"/>
      <w:start w:val="27"/>
    </w:lvl>
  </w:abstractNum>
  <w:abstractNum w:abstractNumId="11">
    <w:nsid w:val="79838CB2"/>
    <w:multiLevelType w:val="hybridMultilevel"/>
    <w:lvl w:ilvl="0">
      <w:lvlJc w:val="left"/>
      <w:lvlText w:val="%1"/>
      <w:numFmt w:val="lowerLetter"/>
      <w:start w:val="1"/>
    </w:lvl>
    <w:lvl w:ilvl="1">
      <w:lvlJc w:val="left"/>
      <w:lvlText w:val="(%2)"/>
      <w:numFmt w:val="lowerRoman"/>
      <w:start w:val="28"/>
    </w:lvl>
  </w:abstractNum>
  <w:abstractNum w:abstractNumId="12">
    <w:nsid w:val="4353D0CD"/>
    <w:multiLevelType w:val="hybridMultilevel"/>
    <w:lvl w:ilvl="0">
      <w:lvlJc w:val="left"/>
      <w:lvlText w:val="(%1)"/>
      <w:numFmt w:val="lowerLetter"/>
      <w:start w:val="25"/>
    </w:lvl>
    <w:lvl w:ilvl="1">
      <w:lvlJc w:val="left"/>
      <w:lvlText w:val="(%2)"/>
      <w:numFmt w:val="lowerRoman"/>
      <w:start w:val="29"/>
    </w:lvl>
  </w:abstractNum>
  <w:abstractNum w:abstractNumId="13">
    <w:nsid w:val="B03E0C6"/>
    <w:multiLevelType w:val="hybridMultilevel"/>
    <w:lvl w:ilvl="0">
      <w:lvlJc w:val="left"/>
      <w:lvlText w:val="(%1)"/>
      <w:numFmt w:val="lowerRoman"/>
      <w:start w:val="33"/>
    </w:lvl>
  </w:abstractNum>
  <w:abstractNum w:abstractNumId="14">
    <w:nsid w:val="189A769B"/>
    <w:multiLevelType w:val="hybridMultilevel"/>
    <w:lvl w:ilvl="0">
      <w:lvlJc w:val="left"/>
      <w:lvlText w:val="(%1)"/>
      <w:numFmt w:val="lowerRoman"/>
      <w:start w:val="38"/>
    </w:lvl>
  </w:abstractNum>
  <w:abstractNum w:abstractNumId="15">
    <w:nsid w:val="54E49EB4"/>
    <w:multiLevelType w:val="hybridMultilevel"/>
    <w:lvl w:ilvl="0">
      <w:lvlJc w:val="left"/>
      <w:lvlText w:val="(%1)"/>
      <w:numFmt w:val="lowerLetter"/>
      <w:start w:val="2"/>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2"/>
    </w:lvl>
  </w:abstractNum>
  <w:abstractNum w:abstractNumId="19">
    <w:nsid w:val="2901D82"/>
    <w:multiLevelType w:val="hybridMultilevel"/>
    <w:lvl w:ilvl="0">
      <w:lvlJc w:val="left"/>
      <w:lvlText w:val="(%1)"/>
      <w:numFmt w:val="lowerLetter"/>
      <w:start w:val="61"/>
    </w:lvl>
    <w:lvl w:ilvl="1">
      <w:lvlJc w:val="left"/>
      <w:lvlText w:val="(%2)"/>
      <w:numFmt w:val="lowerLetter"/>
      <w:start w:val="9"/>
    </w:lvl>
  </w:abstractNum>
  <w:abstractNum w:abstractNumId="20">
    <w:nsid w:val="3A95F874"/>
    <w:multiLevelType w:val="hybridMultilevel"/>
    <w:lvl w:ilvl="0">
      <w:lvlJc w:val="left"/>
      <w:lvlText w:val="(%1)"/>
      <w:numFmt w:val="lowerLetter"/>
      <w:start w:val="12"/>
    </w:lvl>
  </w:abstractNum>
  <w:abstractNum w:abstractNumId="21">
    <w:nsid w:val="8138641"/>
    <w:multiLevelType w:val="hybridMultilevel"/>
    <w:lvl w:ilvl="0">
      <w:lvlJc w:val="left"/>
      <w:lvlText w:val="%1"/>
      <w:numFmt w:val="lowerLetter"/>
      <w:start w:val="1"/>
    </w:lvl>
    <w:lvl w:ilvl="1">
      <w:lvlJc w:val="left"/>
      <w:lvlText w:val="(%2)"/>
      <w:numFmt w:val="lowerLetter"/>
      <w:start w:val="1"/>
    </w:lvl>
  </w:abstractNum>
  <w:abstractNum w:abstractNumId="22">
    <w:nsid w:val="1E7FF521"/>
    <w:multiLevelType w:val="hybridMultilevel"/>
    <w:lvl w:ilvl="0">
      <w:lvlJc w:val="left"/>
      <w:lvlText w:val="(%1)"/>
      <w:numFmt w:val="lowerLetter"/>
      <w:start w:val="24"/>
    </w:lvl>
    <w:lvl w:ilvl="1">
      <w:lvlJc w:val="left"/>
      <w:lvlText w:val="(%2)"/>
      <w:numFmt w:val="lowerLetter"/>
      <w:start w:val="2"/>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5"/>
    </w:lvl>
    <w:lvl w:ilvl="1">
      <w:lvlJc w:val="left"/>
      <w:lvlText w:val="(%2)"/>
      <w:numFmt w:val="lowerRoman"/>
      <w:start w:val="1"/>
    </w:lvl>
  </w:abstractNum>
  <w:abstractNum w:abstractNumId="25">
    <w:nsid w:val="6CEAF087"/>
    <w:multiLevelType w:val="hybridMultilevel"/>
    <w:lvl w:ilvl="0">
      <w:lvlJc w:val="left"/>
      <w:lvlText w:val="%1"/>
      <w:numFmt w:val="lowerLetter"/>
      <w:start w:val="1"/>
    </w:lvl>
    <w:lvl w:ilvl="1">
      <w:lvlJc w:val="left"/>
      <w:lvlText w:val="(%2)"/>
      <w:numFmt w:val="lowerRoman"/>
      <w:start w:val="4"/>
    </w:lvl>
  </w:abstractNum>
  <w:abstractNum w:abstractNumId="26">
    <w:nsid w:val="22221A70"/>
    <w:multiLevelType w:val="hybridMultilevel"/>
    <w:lvl w:ilvl="0">
      <w:lvlJc w:val="left"/>
      <w:lvlText w:val="(%1)"/>
      <w:numFmt w:val="lowerLetter"/>
      <w:start w:val="10"/>
    </w:lvl>
    <w:lvl w:ilvl="1">
      <w:lvlJc w:val="left"/>
      <w:lvlText w:val="%2"/>
      <w:numFmt w:val="lowerRoman"/>
      <w:start w:val="1"/>
    </w:lvl>
  </w:abstractNum>
  <w:abstractNum w:abstractNumId="27">
    <w:nsid w:val="4516DDE9"/>
    <w:multiLevelType w:val="hybridMultilevel"/>
    <w:lvl w:ilvl="0">
      <w:lvlJc w:val="left"/>
      <w:lvlText w:val="(%1)"/>
      <w:numFmt w:val="lowerLetter"/>
      <w:start w:val="1"/>
    </w:lvl>
    <w:lvl w:ilvl="1">
      <w:lvlJc w:val="left"/>
      <w:lvlText w:val="(%2)"/>
      <w:numFmt w:val="lowerLetter"/>
      <w:start w:val="9"/>
    </w:lvl>
  </w:abstractNum>
  <w:abstractNum w:abstractNumId="28">
    <w:nsid w:val="3006C83E"/>
    <w:multiLevelType w:val="hybridMultilevel"/>
    <w:lvl w:ilvl="0">
      <w:lvlJc w:val="left"/>
      <w:lvlText w:val="%1"/>
      <w:numFmt w:val="lowerRoman"/>
      <w:start w:val="1"/>
    </w:lvl>
    <w:lvl w:ilvl="1">
      <w:lvlJc w:val="left"/>
      <w:lvlText w:val="(%2)"/>
      <w:numFmt w:val="lowerRoman"/>
      <w:start w:val="2"/>
    </w:lvl>
  </w:abstractNum>
  <w:abstractNum w:abstractNumId="29">
    <w:nsid w:val="614FD4A1"/>
    <w:multiLevelType w:val="hybridMultilevel"/>
    <w:lvl w:ilvl="0">
      <w:lvlJc w:val="left"/>
      <w:lvlText w:val="(%1)"/>
      <w:numFmt w:val="lowerRoman"/>
      <w:start w:val="2"/>
    </w:lvl>
    <w:lvl w:ilvl="1">
      <w:lvlJc w:val="left"/>
      <w:lvlText w:val="%2"/>
      <w:numFmt w:val="lowerRoman"/>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4"/>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lowerRoman"/>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2021-03-25T17:07:29Z</dcterms:created>
  <dcterms:modified xsi:type="dcterms:W3CDTF">2021-03-25T17:07:29Z</dcterms:modified>
</cp:coreProperties>
</file>