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54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545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120"/>
        <w:spacing w:after="0" w:line="250" w:lineRule="auto"/>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TULLIS DICKERSON CAPITAL</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FOCUS III, L.P.</w:t>
        </w:r>
      </w:hyperlink>
    </w:p>
    <w:p>
      <w:pPr>
        <w:spacing w:after="0" w:line="29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11770 US HIGHWAY ONE, SUITE 503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0"/>
          <w:szCs w:val="20"/>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EXAGEN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XGN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0000FF"/>
        </w:rPr>
        <w:t>03/20/2020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00" w:lineRule="exact"/>
        <w:rPr>
          <w:sz w:val="20"/>
          <w:szCs w:val="20"/>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vMerge w:val="restart"/>
          </w:tcPr>
          <w:p>
            <w:pPr>
              <w:spacing w:after="0"/>
              <w:rPr>
                <w:sz w:val="7"/>
                <w:szCs w:val="7"/>
                <w:color w:val="auto"/>
              </w:rPr>
            </w:pPr>
          </w:p>
        </w:tc>
        <w:tc>
          <w:tcPr>
            <w:tcW w:w="356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3"/>
            <w:vMerge w:val="restart"/>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vMerge w:val="continue"/>
          </w:tcPr>
          <w:p>
            <w:pPr>
              <w:spacing w:after="0"/>
              <w:rPr>
                <w:sz w:val="3"/>
                <w:szCs w:val="3"/>
                <w:color w:val="auto"/>
              </w:rPr>
            </w:pPr>
          </w:p>
        </w:tc>
        <w:tc>
          <w:tcPr>
            <w:tcW w:w="3560" w:type="dxa"/>
            <w:vAlign w:val="bottom"/>
            <w:gridSpan w:val="8"/>
            <w:vMerge w:val="continue"/>
          </w:tcPr>
          <w:p>
            <w:pPr>
              <w:spacing w:after="0"/>
              <w:rPr>
                <w:sz w:val="3"/>
                <w:szCs w:val="3"/>
                <w:color w:val="auto"/>
              </w:rPr>
            </w:pPr>
          </w:p>
        </w:tc>
        <w:tc>
          <w:tcPr>
            <w:tcW w:w="3740" w:type="dxa"/>
            <w:vAlign w:val="bottom"/>
            <w:gridSpan w:val="1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4"/>
          </w:tcPr>
          <w:p>
            <w:pPr>
              <w:ind w:left="40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vMerge w:val="restart"/>
          </w:tcPr>
          <w:p>
            <w:pPr>
              <w:spacing w:after="0" w:line="293" w:lineRule="exact"/>
              <w:rPr>
                <w:sz w:val="20"/>
                <w:szCs w:val="20"/>
                <w:color w:val="auto"/>
              </w:rPr>
            </w:pPr>
            <w:r>
              <w:rPr>
                <w:rFonts w:ascii="Arial" w:cs="Arial" w:eastAsia="Arial" w:hAnsi="Arial"/>
                <w:sz w:val="17"/>
                <w:szCs w:val="17"/>
                <w:color w:val="0000FF"/>
                <w:w w:val="99"/>
              </w:rPr>
              <w:t xml:space="preserve">PALM BEACH  </w:t>
            </w:r>
            <w:r>
              <w:rPr>
                <w:rFonts w:ascii="Arial" w:cs="Arial" w:eastAsia="Arial" w:hAnsi="Arial"/>
                <w:sz w:val="33"/>
                <w:szCs w:val="33"/>
                <w:color w:val="0000FF"/>
                <w:w w:val="99"/>
                <w:vertAlign w:val="subscript"/>
              </w:rPr>
              <w:t>FL</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33408</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3000" w:type="dxa"/>
            <w:vAlign w:val="bottom"/>
            <w:gridSpan w:val="9"/>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Arial" w:cs="Arial" w:eastAsia="Arial" w:hAnsi="Arial"/>
                <w:sz w:val="17"/>
                <w:szCs w:val="17"/>
                <w:color w:val="0000FF"/>
              </w:rPr>
              <w:t>GARDENS</w:t>
            </w: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vMerge w:val="continue"/>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6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17"/>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1760" w:type="dxa"/>
            <w:vAlign w:val="bottom"/>
            <w:gridSpan w:val="3"/>
            <w:vMerge w:val="restart"/>
          </w:tcPr>
          <w:p>
            <w:pPr>
              <w:ind w:left="800"/>
              <w:spacing w:after="0"/>
              <w:rPr>
                <w:sz w:val="20"/>
                <w:szCs w:val="20"/>
                <w:color w:val="auto"/>
              </w:rPr>
            </w:pPr>
            <w:r>
              <w:rPr>
                <w:rFonts w:ascii="Arial" w:cs="Arial" w:eastAsia="Arial" w:hAnsi="Arial"/>
                <w:sz w:val="17"/>
                <w:szCs w:val="17"/>
                <w:color w:val="0000FF"/>
              </w:rPr>
              <w:t>03/20/2020</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800" w:type="dxa"/>
            <w:vAlign w:val="bottom"/>
            <w:vMerge w:val="restart"/>
          </w:tcPr>
          <w:p>
            <w:pPr>
              <w:ind w:left="60"/>
              <w:spacing w:after="0"/>
              <w:rPr>
                <w:sz w:val="20"/>
                <w:szCs w:val="20"/>
                <w:color w:val="auto"/>
              </w:rPr>
            </w:pPr>
            <w:r>
              <w:rPr>
                <w:rFonts w:ascii="Arial" w:cs="Arial" w:eastAsia="Arial" w:hAnsi="Arial"/>
                <w:sz w:val="17"/>
                <w:szCs w:val="17"/>
                <w:color w:val="0000FF"/>
                <w:w w:val="90"/>
              </w:rPr>
              <w:t>164,420</w:t>
            </w:r>
            <w:r>
              <w:rPr>
                <w:rFonts w:ascii="Arial" w:cs="Arial" w:eastAsia="Arial" w:hAnsi="Arial"/>
                <w:sz w:val="22"/>
                <w:szCs w:val="22"/>
                <w:color w:val="008000"/>
                <w:w w:val="90"/>
                <w:vertAlign w:val="superscript"/>
              </w:rPr>
              <w:t>(1)</w:t>
            </w:r>
          </w:p>
        </w:tc>
        <w:tc>
          <w:tcPr>
            <w:tcW w:w="440" w:type="dxa"/>
            <w:vAlign w:val="bottom"/>
            <w:vMerge w:val="restart"/>
          </w:tcPr>
          <w:p>
            <w:pPr>
              <w:ind w:left="220"/>
              <w:spacing w:after="0"/>
              <w:rPr>
                <w:sz w:val="20"/>
                <w:szCs w:val="20"/>
                <w:color w:val="auto"/>
              </w:rPr>
            </w:pPr>
            <w:r>
              <w:rPr>
                <w:rFonts w:ascii="Arial" w:cs="Arial" w:eastAsia="Arial" w:hAnsi="Arial"/>
                <w:sz w:val="17"/>
                <w:szCs w:val="17"/>
                <w:color w:val="0000FF"/>
              </w:rPr>
              <w:t>D</w:t>
            </w:r>
          </w:p>
        </w:tc>
        <w:tc>
          <w:tcPr>
            <w:tcW w:w="720" w:type="dxa"/>
            <w:vAlign w:val="bottom"/>
            <w:gridSpan w:val="3"/>
            <w:vMerge w:val="restart"/>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1,625,165</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84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3"/>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400" w:type="dxa"/>
            <w:vAlign w:val="bottom"/>
            <w:tcBorders>
              <w:top w:val="single" w:sz="8" w:color="808080"/>
            </w:tcBorders>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-3070860</wp:posOffset>
            </wp:positionV>
            <wp:extent cx="7031355" cy="73952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739521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TULLIS DICKERSON CAPITAL FOCUS III,</w:t>
        </w:r>
      </w:hyperlink>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93980</wp:posOffset>
            </wp:positionV>
            <wp:extent cx="26485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Arial" w:cs="Arial" w:eastAsia="Arial" w:hAnsi="Arial"/>
                <w:sz w:val="17"/>
                <w:szCs w:val="17"/>
                <w:color w:val="0000FF"/>
              </w:rPr>
              <w:t>11770 US HIGHWAY ONE, SUITE 503</w:t>
            </w: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PALM BEACH</w:t>
            </w:r>
          </w:p>
        </w:tc>
        <w:tc>
          <w:tcPr>
            <w:tcW w:w="14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FL</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33408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vMerge w:val="restart"/>
          </w:tcPr>
          <w:p>
            <w:pPr>
              <w:spacing w:after="0"/>
              <w:rPr>
                <w:sz w:val="20"/>
                <w:szCs w:val="20"/>
                <w:color w:val="auto"/>
              </w:rPr>
            </w:pPr>
            <w:r>
              <w:rPr>
                <w:rFonts w:ascii="Arial" w:cs="Arial" w:eastAsia="Arial" w:hAnsi="Arial"/>
                <w:sz w:val="17"/>
                <w:szCs w:val="17"/>
                <w:color w:val="0000FF"/>
              </w:rPr>
              <w:t>GARDENS</w:t>
            </w:r>
          </w:p>
        </w:tc>
        <w:tc>
          <w:tcPr>
            <w:tcW w:w="1400" w:type="dxa"/>
            <w:vAlign w:val="bottom"/>
            <w:gridSpan w:val="2"/>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Tullis Growth Fund,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Arial" w:cs="Arial" w:eastAsia="Arial" w:hAnsi="Arial"/>
                <w:sz w:val="17"/>
                <w:szCs w:val="17"/>
                <w:color w:val="0000FF"/>
              </w:rPr>
              <w:t>11770 US HIGHWAY ONE, SUITE 503</w:t>
            </w: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PALM BEACH</w:t>
            </w:r>
          </w:p>
        </w:tc>
        <w:tc>
          <w:tcPr>
            <w:tcW w:w="14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FL</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33408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vMerge w:val="restart"/>
          </w:tcPr>
          <w:p>
            <w:pPr>
              <w:spacing w:after="0"/>
              <w:rPr>
                <w:sz w:val="20"/>
                <w:szCs w:val="20"/>
                <w:color w:val="auto"/>
              </w:rPr>
            </w:pPr>
            <w:r>
              <w:rPr>
                <w:rFonts w:ascii="Arial" w:cs="Arial" w:eastAsia="Arial" w:hAnsi="Arial"/>
                <w:sz w:val="17"/>
                <w:szCs w:val="17"/>
                <w:color w:val="0000FF"/>
              </w:rPr>
              <w:t>GARDENS</w:t>
            </w:r>
          </w:p>
        </w:tc>
        <w:tc>
          <w:tcPr>
            <w:tcW w:w="1400" w:type="dxa"/>
            <w:vAlign w:val="bottom"/>
            <w:gridSpan w:val="2"/>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-2554605</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71755</wp:posOffset>
            </wp:positionH>
            <wp:positionV relativeFrom="paragraph">
              <wp:posOffset>-2563495</wp:posOffset>
            </wp:positionV>
            <wp:extent cx="82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-1987550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71755</wp:posOffset>
            </wp:positionH>
            <wp:positionV relativeFrom="paragraph">
              <wp:posOffset>-1996440</wp:posOffset>
            </wp:positionV>
            <wp:extent cx="82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-1725295</wp:posOffset>
            </wp:positionV>
            <wp:extent cx="2766695" cy="23945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2766695" cy="2394585"/>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20"/>
          <w:szCs w:val="20"/>
          <w:u w:val="single" w:color="auto"/>
          <w:color w:val="0000EE"/>
        </w:rPr>
      </w:pPr>
      <w:hyperlink r:id="rId23">
        <w:r>
          <w:rPr>
            <w:rFonts w:ascii="Arial" w:cs="Arial" w:eastAsia="Arial" w:hAnsi="Arial"/>
            <w:sz w:val="20"/>
            <w:szCs w:val="20"/>
            <w:u w:val="single" w:color="auto"/>
            <w:color w:val="0000EE"/>
          </w:rPr>
          <w:t>TULLIS GROWTH FUND II, L.P.</w:t>
        </w:r>
      </w:hyperlink>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1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11770 US HIGHWAY ONE, SUITE 503</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PALM BEACH</w:t>
            </w:r>
          </w:p>
        </w:tc>
        <w:tc>
          <w:tcPr>
            <w:tcW w:w="1040" w:type="dxa"/>
            <w:vAlign w:val="bottom"/>
            <w:vMerge w:val="restart"/>
          </w:tcPr>
          <w:p>
            <w:pPr>
              <w:ind w:left="140"/>
              <w:spacing w:after="0"/>
              <w:rPr>
                <w:sz w:val="20"/>
                <w:szCs w:val="20"/>
                <w:color w:val="auto"/>
              </w:rPr>
            </w:pPr>
            <w:r>
              <w:rPr>
                <w:rFonts w:ascii="Arial" w:cs="Arial" w:eastAsia="Arial" w:hAnsi="Arial"/>
                <w:sz w:val="17"/>
                <w:szCs w:val="17"/>
                <w:color w:val="0000FF"/>
              </w:rPr>
              <w:t>FL</w:t>
            </w:r>
          </w:p>
        </w:tc>
        <w:tc>
          <w:tcPr>
            <w:tcW w:w="1860" w:type="dxa"/>
            <w:vAlign w:val="bottom"/>
            <w:vMerge w:val="restart"/>
          </w:tcPr>
          <w:p>
            <w:pPr>
              <w:ind w:left="500"/>
              <w:spacing w:after="0"/>
              <w:rPr>
                <w:sz w:val="20"/>
                <w:szCs w:val="20"/>
                <w:color w:val="auto"/>
              </w:rPr>
            </w:pPr>
            <w:r>
              <w:rPr>
                <w:rFonts w:ascii="Arial" w:cs="Arial" w:eastAsia="Arial" w:hAnsi="Arial"/>
                <w:sz w:val="17"/>
                <w:szCs w:val="17"/>
                <w:color w:val="0000FF"/>
              </w:rPr>
              <w:t>33408</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260" w:type="dxa"/>
            <w:vAlign w:val="bottom"/>
            <w:vMerge w:val="restart"/>
          </w:tcPr>
          <w:p>
            <w:pPr>
              <w:spacing w:after="0"/>
              <w:rPr>
                <w:sz w:val="20"/>
                <w:szCs w:val="20"/>
                <w:color w:val="auto"/>
              </w:rPr>
            </w:pPr>
            <w:r>
              <w:rPr>
                <w:rFonts w:ascii="Arial" w:cs="Arial" w:eastAsia="Arial" w:hAnsi="Arial"/>
                <w:sz w:val="17"/>
                <w:szCs w:val="17"/>
                <w:color w:val="0000FF"/>
              </w:rPr>
              <w:t>GARDENS</w:t>
            </w:r>
          </w:p>
        </w:tc>
        <w:tc>
          <w:tcPr>
            <w:tcW w:w="104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30378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2783840" cy="30378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25">
        <w:r>
          <w:rPr>
            <w:rFonts w:ascii="Arial" w:cs="Arial" w:eastAsia="Arial" w:hAnsi="Arial"/>
            <w:sz w:val="21"/>
            <w:szCs w:val="21"/>
            <w:u w:val="single" w:color="auto"/>
            <w:color w:val="0000EE"/>
          </w:rPr>
          <w:t>TULLIS DICKERSON PARTNERS III, L.L.C.</w:t>
        </w:r>
      </w:hyperlink>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1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11770 US HIGHWAY ONE, SUITE 503</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PALM BEACH</w:t>
            </w:r>
          </w:p>
        </w:tc>
        <w:tc>
          <w:tcPr>
            <w:tcW w:w="1040" w:type="dxa"/>
            <w:vAlign w:val="bottom"/>
            <w:vMerge w:val="restart"/>
          </w:tcPr>
          <w:p>
            <w:pPr>
              <w:ind w:left="140"/>
              <w:spacing w:after="0"/>
              <w:rPr>
                <w:sz w:val="20"/>
                <w:szCs w:val="20"/>
                <w:color w:val="auto"/>
              </w:rPr>
            </w:pPr>
            <w:r>
              <w:rPr>
                <w:rFonts w:ascii="Arial" w:cs="Arial" w:eastAsia="Arial" w:hAnsi="Arial"/>
                <w:sz w:val="17"/>
                <w:szCs w:val="17"/>
                <w:color w:val="0000FF"/>
              </w:rPr>
              <w:t>FL</w:t>
            </w:r>
          </w:p>
        </w:tc>
        <w:tc>
          <w:tcPr>
            <w:tcW w:w="1860" w:type="dxa"/>
            <w:vAlign w:val="bottom"/>
            <w:vMerge w:val="restart"/>
          </w:tcPr>
          <w:p>
            <w:pPr>
              <w:ind w:left="500"/>
              <w:spacing w:after="0"/>
              <w:rPr>
                <w:sz w:val="20"/>
                <w:szCs w:val="20"/>
                <w:color w:val="auto"/>
              </w:rPr>
            </w:pPr>
            <w:r>
              <w:rPr>
                <w:rFonts w:ascii="Arial" w:cs="Arial" w:eastAsia="Arial" w:hAnsi="Arial"/>
                <w:sz w:val="17"/>
                <w:szCs w:val="17"/>
                <w:color w:val="0000FF"/>
              </w:rPr>
              <w:t>33408</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260" w:type="dxa"/>
            <w:vAlign w:val="bottom"/>
            <w:vMerge w:val="restart"/>
          </w:tcPr>
          <w:p>
            <w:pPr>
              <w:spacing w:after="0"/>
              <w:rPr>
                <w:sz w:val="20"/>
                <w:szCs w:val="20"/>
                <w:color w:val="auto"/>
              </w:rPr>
            </w:pPr>
            <w:r>
              <w:rPr>
                <w:rFonts w:ascii="Arial" w:cs="Arial" w:eastAsia="Arial" w:hAnsi="Arial"/>
                <w:sz w:val="17"/>
                <w:szCs w:val="17"/>
                <w:color w:val="0000FF"/>
              </w:rPr>
              <w:t>GARDENS</w:t>
            </w:r>
          </w:p>
        </w:tc>
        <w:tc>
          <w:tcPr>
            <w:tcW w:w="104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66"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Tullis and Tullis Growth, respectively, (as each is defined in Footnote (2) below) distributed in the aggregate 164,420 shares of Common Stock of Exagen Inc. to their respective non-affiliate limited partners on a pro rata basis, for no consideration.</w:t>
      </w:r>
    </w:p>
    <w:p>
      <w:pPr>
        <w:spacing w:after="0" w:line="15" w:lineRule="exact"/>
        <w:rPr>
          <w:rFonts w:ascii="Arial" w:cs="Arial" w:eastAsia="Arial" w:hAnsi="Arial"/>
          <w:sz w:val="13"/>
          <w:szCs w:val="13"/>
          <w:color w:val="008000"/>
        </w:rPr>
      </w:pPr>
    </w:p>
    <w:p>
      <w:pPr>
        <w:ind w:right="20" w:firstLine="7"/>
        <w:spacing w:after="0" w:line="243"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reported on this form are held of record by Tullis-Dickerson Capital Focus III, L.P. ("Tullis"), Tullis Growth Fund, L.P. ("Tullis Growth") and Tullis Growth Fund II, L.P. ("Tullis Growth II"). Tullis-Dickerson Partners III, LLC ("Tullis Partners") is the general partner of Tullis and may be deemed to beneficially own the securities held by Tullis. Tullis Growth Partners, LLC and Tullis Growth Partners II, LLC are the general partners of Tullis Growth and Tullis Growth II, respectively, and may be deemed to beneficially own the securities held by Tullis Growth and Tullis Growth II. James L.L. Tullis is a Principal of each of the foregoing entities and may be deemed to possess voting and investment control over, and may be deemed to have an indirect beneficial ownership with respect to, the shares held by Tullis, Tullis Growth and Tullis Growth II.</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680"/>
          </w:cols>
          <w:pgMar w:left="500" w:top="140" w:right="719" w:bottom="1440" w:gutter="0" w:footer="0" w:header="0"/>
        </w:sectPr>
      </w:pPr>
    </w:p>
    <w:p>
      <w:pPr>
        <w:spacing w:after="0" w:line="148"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Tullis-Dickerson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64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0864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Focus III, L.P., By: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69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Dickerson Partners,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442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general partner, /s/ James L.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576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Tullis, Name: James 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44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Tullis, 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07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9607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Tullis Growth Fund,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100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Tullis-Growth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07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L.L.C., its general partner,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41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James L. L. Tullis,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17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417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James L.L. Tullis,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53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90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Tullis Growth Fund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242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22428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Tullis-Growth Partners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277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its general partner,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41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James L. L. Tullis,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17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1417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James L.L. Tullis,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53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90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Tullis-Dickerson Partners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941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James L. 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79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Name: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44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527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6527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color w:val="0000FF"/>
        </w:rPr>
        <w:t>03/24/2020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03/24/2020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03/24/2020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03/24/2020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680" w:space="60"/>
            <w:col w:w="1940"/>
          </w:cols>
          <w:pgMar w:left="500" w:top="140" w:right="7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9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80"/>
      </w:cols>
      <w:pgMar w:left="500" w:top="140" w:right="7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4"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13" Type="http://schemas.openxmlformats.org/officeDocument/2006/relationships/hyperlink" Target="http://www.sec.gov/cgi-bin/browse-edgar?action=getcompany&amp;CIK=0001144359" TargetMode="External"/><Relationship Id="rId14" Type="http://schemas.openxmlformats.org/officeDocument/2006/relationships/hyperlink" Target="http://www.sec.gov/cgi-bin/browse-edgar?action=getcompany&amp;CIK=0001274737" TargetMode="External"/><Relationship Id="rId17" Type="http://schemas.openxmlformats.org/officeDocument/2006/relationships/hyperlink" Target="http://www.sec.gov/cgi-bin/browse-edgar?action=getcompany&amp;CIK=0001606950" TargetMode="External"/><Relationship Id="rId23" Type="http://schemas.openxmlformats.org/officeDocument/2006/relationships/hyperlink" Target="http://www.sec.gov/cgi-bin/browse-edgar?action=getcompany&amp;CIK=0001746842" TargetMode="External"/><Relationship Id="rId25" Type="http://schemas.openxmlformats.org/officeDocument/2006/relationships/hyperlink" Target="http://www.sec.gov/cgi-bin/browse-edgar?action=getcompany&amp;CIK=00011443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2020-03-24T18:51:11Z</dcterms:created>
  <dcterms:modified xsi:type="dcterms:W3CDTF">2020-03-24T18:51:11Z</dcterms:modified>
</cp:coreProperties>
</file>