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29, 2025</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00" w:type="dxa"/>
            <w:vAlign w:val="bottom"/>
          </w:tcPr>
          <w:p>
            <w:pPr>
              <w:spacing w:after="0"/>
              <w:rPr>
                <w:sz w:val="24"/>
                <w:szCs w:val="24"/>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2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2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20" w:type="dxa"/>
            <w:vAlign w:val="bottom"/>
          </w:tcPr>
          <w:p>
            <w:pPr>
              <w:spacing w:after="0"/>
              <w:rPr>
                <w:sz w:val="16"/>
                <w:szCs w:val="16"/>
                <w:color w:val="auto"/>
              </w:rPr>
            </w:pPr>
          </w:p>
        </w:tc>
      </w:tr>
      <w:tr>
        <w:trPr>
          <w:trHeight w:val="377"/>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r>
        <w:trPr>
          <w:trHeight w:val="390"/>
        </w:trPr>
        <w:tc>
          <w:tcPr>
            <w:tcW w:w="2000" w:type="dxa"/>
            <w:vAlign w:val="bottom"/>
          </w:tcPr>
          <w:p>
            <w:pPr>
              <w:spacing w:after="0"/>
              <w:rPr>
                <w:sz w:val="24"/>
                <w:szCs w:val="24"/>
                <w:color w:val="auto"/>
              </w:rPr>
            </w:pPr>
          </w:p>
        </w:tc>
        <w:tc>
          <w:tcPr>
            <w:tcW w:w="49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62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4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2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July 29, 2025, the Company reported its financial results for the three and six months ended June 30, 2025.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34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44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9"/>
              </w:rPr>
              <w:t>Press Release dated July 29, 2025</w:t>
            </w:r>
          </w:p>
        </w:tc>
        <w:tc>
          <w:tcPr>
            <w:tcW w:w="7340" w:type="dxa"/>
            <w:vAlign w:val="bottom"/>
          </w:tcPr>
          <w:p>
            <w:pPr>
              <w:spacing w:after="0"/>
              <w:rPr>
                <w:sz w:val="24"/>
                <w:szCs w:val="24"/>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1988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Exagen Inc. Reports Strong Q2 2025 Results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July 29, 2025</w:t>
      </w:r>
    </w:p>
    <w:p>
      <w:pPr>
        <w:spacing w:after="0" w:line="256" w:lineRule="exact"/>
        <w:rPr>
          <w:sz w:val="20"/>
          <w:szCs w:val="20"/>
          <w:color w:val="auto"/>
        </w:rPr>
      </w:pPr>
    </w:p>
    <w:p>
      <w:pPr>
        <w:ind w:right="460"/>
        <w:spacing w:after="0" w:line="286" w:lineRule="auto"/>
        <w:rPr>
          <w:sz w:val="20"/>
          <w:szCs w:val="20"/>
          <w:color w:val="auto"/>
        </w:rPr>
      </w:pPr>
      <w:r>
        <w:rPr>
          <w:rFonts w:ascii="Arial" w:cs="Arial" w:eastAsia="Arial" w:hAnsi="Arial"/>
          <w:sz w:val="20"/>
          <w:szCs w:val="20"/>
          <w:color w:val="auto"/>
        </w:rPr>
        <w:t>Carlsbad, Calif., – Exagen Inc. (Nasdaq: XGN), a leading provider of autoimmune testing solutions, today reported financial results for the quarter ended June 30, 2025, and recent corporate updates.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328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3"/>
          </w:tcPr>
          <w:p>
            <w:pPr>
              <w:jc w:val="right"/>
              <w:ind w:right="9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(Unaudited, in thousands, except ASP data)</w:t>
            </w: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17,202</w:t>
            </w:r>
          </w:p>
        </w:tc>
        <w:tc>
          <w:tcPr>
            <w:tcW w:w="128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15,064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32,700</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29,479</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2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60.4 %</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60.1 %</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59.7 %</w:t>
            </w:r>
          </w:p>
        </w:tc>
        <w:tc>
          <w:tcPr>
            <w:tcW w:w="5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59.9 %</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13,025</w:t>
            </w:r>
          </w:p>
        </w:tc>
        <w:tc>
          <w:tcPr>
            <w:tcW w:w="128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11,643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25,513</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23,244</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(2,630)</w:t>
            </w:r>
          </w:p>
        </w:tc>
        <w:tc>
          <w:tcPr>
            <w:tcW w:w="12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(2,587)</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(5,995)</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(4,439)</w:t>
            </w:r>
          </w:p>
        </w:tc>
        <w:tc>
          <w:tcPr>
            <w:tcW w:w="128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(8,191)</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98"/>
        </w:trPr>
        <w:tc>
          <w:tcPr>
            <w:tcW w:w="316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(1,721)</w:t>
            </w:r>
          </w:p>
        </w:tc>
        <w:tc>
          <w:tcPr>
            <w:tcW w:w="12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28"/>
              <w:spacing w:after="0"/>
              <w:rPr>
                <w:sz w:val="20"/>
                <w:szCs w:val="20"/>
                <w:color w:val="auto"/>
              </w:rPr>
            </w:pPr>
            <w:r>
              <w:rPr>
                <w:rFonts w:ascii="Arial" w:cs="Arial" w:eastAsia="Arial" w:hAnsi="Arial"/>
                <w:sz w:val="14"/>
                <w:szCs w:val="14"/>
                <w:color w:val="auto"/>
              </w:rPr>
              <w:t>(4,229)</w:t>
            </w:r>
          </w:p>
        </w:tc>
        <w:tc>
          <w:tcPr>
            <w:tcW w:w="5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68"/>
              <w:spacing w:after="0"/>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22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30,033</w:t>
            </w:r>
          </w:p>
        </w:tc>
        <w:tc>
          <w:tcPr>
            <w:tcW w:w="128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24,479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30,033</w:t>
            </w:r>
          </w:p>
        </w:tc>
        <w:tc>
          <w:tcPr>
            <w:tcW w:w="5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24,479</w:t>
            </w:r>
          </w:p>
        </w:tc>
        <w:tc>
          <w:tcPr>
            <w:tcW w:w="0" w:type="dxa"/>
            <w:vAlign w:val="bottom"/>
          </w:tcPr>
          <w:p>
            <w:pPr>
              <w:spacing w:after="0"/>
              <w:rPr>
                <w:sz w:val="1"/>
                <w:szCs w:val="1"/>
                <w:color w:val="auto"/>
              </w:rPr>
            </w:pPr>
          </w:p>
        </w:tc>
      </w:tr>
      <w:tr>
        <w:trPr>
          <w:trHeight w:val="148"/>
        </w:trPr>
        <w:tc>
          <w:tcPr>
            <w:tcW w:w="3160" w:type="dxa"/>
            <w:vAlign w:val="bottom"/>
          </w:tcPr>
          <w:p>
            <w:pPr>
              <w:ind w:left="20"/>
              <w:spacing w:after="0" w:line="149" w:lineRule="exact"/>
              <w:rPr>
                <w:sz w:val="20"/>
                <w:szCs w:val="20"/>
                <w:color w:val="auto"/>
              </w:rPr>
            </w:pPr>
            <w:r>
              <w:rPr>
                <w:rFonts w:ascii="Arial" w:cs="Arial" w:eastAsia="Arial" w:hAnsi="Arial"/>
                <w:sz w:val="14"/>
                <w:szCs w:val="14"/>
                <w:color w:val="auto"/>
              </w:rPr>
              <w:t>Trailing-twelve-month average selling price</w:t>
            </w:r>
          </w:p>
        </w:tc>
        <w:tc>
          <w:tcPr>
            <w:tcW w:w="1220" w:type="dxa"/>
            <w:vAlign w:val="bottom"/>
            <w:vMerge w:val="restart"/>
          </w:tcPr>
          <w:p>
            <w:pPr>
              <w:jc w:val="right"/>
              <w:ind w:right="10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88"/>
              <w:spacing w:after="0"/>
              <w:rPr>
                <w:sz w:val="20"/>
                <w:szCs w:val="20"/>
                <w:color w:val="auto"/>
              </w:rPr>
            </w:pPr>
            <w:r>
              <w:rPr>
                <w:rFonts w:ascii="Arial" w:cs="Arial" w:eastAsia="Arial" w:hAnsi="Arial"/>
                <w:sz w:val="14"/>
                <w:szCs w:val="14"/>
                <w:color w:val="auto"/>
              </w:rPr>
              <w:t>428</w:t>
            </w:r>
          </w:p>
        </w:tc>
        <w:tc>
          <w:tcPr>
            <w:tcW w:w="1280" w:type="dxa"/>
            <w:vAlign w:val="bottom"/>
            <w:vMerge w:val="restart"/>
          </w:tcPr>
          <w:p>
            <w:pPr>
              <w:jc w:val="right"/>
              <w:ind w:right="1048"/>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2"/>
                <w:szCs w:val="12"/>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auto"/>
              </w:rPr>
              <w:t>428</w:t>
            </w:r>
          </w:p>
        </w:tc>
        <w:tc>
          <w:tcPr>
            <w:tcW w:w="5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10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90"/>
        </w:trPr>
        <w:tc>
          <w:tcPr>
            <w:tcW w:w="3160" w:type="dxa"/>
            <w:vAlign w:val="bottom"/>
          </w:tcPr>
          <w:p>
            <w:pPr>
              <w:ind w:left="20"/>
              <w:spacing w:after="0"/>
              <w:rPr>
                <w:sz w:val="20"/>
                <w:szCs w:val="20"/>
                <w:color w:val="auto"/>
              </w:rPr>
            </w:pPr>
            <w:r>
              <w:rPr>
                <w:rFonts w:ascii="Arial" w:cs="Arial" w:eastAsia="Arial" w:hAnsi="Arial"/>
                <w:sz w:val="14"/>
                <w:szCs w:val="14"/>
                <w:color w:val="auto"/>
              </w:rPr>
              <w:t>(ASP)</w:t>
            </w:r>
          </w:p>
        </w:tc>
        <w:tc>
          <w:tcPr>
            <w:tcW w:w="12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Q2 2025 Highlights and Recent Corporate Updates:</w:t>
      </w:r>
    </w:p>
    <w:p>
      <w:pPr>
        <w:spacing w:after="0" w:line="253" w:lineRule="exact"/>
        <w:rPr>
          <w:sz w:val="20"/>
          <w:szCs w:val="20"/>
          <w:color w:val="auto"/>
        </w:rPr>
      </w:pPr>
    </w:p>
    <w:p>
      <w:pPr>
        <w:ind w:left="980" w:right="60" w:hanging="324"/>
        <w:spacing w:after="0" w:line="298"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 xml:space="preserve">Delivered record </w:t>
      </w:r>
      <w:r>
        <w:rPr>
          <w:rFonts w:ascii="Arial" w:cs="Arial" w:eastAsia="Arial" w:hAnsi="Arial"/>
          <w:sz w:val="21"/>
          <w:szCs w:val="21"/>
          <w:color w:val="auto"/>
        </w:rPr>
        <w:t>total revenue of $17.2 million, which represents 11% growth compared to the first quarter of</w:t>
      </w:r>
      <w:r>
        <w:rPr>
          <w:rFonts w:ascii="Arial" w:cs="Arial" w:eastAsia="Arial" w:hAnsi="Arial"/>
          <w:sz w:val="20"/>
          <w:szCs w:val="20"/>
          <w:color w:val="auto"/>
        </w:rPr>
        <w:t xml:space="preserve"> </w:t>
      </w:r>
      <w:r>
        <w:rPr>
          <w:rFonts w:ascii="Arial" w:cs="Arial" w:eastAsia="Arial" w:hAnsi="Arial"/>
          <w:sz w:val="21"/>
          <w:szCs w:val="21"/>
          <w:color w:val="auto"/>
        </w:rPr>
        <w:t>2025 and 14% growth compared to the second quarter of 2024.</w:t>
      </w:r>
    </w:p>
    <w:p>
      <w:pPr>
        <w:spacing w:after="0" w:line="169" w:lineRule="exact"/>
        <w:rPr>
          <w:rFonts w:ascii="Arial" w:cs="Arial" w:eastAsia="Arial" w:hAnsi="Arial"/>
          <w:sz w:val="22"/>
          <w:szCs w:val="22"/>
          <w:color w:val="auto"/>
        </w:rPr>
      </w:pPr>
    </w:p>
    <w:p>
      <w:pPr>
        <w:ind w:left="980" w:right="580" w:hanging="324"/>
        <w:spacing w:after="0" w:line="298"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 xml:space="preserve">Grew AVISE CTD test volume 14% </w:t>
      </w:r>
      <w:r>
        <w:rPr>
          <w:rFonts w:ascii="Arial" w:cs="Arial" w:eastAsia="Arial" w:hAnsi="Arial"/>
          <w:sz w:val="21"/>
          <w:szCs w:val="21"/>
          <w:color w:val="auto"/>
        </w:rPr>
        <w:t>compared to the first quarter of 2025</w:t>
      </w:r>
      <w:r>
        <w:rPr>
          <w:rFonts w:ascii="Arial" w:cs="Arial" w:eastAsia="Arial" w:hAnsi="Arial"/>
          <w:sz w:val="20"/>
          <w:szCs w:val="20"/>
          <w:color w:val="auto"/>
        </w:rPr>
        <w:t xml:space="preserve"> and 7% </w:t>
      </w:r>
      <w:r>
        <w:rPr>
          <w:rFonts w:ascii="Arial" w:cs="Arial" w:eastAsia="Arial" w:hAnsi="Arial"/>
          <w:sz w:val="21"/>
          <w:szCs w:val="21"/>
          <w:color w:val="auto"/>
        </w:rPr>
        <w:t>compared to the second</w:t>
      </w:r>
      <w:r>
        <w:rPr>
          <w:rFonts w:ascii="Arial" w:cs="Arial" w:eastAsia="Arial" w:hAnsi="Arial"/>
          <w:sz w:val="20"/>
          <w:szCs w:val="20"/>
          <w:color w:val="auto"/>
        </w:rPr>
        <w:t xml:space="preserve"> </w:t>
      </w:r>
      <w:r>
        <w:rPr>
          <w:rFonts w:ascii="Arial" w:cs="Arial" w:eastAsia="Arial" w:hAnsi="Arial"/>
          <w:sz w:val="21"/>
          <w:szCs w:val="21"/>
          <w:color w:val="auto"/>
        </w:rPr>
        <w:t>quarter of 2024.</w:t>
      </w:r>
    </w:p>
    <w:p>
      <w:pPr>
        <w:spacing w:after="0" w:line="187" w:lineRule="exact"/>
        <w:rPr>
          <w:rFonts w:ascii="Arial" w:cs="Arial" w:eastAsia="Arial" w:hAnsi="Arial"/>
          <w:sz w:val="22"/>
          <w:szCs w:val="22"/>
          <w:color w:val="auto"/>
        </w:rPr>
      </w:pPr>
    </w:p>
    <w:p>
      <w:pPr>
        <w:ind w:left="980" w:right="460" w:hanging="324"/>
        <w:spacing w:after="0" w:line="276"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Expanded AVISE CTD trailing twelve-month ASP to $428, an increase of $27 per test over the second quarter of 2024.</w:t>
      </w:r>
    </w:p>
    <w:p>
      <w:pPr>
        <w:spacing w:after="0" w:line="214" w:lineRule="exact"/>
        <w:rPr>
          <w:rFonts w:ascii="Arial" w:cs="Arial" w:eastAsia="Arial" w:hAnsi="Arial"/>
          <w:sz w:val="22"/>
          <w:szCs w:val="22"/>
          <w:color w:val="auto"/>
        </w:rPr>
      </w:pPr>
    </w:p>
    <w:p>
      <w:pPr>
        <w:ind w:left="980" w:right="300" w:hanging="324"/>
        <w:spacing w:after="0" w:line="303" w:lineRule="auto"/>
        <w:tabs>
          <w:tab w:leader="none" w:pos="948" w:val="left"/>
        </w:tabs>
        <w:numPr>
          <w:ilvl w:val="0"/>
          <w:numId w:val="2"/>
        </w:numPr>
        <w:rPr>
          <w:rFonts w:ascii="Arial" w:cs="Arial" w:eastAsia="Arial" w:hAnsi="Arial"/>
          <w:sz w:val="21"/>
          <w:szCs w:val="21"/>
          <w:color w:val="auto"/>
        </w:rPr>
      </w:pPr>
      <w:r>
        <w:rPr>
          <w:rFonts w:ascii="Arial" w:cs="Arial" w:eastAsia="Arial" w:hAnsi="Arial"/>
          <w:sz w:val="19"/>
          <w:szCs w:val="19"/>
          <w:color w:val="auto"/>
        </w:rPr>
        <w:t>Strengthened the balance sheet with the closing of a $20.2 million public offering of common stock and a new loan credit facility. Ended the second quarter of 2025 with cash, cash equivalents and restricted cash of $30.2 million.</w:t>
      </w:r>
    </w:p>
    <w:p>
      <w:pPr>
        <w:spacing w:after="0" w:line="175" w:lineRule="exact"/>
        <w:rPr>
          <w:rFonts w:ascii="Arial" w:cs="Arial" w:eastAsia="Arial" w:hAnsi="Arial"/>
          <w:sz w:val="21"/>
          <w:szCs w:val="21"/>
          <w:color w:val="auto"/>
        </w:rPr>
      </w:pPr>
    </w:p>
    <w:p>
      <w:pPr>
        <w:ind w:left="980" w:right="480" w:hanging="324"/>
        <w:spacing w:after="0" w:line="276" w:lineRule="auto"/>
        <w:tabs>
          <w:tab w:leader="none" w:pos="948" w:val="left"/>
        </w:tabs>
        <w:numPr>
          <w:ilvl w:val="0"/>
          <w:numId w:val="2"/>
        </w:numPr>
        <w:rPr>
          <w:rFonts w:ascii="Arial" w:cs="Arial" w:eastAsia="Arial" w:hAnsi="Arial"/>
          <w:sz w:val="22"/>
          <w:szCs w:val="22"/>
          <w:color w:val="auto"/>
        </w:rPr>
      </w:pPr>
      <w:r>
        <w:rPr>
          <w:rFonts w:ascii="Arial" w:cs="Arial" w:eastAsia="Arial" w:hAnsi="Arial"/>
          <w:sz w:val="20"/>
          <w:szCs w:val="20"/>
          <w:color w:val="auto"/>
        </w:rPr>
        <w:t>Appointed Dr. Michael Mahler as Chief Scientific Officer, bringing over two decades of leadership in autoimmune diagnostic research.</w:t>
      </w:r>
    </w:p>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p>
      <w:pPr>
        <w:ind w:left="980" w:right="120" w:hanging="324"/>
        <w:spacing w:after="0" w:line="276" w:lineRule="auto"/>
        <w:tabs>
          <w:tab w:leader="none" w:pos="948" w:val="left"/>
        </w:tabs>
        <w:numPr>
          <w:ilvl w:val="0"/>
          <w:numId w:val="3"/>
        </w:numPr>
        <w:rPr>
          <w:rFonts w:ascii="Arial" w:cs="Arial" w:eastAsia="Arial" w:hAnsi="Arial"/>
          <w:sz w:val="22"/>
          <w:szCs w:val="22"/>
          <w:color w:val="auto"/>
        </w:rPr>
      </w:pPr>
      <w:r>
        <w:rPr>
          <w:rFonts w:ascii="Arial" w:cs="Arial" w:eastAsia="Arial" w:hAnsi="Arial"/>
          <w:sz w:val="20"/>
          <w:szCs w:val="20"/>
          <w:color w:val="auto"/>
        </w:rPr>
        <w:t>Welcomed Chas McKhann, an accomplished executive with 25 years of experience in the life sciences sector, to 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Guidance</w:t>
      </w:r>
    </w:p>
    <w:p>
      <w:pPr>
        <w:spacing w:after="0" w:line="272"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The company expects 2025 full-year revenue of between $65 million and $70 million, and at the high end of the revenue range would expect to hit positive adjusted EBITDA in the fourth quarter.</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72" w:lineRule="exact"/>
        <w:rPr>
          <w:sz w:val="20"/>
          <w:szCs w:val="20"/>
          <w:color w:val="auto"/>
        </w:rPr>
      </w:pPr>
    </w:p>
    <w:p>
      <w:pPr>
        <w:ind w:right="160"/>
        <w:spacing w:after="0" w:line="276" w:lineRule="auto"/>
        <w:rPr>
          <w:sz w:val="20"/>
          <w:szCs w:val="20"/>
          <w:color w:val="auto"/>
        </w:rPr>
      </w:pPr>
      <w:r>
        <w:rPr>
          <w:rFonts w:ascii="Arial" w:cs="Arial" w:eastAsia="Arial" w:hAnsi="Arial"/>
          <w:sz w:val="19"/>
          <w:szCs w:val="19"/>
          <w:color w:val="auto"/>
        </w:rPr>
        <w:t>A conference call to review second quarter 2025 financial results and to provide a business update is scheduled for today, July 29, 2025 at 8:30 a.m. ET (5:30 a.m. PT). Interested parties may access the conference call by dialing (201) 389-0918 (U.S.) or</w:t>
      </w:r>
    </w:p>
    <w:p>
      <w:pPr>
        <w:spacing w:after="0" w:line="1" w:lineRule="exact"/>
        <w:rPr>
          <w:sz w:val="20"/>
          <w:szCs w:val="20"/>
          <w:color w:val="auto"/>
        </w:rPr>
      </w:pPr>
    </w:p>
    <w:p>
      <w:pPr>
        <w:ind w:right="200" w:firstLine="8"/>
        <w:spacing w:after="0" w:line="281" w:lineRule="auto"/>
        <w:tabs>
          <w:tab w:leader="none" w:pos="517" w:val="left"/>
        </w:tabs>
        <w:numPr>
          <w:ilvl w:val="0"/>
          <w:numId w:val="4"/>
        </w:numPr>
        <w:rPr>
          <w:rFonts w:ascii="Arial" w:cs="Arial" w:eastAsia="Arial" w:hAnsi="Arial"/>
          <w:sz w:val="20"/>
          <w:szCs w:val="20"/>
          <w:color w:val="auto"/>
        </w:rPr>
      </w:pPr>
      <w:r>
        <w:rPr>
          <w:rFonts w:ascii="Arial" w:cs="Arial" w:eastAsia="Arial" w:hAnsi="Arial"/>
          <w:sz w:val="20"/>
          <w:szCs w:val="20"/>
          <w:color w:val="auto"/>
        </w:rPr>
        <w:t>407-0890 (international). Additionally, a link to a live webcast of the call will be available in the Investor Relations section of Exagen's website at investors.exagen.com.</w:t>
      </w:r>
    </w:p>
    <w:p>
      <w:pPr>
        <w:spacing w:after="0" w:line="186" w:lineRule="exact"/>
        <w:rPr>
          <w:sz w:val="20"/>
          <w:szCs w:val="20"/>
          <w:color w:val="auto"/>
        </w:rPr>
      </w:pPr>
    </w:p>
    <w:p>
      <w:pPr>
        <w:ind w:right="340"/>
        <w:spacing w:after="0" w:line="269" w:lineRule="auto"/>
        <w:rPr>
          <w:sz w:val="20"/>
          <w:szCs w:val="20"/>
          <w:color w:val="auto"/>
        </w:rPr>
      </w:pPr>
      <w:r>
        <w:rPr>
          <w:rFonts w:ascii="Arial" w:cs="Arial" w:eastAsia="Arial" w:hAnsi="Arial"/>
          <w:sz w:val="20"/>
          <w:szCs w:val="20"/>
          <w:color w:val="auto"/>
        </w:rPr>
        <w:t>Participants are asked to join a few minutes prior to the call to register for the event. A replay of the conference call will be available until August 12, 2025. Interested parties may access the replay by dialing (201) 612-7415 (U.S.) or (877) 660-6853 (international) using passcode 13753132. A link to the replay of the webcast will also be available in the Investor Relations section of Exagen's website.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 (UNAUDITED)</w:t>
      </w:r>
    </w:p>
    <w:p>
      <w:pPr>
        <w:spacing w:after="0" w:line="272"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excludes from net loss interest income (expense), income tax expense (benefit), depreciation and amortization expense, stock-based compensation expense, loss on extinguishment of debt, change in fair value of warrant liability, income taxes and other expenses or income that management believes are not representative of the company’s operations. Such items could have a significant impact on the calculation of GAAP net loss.</w:t>
      </w:r>
    </w:p>
    <w:p>
      <w:pPr>
        <w:spacing w:after="0" w:line="222"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Exagen uses adjusted EBITDA internally because the company believes these metrics provide useful supplemental information in assessing its operating performance reported in accordance with GAAP. Exagen believes adjusted EBITDA may enhance an evaluation of our operating performance because it excludes the impact of prior decisions made about capital investment, financing, investing and certain expenses the company believes are not indicative of our ongoing performance. However, this non-GAAP financial measure may be different from non-GAAP financial measures used by other companies, even when the same or similarly titled terms are used to identify such measures, limiting their usefulness for comparative purposes.</w:t>
      </w:r>
    </w:p>
    <w:p>
      <w:pPr>
        <w:spacing w:after="0" w:line="204"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auto"/>
        </w:rPr>
        <w:t>This non-GAAP financial measure is not meant to be considered in isolation or used as a substitute for net loss reported in accordance with GAAP, should be considered in conjunction with our financial information presented in accordance with GAAP, has no standardized meaning prescribed by GAAP, is unaudited, and is not prepared under any comprehensive set of accounting rules or principles. In addition, from time to time in the future, there may be other items that Exagen may exclude for purposes of these non-GAAP financial measures, and the company may in the future cease to exclude</w:t>
      </w:r>
    </w:p>
    <w:p>
      <w:pPr>
        <w:sectPr>
          <w:pgSz w:w="11900" w:h="16838" w:orient="portrait"/>
          <w:cols w:equalWidth="0" w:num="1">
            <w:col w:w="11220"/>
          </w:cols>
          <w:pgMar w:left="320" w:top="1440" w:right="359" w:bottom="1440" w:gutter="0" w:footer="0" w:header="0"/>
        </w:sectPr>
      </w:pPr>
    </w:p>
    <w:bookmarkStart w:id="5" w:name="page6"/>
    <w:bookmarkEnd w:id="5"/>
    <w:p>
      <w:pPr>
        <w:ind w:right="80"/>
        <w:spacing w:after="0" w:line="265" w:lineRule="auto"/>
        <w:rPr>
          <w:sz w:val="20"/>
          <w:szCs w:val="20"/>
          <w:color w:val="auto"/>
        </w:rPr>
      </w:pPr>
      <w:r>
        <w:rPr>
          <w:rFonts w:ascii="Arial" w:cs="Arial" w:eastAsia="Arial" w:hAnsi="Arial"/>
          <w:sz w:val="20"/>
          <w:szCs w:val="20"/>
          <w:color w:val="auto"/>
        </w:rPr>
        <w:t>items that it has historically excluded for purposes of these non-GAAP financial measures. Likewise, Exagen may determine to modify the nature of adjustments to arrive at these non-GAAP financial 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w:t>
      </w:r>
    </w:p>
    <w:p>
      <w:pPr>
        <w:spacing w:after="0" w:line="204" w:lineRule="exact"/>
        <w:rPr>
          <w:sz w:val="20"/>
          <w:szCs w:val="20"/>
          <w:color w:val="auto"/>
        </w:rPr>
      </w:pPr>
    </w:p>
    <w:p>
      <w:pPr>
        <w:ind w:right="540"/>
        <w:spacing w:after="0" w:line="286" w:lineRule="auto"/>
        <w:rPr>
          <w:sz w:val="20"/>
          <w:szCs w:val="20"/>
          <w:color w:val="auto"/>
        </w:rPr>
      </w:pPr>
      <w:r>
        <w:rPr>
          <w:rFonts w:ascii="Arial" w:cs="Arial" w:eastAsia="Arial" w:hAnsi="Arial"/>
          <w:sz w:val="20"/>
          <w:szCs w:val="20"/>
          <w:color w:val="auto"/>
        </w:rPr>
        <w:t>A reconciliation of net loss to non-GAAP adjusted EBITDA is provided in the financial schedules that are part of this press release.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58"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 diagnosis, prognosis, and monitoring. With a focus on research, innovation, education, and patient-centered care, Exagen is dedicated to addressing the ongoing challenges of autoimmune disease management.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visit Exagen.com or follow @ExagenInc on X.</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and/or Exagen’s ability obtain additional funding; the potential utility and effectiveness of Exagen’s services and testing solutions; potential shareholder value and growth and full-year 2025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w:t>
      </w:r>
    </w:p>
    <w:p>
      <w:pPr>
        <w:sectPr>
          <w:pgSz w:w="11900" w:h="16838" w:orient="portrait"/>
          <w:cols w:equalWidth="0" w:num="1">
            <w:col w:w="11160"/>
          </w:cols>
          <w:pgMar w:left="320" w:top="1427" w:right="41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20"/>
          <w:szCs w:val="20"/>
          <w:color w:val="auto"/>
        </w:rPr>
        <w:t>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2024, filed with the SEC on March 11, 2025, Quarterly Report on Form 10-Q for the quarter ended March 31, 2025 filed with the SEC on May 5, 2025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Ryan Douglas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Exagen Inc.</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ir@exagen.com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760.560.1525</w:t>
      </w:r>
    </w:p>
    <w:p>
      <w:pPr>
        <w:sectPr>
          <w:pgSz w:w="11900" w:h="16838" w:orient="portrait"/>
          <w:cols w:equalWidth="0" w:num="1">
            <w:col w:w="11160"/>
          </w:cols>
          <w:pgMar w:left="320" w:top="1427" w:right="41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29,479</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11,825</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17,654</w:t>
            </w:r>
          </w:p>
        </w:tc>
        <w:tc>
          <w:tcPr>
            <w:tcW w:w="0" w:type="dxa"/>
            <w:vAlign w:val="bottom"/>
          </w:tcPr>
          <w:p>
            <w:pPr>
              <w:spacing w:after="0"/>
              <w:rPr>
                <w:sz w:val="1"/>
                <w:szCs w:val="1"/>
                <w:color w:val="auto"/>
              </w:rPr>
            </w:pPr>
          </w:p>
        </w:tc>
      </w:tr>
      <w:tr>
        <w:trPr>
          <w:trHeight w:val="179"/>
        </w:trPr>
        <w:tc>
          <w:tcPr>
            <w:tcW w:w="50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21,006</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23,244</w:t>
            </w:r>
          </w:p>
        </w:tc>
        <w:tc>
          <w:tcPr>
            <w:tcW w:w="0" w:type="dxa"/>
            <w:vAlign w:val="bottom"/>
          </w:tcPr>
          <w:p>
            <w:pPr>
              <w:spacing w:after="0"/>
              <w:rPr>
                <w:sz w:val="1"/>
                <w:szCs w:val="1"/>
                <w:color w:val="auto"/>
              </w:rPr>
            </w:pPr>
          </w:p>
        </w:tc>
      </w:tr>
      <w:tr>
        <w:trPr>
          <w:trHeight w:val="192"/>
        </w:trPr>
        <w:tc>
          <w:tcPr>
            <w:tcW w:w="50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98"/>
        </w:trPr>
        <w:tc>
          <w:tcPr>
            <w:tcW w:w="50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Weighted-average number of shares used to compute net loss per share,</w:t>
            </w:r>
          </w:p>
        </w:tc>
        <w:tc>
          <w:tcPr>
            <w:tcW w:w="32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21,085,749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18,178,185</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19,830,265</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18,061,312</w:t>
            </w:r>
          </w:p>
        </w:tc>
        <w:tc>
          <w:tcPr>
            <w:tcW w:w="0" w:type="dxa"/>
            <w:vAlign w:val="bottom"/>
          </w:tcPr>
          <w:p>
            <w:pPr>
              <w:spacing w:after="0"/>
              <w:rPr>
                <w:sz w:val="1"/>
                <w:szCs w:val="1"/>
                <w:color w:val="auto"/>
              </w:rPr>
            </w:pPr>
          </w:p>
        </w:tc>
      </w:tr>
      <w:tr>
        <w:trPr>
          <w:trHeight w:val="178"/>
        </w:trPr>
        <w:tc>
          <w:tcPr>
            <w:tcW w:w="502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2025</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50,986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58,760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 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current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10,295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non-current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37,726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as of March 31, 2025 and</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2024</w:t>
            </w: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June 30, 2025 and December 31, 2024; 21,998,739 and</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17,640,328 shares issued and outstanding as of June 30, 2025 and December 31, 2024, respectively</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323,534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(302,522)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21,034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8" w:lineRule="exact"/>
        <w:rPr>
          <w:sz w:val="20"/>
          <w:szCs w:val="20"/>
          <w:color w:val="auto"/>
        </w:rPr>
      </w:pPr>
    </w:p>
    <w:p>
      <w:pPr>
        <w:jc w:val="both"/>
        <w:ind w:right="360"/>
        <w:spacing w:after="0" w:line="262" w:lineRule="auto"/>
        <w:rPr>
          <w:sz w:val="20"/>
          <w:szCs w:val="20"/>
          <w:color w:val="auto"/>
        </w:rPr>
      </w:pPr>
      <w:r>
        <w:rPr>
          <w:rFonts w:ascii="Arial" w:cs="Arial" w:eastAsia="Arial" w:hAnsi="Arial"/>
          <w:sz w:val="20"/>
          <w:szCs w:val="20"/>
          <w:color w:val="auto"/>
        </w:rPr>
        <w:t>The table below presents the reconciliation of adjusted EBITDA, which is a non-GAAP financial measure. See "Use of Non-GAAP Financial Measures (UNAUDITED)" above for further information regarding the company's use of non-GAAP financial measures.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181"/>
        </w:trPr>
        <w:tc>
          <w:tcPr>
            <w:tcW w:w="20" w:type="dxa"/>
            <w:vAlign w:val="bottom"/>
          </w:tcPr>
          <w:p>
            <w:pPr>
              <w:spacing w:after="0"/>
              <w:rPr>
                <w:sz w:val="15"/>
                <w:szCs w:val="15"/>
                <w:color w:val="auto"/>
              </w:rPr>
            </w:pPr>
          </w:p>
        </w:tc>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37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(8,191)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(6,326)</w:t>
            </w:r>
          </w:p>
        </w:tc>
      </w:tr>
      <w:tr>
        <w:trPr>
          <w:trHeight w:val="207"/>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198"/>
        </w:trPr>
        <w:tc>
          <w:tcPr>
            <w:tcW w:w="20" w:type="dxa"/>
            <w:vAlign w:val="bottom"/>
          </w:tcPr>
          <w:p>
            <w:pPr>
              <w:spacing w:after="0"/>
              <w:rPr>
                <w:sz w:val="17"/>
                <w:szCs w:val="17"/>
                <w:color w:val="auto"/>
              </w:rPr>
            </w:pPr>
          </w:p>
        </w:tc>
        <w:tc>
          <w:tcPr>
            <w:tcW w:w="490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1,109</w:t>
            </w:r>
          </w:p>
        </w:tc>
      </w:tr>
      <w:tr>
        <w:trPr>
          <w:trHeight w:val="207"/>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4900" w:type="dxa"/>
            <w:vAlign w:val="bottom"/>
            <w:gridSpan w:val="2"/>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490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 expense</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887</w:t>
            </w:r>
          </w:p>
        </w:tc>
      </w:tr>
      <w:tr>
        <w:trPr>
          <w:trHeight w:val="207"/>
        </w:trPr>
        <w:tc>
          <w:tcPr>
            <w:tcW w:w="20" w:type="dxa"/>
            <w:vAlign w:val="bottom"/>
            <w:shd w:val="clear" w:color="auto" w:fill="CCEEFF"/>
          </w:tcPr>
          <w:p>
            <w:pPr>
              <w:spacing w:after="0"/>
              <w:rPr>
                <w:sz w:val="17"/>
                <w:szCs w:val="17"/>
                <w:color w:val="auto"/>
              </w:rPr>
            </w:pPr>
          </w:p>
        </w:tc>
        <w:tc>
          <w:tcPr>
            <w:tcW w:w="49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w:t>
            </w:r>
          </w:p>
        </w:tc>
      </w:tr>
      <w:tr>
        <w:trPr>
          <w:trHeight w:val="192"/>
        </w:trPr>
        <w:tc>
          <w:tcPr>
            <w:tcW w:w="20" w:type="dxa"/>
            <w:vAlign w:val="bottom"/>
          </w:tcPr>
          <w:p>
            <w:pPr>
              <w:spacing w:after="0"/>
              <w:rPr>
                <w:sz w:val="16"/>
                <w:szCs w:val="16"/>
                <w:color w:val="auto"/>
              </w:rPr>
            </w:pPr>
          </w:p>
        </w:tc>
        <w:tc>
          <w:tcPr>
            <w:tcW w:w="490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(3,590)</w:t>
            </w:r>
          </w:p>
        </w:tc>
      </w:tr>
      <w:tr>
        <w:trPr>
          <w:trHeight w:val="25"/>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2025-07-29T07:08:12Z</dcterms:created>
  <dcterms:modified xsi:type="dcterms:W3CDTF">2025-07-29T07:08:12Z</dcterms:modified>
</cp:coreProperties>
</file>