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3148.xml.htm"/>
      <w:bookmarkStart w:id="1" w:name="kswkform4_17924431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ABALLI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EXAGEN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1261 LIBERTY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VISTA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EXAGEN INC.</w:t>
              </w:r>
            </w:hyperlink>
            <w:r>
              <w:rPr/>
              <w:t xml:space="preserve"> [ </w:t>
            </w:r>
            <w:r>
              <w:rPr>
                <w:rFonts w:ascii="Times;serif" w:hAnsi="Times;serif"/>
                <w:color w:val="0000FF"/>
                <w:sz w:val="24"/>
                <w:shd w:fill="FFFFFF" w:val="clear"/>
              </w:rPr>
              <w:t>XGN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34,294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7.867</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805,540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40,401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sold by the Reporting Person to cover tax withholding obligations in connection with the vesting and settlement of Restricted Stock Units ("RSUs"). The sale is mandated by the Issuer's satisfaction of tax withholding obligations to be funded by a "sell to cover" transaction and does not represent a discretionary transaction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G. Black,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3113" TargetMode="External"/><Relationship Id="rId5" Type="http://schemas.openxmlformats.org/officeDocument/2006/relationships/hyperlink" Target="http://www.sec.gov/cgi-bin/browse-edgar?action=getcompany&amp;CIK=00012747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3441</Characters>
  <CharactersWithSpaces>4004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