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Adawi Kamal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EXAGEN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1261 LIBERTY WAY</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92081</w:t>
            </w:r>
          </w:p>
        </w:tc>
      </w:tr>
      <w:tr>
        <w:trPr>
          <w:trHeight w:val="155"/>
        </w:trPr>
        <w:tc>
          <w:tcPr>
            <w:tcW w:w="40" w:type="dxa"/>
            <w:vAlign w:val="bottom"/>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3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EXAGEN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220" w:type="dxa"/>
            <w:vAlign w:val="bottom"/>
            <w:tcBorders>
              <w:bottom w:val="single" w:sz="8" w:color="0000EE"/>
            </w:tcBorders>
          </w:tcPr>
          <w:p>
            <w:pPr>
              <w:spacing w:after="0"/>
              <w:rPr>
                <w:sz w:val="3"/>
                <w:szCs w:val="3"/>
                <w:color w:val="auto"/>
              </w:rPr>
            </w:pPr>
          </w:p>
        </w:tc>
        <w:tc>
          <w:tcPr>
            <w:tcW w:w="2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02/06/2024</w:t>
            </w:r>
          </w:p>
        </w:tc>
        <w:tc>
          <w:tcPr>
            <w:tcW w:w="2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CFO and Corporate Secretary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4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tcPr>
          <w:p>
            <w:pPr>
              <w:spacing w:after="0"/>
              <w:rPr>
                <w:sz w:val="8"/>
                <w:szCs w:val="8"/>
                <w:color w:val="auto"/>
              </w:rPr>
            </w:pPr>
          </w:p>
        </w:tc>
        <w:tc>
          <w:tcPr>
            <w:tcW w:w="2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02/06/2024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6,738</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1.9491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181,533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by the reporting person to generate proceeds used to satisfy the tax withholding obligation that arose upon the vesting of certain restricted stock units granted to the reporting person on February 4, 2022.</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Kamal Adawi</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02/08/2024</w:t>
            </w:r>
          </w:p>
        </w:tc>
      </w:tr>
      <w:tr>
        <w:trPr>
          <w:trHeight w:val="20"/>
        </w:trPr>
        <w:tc>
          <w:tcPr>
            <w:tcW w:w="11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8393"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2024-02-08T15:26:10Z</dcterms:created>
  <dcterms:modified xsi:type="dcterms:W3CDTF">2024-02-08T15:26:10Z</dcterms:modified>
</cp:coreProperties>
</file>