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August 7, 2023</w:t>
      </w:r>
    </w:p>
    <w:p>
      <w:pPr>
        <w:spacing w:after="0" w:line="17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EXAGEN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1259" w:right="339" w:bottom="1440" w:gutter="0" w:footer="0" w:header="0"/>
        </w:sectPr>
      </w:pPr>
    </w:p>
    <w:p>
      <w:pPr>
        <w:spacing w:after="0" w:line="300" w:lineRule="exact"/>
        <w:rPr>
          <w:sz w:val="24"/>
          <w:szCs w:val="24"/>
          <w:color w:val="auto"/>
        </w:rPr>
      </w:pPr>
    </w:p>
    <w:p>
      <w:pPr>
        <w:ind w:left="18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jc w:val="center"/>
        <w:ind w:right="1860"/>
        <w:spacing w:after="0"/>
        <w:rPr>
          <w:sz w:val="20"/>
          <w:szCs w:val="20"/>
          <w:color w:val="auto"/>
        </w:rPr>
      </w:pPr>
      <w:r>
        <w:rPr>
          <w:rFonts w:ascii="Arial" w:cs="Arial" w:eastAsia="Arial" w:hAnsi="Arial"/>
          <w:sz w:val="16"/>
          <w:szCs w:val="16"/>
          <w:b w:val="1"/>
          <w:bCs w:val="1"/>
          <w:color w:val="auto"/>
        </w:rPr>
        <w:t>001-39049</w:t>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20-0434866</w:t>
      </w:r>
    </w:p>
    <w:p>
      <w:pPr>
        <w:spacing w:after="0" w:line="68" w:lineRule="exact"/>
        <w:rPr>
          <w:sz w:val="24"/>
          <w:szCs w:val="24"/>
          <w:color w:val="auto"/>
        </w:rPr>
      </w:pPr>
    </w:p>
    <w:p>
      <w:pPr>
        <w:sectPr>
          <w:pgSz w:w="11900" w:h="16838" w:orient="portrait"/>
          <w:cols w:equalWidth="0" w:num="3">
            <w:col w:w="4620" w:space="720"/>
            <w:col w:w="2640" w:space="720"/>
            <w:col w:w="2540"/>
          </w:cols>
          <w:pgMar w:left="320" w:top="1259" w:right="339" w:bottom="1440" w:gutter="0" w:footer="0" w:header="0"/>
          <w:type w:val="continuous"/>
        </w:sectPr>
      </w:pPr>
    </w:p>
    <w:p>
      <w:pPr>
        <w:jc w:val="center"/>
        <w:ind w:right="120"/>
        <w:spacing w:after="0"/>
        <w:rPr>
          <w:sz w:val="20"/>
          <w:szCs w:val="20"/>
          <w:color w:val="auto"/>
        </w:rPr>
      </w:pPr>
      <w:r>
        <w:rPr>
          <w:rFonts w:ascii="Arial" w:cs="Arial" w:eastAsia="Arial" w:hAnsi="Arial"/>
          <w:sz w:val="13"/>
          <w:szCs w:val="13"/>
          <w:b w:val="1"/>
          <w:bCs w:val="1"/>
          <w:color w:val="auto"/>
        </w:rPr>
        <w:t>(State or other jurisdiction</w:t>
      </w:r>
    </w:p>
    <w:p>
      <w:pPr>
        <w:spacing w:after="0" w:line="37" w:lineRule="exact"/>
        <w:rPr>
          <w:sz w:val="24"/>
          <w:szCs w:val="24"/>
          <w:color w:val="auto"/>
        </w:rPr>
      </w:pPr>
    </w:p>
    <w:p>
      <w:pPr>
        <w:jc w:val="center"/>
        <w:ind w:right="1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8"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540"/>
        <w:spacing w:after="0"/>
        <w:rPr>
          <w:sz w:val="20"/>
          <w:szCs w:val="20"/>
          <w:color w:val="auto"/>
        </w:rPr>
      </w:pPr>
      <w:r>
        <w:rPr>
          <w:rFonts w:ascii="Arial" w:cs="Arial" w:eastAsia="Arial" w:hAnsi="Arial"/>
          <w:sz w:val="14"/>
          <w:szCs w:val="14"/>
          <w:b w:val="1"/>
          <w:bCs w:val="1"/>
          <w:color w:val="auto"/>
        </w:rPr>
        <w:t>(IRS Employer</w:t>
      </w:r>
    </w:p>
    <w:p>
      <w:pPr>
        <w:spacing w:after="0" w:line="25" w:lineRule="exact"/>
        <w:rPr>
          <w:sz w:val="24"/>
          <w:szCs w:val="24"/>
          <w:color w:val="auto"/>
        </w:rPr>
      </w:pPr>
    </w:p>
    <w:p>
      <w:pPr>
        <w:jc w:val="center"/>
        <w:ind w:right="15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600" w:space="720"/>
            <w:col w:w="2520" w:space="720"/>
            <w:col w:w="2680"/>
          </w:cols>
          <w:pgMar w:left="320" w:top="1259" w:right="339" w:bottom="1440" w:gutter="0" w:footer="0" w:header="0"/>
          <w:type w:val="continuous"/>
        </w:sectPr>
      </w:pPr>
    </w:p>
    <w:p>
      <w:pPr>
        <w:spacing w:after="0" w:line="1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1261 Liberty Way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Vista, CA 92081</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(760) 560-1501</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ectPr>
          <w:pgSz w:w="11900" w:h="16838" w:orient="portrait"/>
          <w:cols w:equalWidth="0" w:num="1">
            <w:col w:w="11240"/>
          </w:cols>
          <w:pgMar w:left="320" w:top="1259" w:right="339" w:bottom="1440" w:gutter="0" w:footer="0" w:header="0"/>
          <w:type w:val="continuous"/>
        </w:sectPr>
      </w:pPr>
    </w:p>
    <w:p>
      <w:pPr>
        <w:spacing w:after="0" w:line="198"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57"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54"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51"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44"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83"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30"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36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80" w:type="dxa"/>
            <w:vAlign w:val="bottom"/>
          </w:tcPr>
          <w:p>
            <w:pPr>
              <w:spacing w:after="0"/>
              <w:rPr>
                <w:sz w:val="15"/>
                <w:szCs w:val="15"/>
                <w:color w:val="auto"/>
              </w:rPr>
            </w:pPr>
          </w:p>
        </w:tc>
        <w:tc>
          <w:tcPr>
            <w:tcW w:w="376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r>
      <w:tr>
        <w:trPr>
          <w:trHeight w:val="213"/>
        </w:trPr>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6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8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r>
      <w:tr>
        <w:trPr>
          <w:trHeight w:val="25"/>
        </w:trPr>
        <w:tc>
          <w:tcPr>
            <w:tcW w:w="3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28"/>
        </w:trPr>
        <w:tc>
          <w:tcPr>
            <w:tcW w:w="3780" w:type="dxa"/>
            <w:vAlign w:val="bottom"/>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60" w:type="dxa"/>
            <w:vAlign w:val="bottom"/>
          </w:tcPr>
          <w:p>
            <w:pPr>
              <w:spacing w:after="0"/>
              <w:rPr>
                <w:sz w:val="19"/>
                <w:szCs w:val="19"/>
                <w:color w:val="auto"/>
              </w:rPr>
            </w:pP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rPr>
              <w:t>XGN</w:t>
            </w:r>
          </w:p>
        </w:tc>
        <w:tc>
          <w:tcPr>
            <w:tcW w:w="180" w:type="dxa"/>
            <w:vAlign w:val="bottom"/>
          </w:tcPr>
          <w:p>
            <w:pPr>
              <w:spacing w:after="0"/>
              <w:rPr>
                <w:sz w:val="19"/>
                <w:szCs w:val="19"/>
                <w:color w:val="auto"/>
              </w:rPr>
            </w:pPr>
          </w:p>
        </w:tc>
        <w:tc>
          <w:tcPr>
            <w:tcW w:w="376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Global Market</w:t>
            </w:r>
          </w:p>
        </w:tc>
      </w:tr>
    </w:tbl>
    <w:p>
      <w:pPr>
        <w:spacing w:after="0" w:line="255" w:lineRule="exact"/>
        <w:rPr>
          <w:sz w:val="24"/>
          <w:szCs w:val="24"/>
          <w:color w:val="auto"/>
        </w:rPr>
      </w:pPr>
    </w:p>
    <w:p>
      <w:pPr>
        <w:ind w:right="80"/>
        <w:spacing w:after="0" w:line="228" w:lineRule="exact"/>
        <w:rPr>
          <w:sz w:val="20"/>
          <w:szCs w:val="20"/>
          <w:color w:val="auto"/>
        </w:rPr>
      </w:pPr>
      <w:r>
        <w:rPr>
          <w:rFonts w:ascii="Arial" w:cs="Arial" w:eastAsia="Arial" w:hAnsi="Arial"/>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7"/>
          <w:szCs w:val="17"/>
          <w:color w:val="auto"/>
        </w:rPr>
        <w:t>☒</w:t>
      </w:r>
    </w:p>
    <w:p>
      <w:pPr>
        <w:spacing w:after="0" w:line="139" w:lineRule="exact"/>
        <w:rPr>
          <w:sz w:val="24"/>
          <w:szCs w:val="24"/>
          <w:color w:val="auto"/>
        </w:rPr>
      </w:pPr>
    </w:p>
    <w:p>
      <w:pPr>
        <w:ind w:right="580"/>
        <w:spacing w:after="0" w:line="222"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809625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 August 7, 2023, the Company reported its financial results for the three and six months ended June 30, 2023. A copy of the press release issued by the Company is furnished as Exhibit 99.1 to this report.</w:t>
      </w:r>
    </w:p>
    <w:p>
      <w:pPr>
        <w:spacing w:after="0" w:line="170" w:lineRule="exact"/>
        <w:rPr>
          <w:sz w:val="20"/>
          <w:szCs w:val="20"/>
          <w:color w:val="auto"/>
        </w:rPr>
      </w:pPr>
    </w:p>
    <w:p>
      <w:pPr>
        <w:jc w:val="both"/>
        <w:ind w:right="120"/>
        <w:spacing w:after="0" w:line="301" w:lineRule="auto"/>
        <w:rPr>
          <w:sz w:val="20"/>
          <w:szCs w:val="20"/>
          <w:color w:val="auto"/>
        </w:rPr>
      </w:pPr>
      <w:r>
        <w:rPr>
          <w:rFonts w:ascii="Arial" w:cs="Arial" w:eastAsia="Arial" w:hAnsi="Arial"/>
          <w:sz w:val="16"/>
          <w:szCs w:val="16"/>
          <w:color w:val="auto"/>
        </w:rPr>
        <w:t>The information furnished with Item 2.02 of this report, including Exhibit 99.1, is being furnished and shall not be deemed “filed” for purposes of Section 18 of the Securities Exchange Act of 1934, as amended (the “Exchange Act”), or otherwise subject to the liabilities of that section, nor shall it be deemed incorporated by reference into any other filings under the Exchange Act or under the Securities Act of 1933, as amended, whether made before or after the date hereof, regardless of any general incorporation language in such filing, except as shall be expressly set forth by specific reference in such a filing.</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0" w:type="dxa"/>
            <w:vAlign w:val="bottom"/>
          </w:tcPr>
          <w:p>
            <w:pPr>
              <w:ind w:left="140"/>
              <w:spacing w:after="0"/>
              <w:rPr>
                <w:sz w:val="20"/>
                <w:szCs w:val="20"/>
                <w:color w:val="auto"/>
              </w:rPr>
            </w:pPr>
            <w:r>
              <w:rPr>
                <w:rFonts w:ascii="Arial" w:cs="Arial" w:eastAsia="Arial" w:hAnsi="Arial"/>
                <w:sz w:val="14"/>
                <w:szCs w:val="14"/>
                <w:b w:val="1"/>
                <w:bCs w:val="1"/>
                <w:color w:val="auto"/>
              </w:rPr>
              <w:t>Exhibit No.</w:t>
            </w:r>
          </w:p>
        </w:tc>
        <w:tc>
          <w:tcPr>
            <w:tcW w:w="520" w:type="dxa"/>
            <w:vAlign w:val="bottom"/>
          </w:tcPr>
          <w:p>
            <w:pPr>
              <w:spacing w:after="0"/>
              <w:rPr>
                <w:sz w:val="16"/>
                <w:szCs w:val="16"/>
                <w:color w:val="auto"/>
              </w:rPr>
            </w:pPr>
          </w:p>
        </w:tc>
        <w:tc>
          <w:tcPr>
            <w:tcW w:w="974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6"/>
        </w:trPr>
        <w:tc>
          <w:tcPr>
            <w:tcW w:w="98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7180" w:type="dxa"/>
            <w:vAlign w:val="bottom"/>
          </w:tcPr>
          <w:p>
            <w:pPr>
              <w:spacing w:after="0"/>
              <w:rPr>
                <w:sz w:val="2"/>
                <w:szCs w:val="2"/>
                <w:color w:val="auto"/>
              </w:rPr>
            </w:pPr>
          </w:p>
        </w:tc>
      </w:tr>
      <w:tr>
        <w:trPr>
          <w:trHeight w:val="439"/>
        </w:trPr>
        <w:tc>
          <w:tcPr>
            <w:tcW w:w="980" w:type="dxa"/>
            <w:vAlign w:val="bottom"/>
          </w:tcPr>
          <w:p>
            <w:pPr>
              <w:ind w:left="20"/>
              <w:spacing w:after="0"/>
              <w:rPr>
                <w:sz w:val="20"/>
                <w:szCs w:val="20"/>
                <w:color w:val="auto"/>
              </w:rPr>
            </w:pPr>
            <w:r>
              <w:rPr>
                <w:rFonts w:ascii="Arial" w:cs="Arial" w:eastAsia="Arial" w:hAnsi="Arial"/>
                <w:sz w:val="18"/>
                <w:szCs w:val="18"/>
                <w:color w:val="auto"/>
              </w:rPr>
              <w:t>99.1</w:t>
            </w:r>
          </w:p>
        </w:tc>
        <w:tc>
          <w:tcPr>
            <w:tcW w:w="520" w:type="dxa"/>
            <w:vAlign w:val="bottom"/>
          </w:tcPr>
          <w:p>
            <w:pPr>
              <w:spacing w:after="0"/>
              <w:rPr>
                <w:sz w:val="24"/>
                <w:szCs w:val="24"/>
                <w:color w:val="auto"/>
              </w:rPr>
            </w:pPr>
          </w:p>
        </w:tc>
        <w:tc>
          <w:tcPr>
            <w:tcW w:w="25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6"/>
              </w:rPr>
              <w:t>Press Release dated August 7, 2023</w:t>
            </w:r>
          </w:p>
        </w:tc>
        <w:tc>
          <w:tcPr>
            <w:tcW w:w="7180" w:type="dxa"/>
            <w:vAlign w:val="bottom"/>
          </w:tcPr>
          <w:p>
            <w:pPr>
              <w:spacing w:after="0"/>
              <w:rPr>
                <w:sz w:val="24"/>
                <w:szCs w:val="24"/>
                <w:color w:val="auto"/>
              </w:rPr>
            </w:pPr>
          </w:p>
        </w:tc>
      </w:tr>
      <w:tr>
        <w:trPr>
          <w:trHeight w:val="520"/>
        </w:trPr>
        <w:tc>
          <w:tcPr>
            <w:tcW w:w="980" w:type="dxa"/>
            <w:vAlign w:val="bottom"/>
          </w:tcPr>
          <w:p>
            <w:pPr>
              <w:ind w:left="20"/>
              <w:spacing w:after="0"/>
              <w:rPr>
                <w:sz w:val="20"/>
                <w:szCs w:val="20"/>
                <w:color w:val="auto"/>
              </w:rPr>
            </w:pPr>
            <w:r>
              <w:rPr>
                <w:rFonts w:ascii="Arial" w:cs="Arial" w:eastAsia="Arial" w:hAnsi="Arial"/>
                <w:sz w:val="18"/>
                <w:szCs w:val="18"/>
                <w:color w:val="auto"/>
              </w:rPr>
              <w:t>104</w:t>
            </w:r>
          </w:p>
        </w:tc>
        <w:tc>
          <w:tcPr>
            <w:tcW w:w="520" w:type="dxa"/>
            <w:vAlign w:val="bottom"/>
          </w:tcPr>
          <w:p>
            <w:pPr>
              <w:spacing w:after="0"/>
              <w:rPr>
                <w:sz w:val="24"/>
                <w:szCs w:val="24"/>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519"/>
        </w:trPr>
        <w:tc>
          <w:tcPr>
            <w:tcW w:w="9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6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EXAGEN INC.</w:t>
      </w:r>
    </w:p>
    <w:p>
      <w:pPr>
        <w:spacing w:after="0" w:line="279" w:lineRule="exact"/>
        <w:rPr>
          <w:sz w:val="20"/>
          <w:szCs w:val="20"/>
          <w:color w:val="auto"/>
        </w:rPr>
      </w:pPr>
    </w:p>
    <w:p>
      <w:pPr>
        <w:ind w:left="20"/>
        <w:spacing w:after="0"/>
        <w:tabs>
          <w:tab w:leader="none" w:pos="5200" w:val="left"/>
          <w:tab w:leader="none" w:pos="5800" w:val="left"/>
        </w:tabs>
        <w:rPr>
          <w:sz w:val="20"/>
          <w:szCs w:val="20"/>
          <w:color w:val="auto"/>
        </w:rPr>
      </w:pPr>
      <w:r>
        <w:rPr>
          <w:rFonts w:ascii="Arial" w:cs="Arial" w:eastAsia="Arial" w:hAnsi="Arial"/>
          <w:sz w:val="18"/>
          <w:szCs w:val="18"/>
          <w:color w:val="auto"/>
        </w:rPr>
        <w:t>Date: August 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Kamal Adawi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23495</wp:posOffset>
            </wp:positionV>
            <wp:extent cx="28289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Kamal Adawi</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00"/>
          </w:cols>
          <w:pgMar w:left="320" w:top="1097"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1466215" cy="5403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46621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Exagen Inc. Reports Strong Second Quarter 2023 Results</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color w:val="auto"/>
        </w:rPr>
        <w:t>August 7, 2023</w:t>
      </w:r>
    </w:p>
    <w:p>
      <w:pPr>
        <w:spacing w:after="0" w:line="256"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SAN DIEGO – Exagen Inc. (Nasdaq: XGN), a leading provider of autoimmune testng solutons, today reported fnancial results for the quarter ended June 30, 2023.</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Second Quarter Highlights:</w:t>
      </w:r>
    </w:p>
    <w:p>
      <w:pPr>
        <w:spacing w:after="0" w:line="162"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9"/>
          <w:szCs w:val="19"/>
          <w:color w:val="auto"/>
        </w:rPr>
      </w:pPr>
      <w:r>
        <w:rPr>
          <w:rFonts w:ascii="Arial" w:cs="Arial" w:eastAsia="Arial" w:hAnsi="Arial"/>
          <w:sz w:val="19"/>
          <w:szCs w:val="19"/>
          <w:color w:val="auto"/>
        </w:rPr>
        <w:t>Delivered a record 37,749 AVISE® CTD tests in the second quarter, an 8% increase over the second quarter of 2022.</w:t>
      </w:r>
    </w:p>
    <w:p>
      <w:pPr>
        <w:spacing w:after="0" w:line="173" w:lineRule="exact"/>
        <w:rPr>
          <w:rFonts w:ascii="Arial" w:cs="Arial" w:eastAsia="Arial" w:hAnsi="Arial"/>
          <w:sz w:val="19"/>
          <w:szCs w:val="19"/>
          <w:color w:val="auto"/>
        </w:rPr>
      </w:pPr>
    </w:p>
    <w:p>
      <w:pPr>
        <w:ind w:left="980" w:hanging="324"/>
        <w:spacing w:after="0"/>
        <w:tabs>
          <w:tab w:leader="none" w:pos="980" w:val="left"/>
        </w:tabs>
        <w:numPr>
          <w:ilvl w:val="0"/>
          <w:numId w:val="2"/>
        </w:numPr>
        <w:rPr>
          <w:rFonts w:ascii="Arial" w:cs="Arial" w:eastAsia="Arial" w:hAnsi="Arial"/>
          <w:sz w:val="20"/>
          <w:szCs w:val="20"/>
          <w:color w:val="auto"/>
        </w:rPr>
      </w:pPr>
      <w:r>
        <w:rPr>
          <w:rFonts w:ascii="Arial" w:cs="Arial" w:eastAsia="Arial" w:hAnsi="Arial"/>
          <w:sz w:val="20"/>
          <w:szCs w:val="20"/>
          <w:color w:val="auto"/>
        </w:rPr>
        <w:t>Recognized total revenue of $14.1 million for the second quarter, a 26% increase over the frst quarter of 2023.</w:t>
      </w:r>
    </w:p>
    <w:p>
      <w:pPr>
        <w:spacing w:after="0" w:line="161" w:lineRule="exact"/>
        <w:rPr>
          <w:rFonts w:ascii="Arial" w:cs="Arial" w:eastAsia="Arial" w:hAnsi="Arial"/>
          <w:sz w:val="20"/>
          <w:szCs w:val="20"/>
          <w:color w:val="auto"/>
        </w:rPr>
      </w:pPr>
    </w:p>
    <w:p>
      <w:pPr>
        <w:ind w:left="980" w:hanging="324"/>
        <w:spacing w:after="0"/>
        <w:tabs>
          <w:tab w:leader="none" w:pos="980" w:val="left"/>
        </w:tabs>
        <w:numPr>
          <w:ilvl w:val="0"/>
          <w:numId w:val="2"/>
        </w:numPr>
        <w:rPr>
          <w:rFonts w:ascii="Arial" w:cs="Arial" w:eastAsia="Arial" w:hAnsi="Arial"/>
          <w:sz w:val="20"/>
          <w:szCs w:val="20"/>
          <w:color w:val="auto"/>
        </w:rPr>
      </w:pPr>
      <w:r>
        <w:rPr>
          <w:rFonts w:ascii="Arial" w:cs="Arial" w:eastAsia="Arial" w:hAnsi="Arial"/>
          <w:sz w:val="20"/>
          <w:szCs w:val="20"/>
          <w:color w:val="auto"/>
        </w:rPr>
        <w:t>Achieved gross margin of 54% in the six months ended June 30, 2023.</w:t>
      </w:r>
    </w:p>
    <w:p>
      <w:pPr>
        <w:spacing w:after="0" w:line="161" w:lineRule="exact"/>
        <w:rPr>
          <w:rFonts w:ascii="Arial" w:cs="Arial" w:eastAsia="Arial" w:hAnsi="Arial"/>
          <w:sz w:val="20"/>
          <w:szCs w:val="20"/>
          <w:color w:val="auto"/>
        </w:rPr>
      </w:pPr>
    </w:p>
    <w:p>
      <w:pPr>
        <w:ind w:left="980" w:hanging="324"/>
        <w:spacing w:after="0"/>
        <w:tabs>
          <w:tab w:leader="none" w:pos="980" w:val="left"/>
        </w:tabs>
        <w:numPr>
          <w:ilvl w:val="0"/>
          <w:numId w:val="2"/>
        </w:numPr>
        <w:rPr>
          <w:rFonts w:ascii="Arial" w:cs="Arial" w:eastAsia="Arial" w:hAnsi="Arial"/>
          <w:sz w:val="20"/>
          <w:szCs w:val="20"/>
          <w:color w:val="auto"/>
        </w:rPr>
      </w:pPr>
      <w:r>
        <w:rPr>
          <w:rFonts w:ascii="Arial" w:cs="Arial" w:eastAsia="Arial" w:hAnsi="Arial"/>
          <w:sz w:val="20"/>
          <w:szCs w:val="20"/>
          <w:color w:val="auto"/>
        </w:rPr>
        <w:t>AVISE® CTD trailing twelve-month ASP of $320.</w:t>
      </w:r>
    </w:p>
    <w:p>
      <w:pPr>
        <w:spacing w:after="0" w:line="148" w:lineRule="exact"/>
        <w:rPr>
          <w:sz w:val="20"/>
          <w:szCs w:val="20"/>
          <w:color w:val="auto"/>
        </w:rPr>
      </w:pPr>
    </w:p>
    <w:p>
      <w:pPr>
        <w:jc w:val="both"/>
        <w:ind w:right="60"/>
        <w:spacing w:after="0" w:line="269" w:lineRule="auto"/>
        <w:rPr>
          <w:sz w:val="20"/>
          <w:szCs w:val="20"/>
          <w:color w:val="auto"/>
        </w:rPr>
      </w:pPr>
      <w:r>
        <w:rPr>
          <w:rFonts w:ascii="Arial" w:cs="Arial" w:eastAsia="Arial" w:hAnsi="Arial"/>
          <w:sz w:val="19"/>
          <w:szCs w:val="19"/>
          <w:color w:val="auto"/>
        </w:rPr>
        <w:t>"I'm very proud of the Exagen team and the results we have delivered as we operate a more efectve organizaton, ensuring we contnue to provide the best testng solutons to the Rheumatology community. Although these results have surpassed our expectatons, our ambitons for the future remain even greater," said John Aballi, President and Chief Executve Ofcer of Exagen.</w:t>
      </w: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Second Quarter 2023 Financial Results</w:t>
      </w:r>
    </w:p>
    <w:p>
      <w:pPr>
        <w:spacing w:after="0" w:line="148"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Revenue was $14.1 million for the second quarter of 2023, compared with $11.2 million in the frst quarter of 2023 and $7.6 million in the second quarter of 2022, primarily due to an increase in ASP and, as previously disclosed, due to Q2 2022 Medicare revenue being constrained and recognized in Q3 of 2022. Gross margin was 58.7% in the second quarter of 2023, compared to 47.2% in the frst quarter of 2023 and 20.1% in the second quarter of 2022, primarily due to increased accrual rates due to improved collectons from prior periods.</w:t>
      </w:r>
    </w:p>
    <w:p>
      <w:pPr>
        <w:spacing w:after="0" w:line="199" w:lineRule="exact"/>
        <w:rPr>
          <w:sz w:val="20"/>
          <w:szCs w:val="20"/>
          <w:color w:val="auto"/>
        </w:rPr>
      </w:pPr>
    </w:p>
    <w:p>
      <w:pPr>
        <w:ind w:right="40"/>
        <w:spacing w:after="0" w:line="274" w:lineRule="auto"/>
        <w:rPr>
          <w:sz w:val="20"/>
          <w:szCs w:val="20"/>
          <w:color w:val="auto"/>
        </w:rPr>
      </w:pPr>
      <w:r>
        <w:rPr>
          <w:rFonts w:ascii="Arial" w:cs="Arial" w:eastAsia="Arial" w:hAnsi="Arial"/>
          <w:sz w:val="20"/>
          <w:szCs w:val="20"/>
          <w:color w:val="auto"/>
        </w:rPr>
        <w:t>Operatng expenses were $19.1 million in the second quarter of 2023, compared with $21.7 million in the second quarter of 2022, primarily due to decreases in employee related expenses from the reducton in force in early December 2022.</w:t>
      </w:r>
    </w:p>
    <w:p>
      <w:pPr>
        <w:spacing w:after="0" w:line="109" w:lineRule="exact"/>
        <w:rPr>
          <w:sz w:val="20"/>
          <w:szCs w:val="20"/>
          <w:color w:val="auto"/>
        </w:rPr>
      </w:pPr>
    </w:p>
    <w:p>
      <w:pPr>
        <w:ind w:right="40"/>
        <w:spacing w:after="0" w:line="274" w:lineRule="auto"/>
        <w:rPr>
          <w:sz w:val="20"/>
          <w:szCs w:val="20"/>
          <w:color w:val="auto"/>
        </w:rPr>
      </w:pPr>
      <w:r>
        <w:rPr>
          <w:rFonts w:ascii="Arial" w:cs="Arial" w:eastAsia="Arial" w:hAnsi="Arial"/>
          <w:sz w:val="20"/>
          <w:szCs w:val="20"/>
          <w:color w:val="auto"/>
        </w:rPr>
        <w:t>For the second quarter of 2023, net loss was $5.0 million, compared to a net loss of $7.7 million in the frst quarter of 2023 and a net loss of $14.7 million in the second quarter of 2022.</w:t>
      </w:r>
    </w:p>
    <w:p>
      <w:pPr>
        <w:spacing w:after="0" w:line="96" w:lineRule="exact"/>
        <w:rPr>
          <w:sz w:val="20"/>
          <w:szCs w:val="20"/>
          <w:color w:val="auto"/>
        </w:rPr>
      </w:pPr>
    </w:p>
    <w:p>
      <w:pPr>
        <w:ind w:right="520"/>
        <w:spacing w:after="0" w:line="260" w:lineRule="auto"/>
        <w:rPr>
          <w:sz w:val="20"/>
          <w:szCs w:val="20"/>
          <w:color w:val="auto"/>
        </w:rPr>
      </w:pPr>
      <w:r>
        <w:rPr>
          <w:rFonts w:ascii="Arial" w:cs="Arial" w:eastAsia="Arial" w:hAnsi="Arial"/>
          <w:sz w:val="20"/>
          <w:szCs w:val="20"/>
          <w:color w:val="auto"/>
        </w:rPr>
        <w:t>Cash and cash equivalents were $31.5 million as of June 30, 2023, which refects the $10 million principal prepayment we made when refnancing our debt on April 28 of this year and an increase in accounts receivable to $16.2 million.</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2023 Guidance</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We are providing revenue guidance for the third quarter of 2023 in the range of $10 million to $10.5 million.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w:t>
      </w:r>
    </w:p>
    <w:p>
      <w:pPr>
        <w:spacing w:after="0" w:line="162" w:lineRule="exact"/>
        <w:rPr>
          <w:sz w:val="20"/>
          <w:szCs w:val="20"/>
          <w:color w:val="auto"/>
        </w:rPr>
      </w:pPr>
    </w:p>
    <w:p>
      <w:pPr>
        <w:ind w:right="100"/>
        <w:spacing w:after="0" w:line="265" w:lineRule="auto"/>
        <w:rPr>
          <w:sz w:val="20"/>
          <w:szCs w:val="20"/>
          <w:color w:val="auto"/>
        </w:rPr>
      </w:pPr>
      <w:r>
        <w:rPr>
          <w:rFonts w:ascii="Arial" w:cs="Arial" w:eastAsia="Arial" w:hAnsi="Arial"/>
          <w:sz w:val="20"/>
          <w:szCs w:val="20"/>
          <w:color w:val="auto"/>
        </w:rPr>
        <w:t>A conference call to review second quarter 2023 fnancial results and to provide a business update is scheduled for today August 7, 2023 at 8:30 AM Eastern Time (5:30 AM Pacifc Time). Interested partes may access the conference call by dialing (201) 389-0918 (U.S.) or (877) 407-0890 (internatonal). Additonally, a link to a live webcast of the call will be available in the Investor Relatons secton of Exagen's website at investors.exagen.com.</w:t>
      </w:r>
    </w:p>
    <w:p>
      <w:pPr>
        <w:spacing w:after="0" w:line="118" w:lineRule="exact"/>
        <w:rPr>
          <w:sz w:val="20"/>
          <w:szCs w:val="20"/>
          <w:color w:val="auto"/>
        </w:rPr>
      </w:pPr>
    </w:p>
    <w:p>
      <w:pPr>
        <w:ind w:right="240"/>
        <w:spacing w:after="0" w:line="265" w:lineRule="auto"/>
        <w:rPr>
          <w:sz w:val="20"/>
          <w:szCs w:val="20"/>
          <w:color w:val="auto"/>
        </w:rPr>
      </w:pPr>
      <w:r>
        <w:rPr>
          <w:rFonts w:ascii="Arial" w:cs="Arial" w:eastAsia="Arial" w:hAnsi="Arial"/>
          <w:sz w:val="20"/>
          <w:szCs w:val="20"/>
          <w:color w:val="auto"/>
        </w:rPr>
        <w:t>Partcipants are asked to join a few minutes prior to the call to register for the event. A replay of the conference call will be available untl Monday, August 21, 2023 at 11:59 PM Eastern Time (8:59 PM Pacifc Time). Interested partes may access the replay by dialing (201) 612-7415 (U.S.) or (877) 660-6853 (internatonal) using passcode 13736103. A link to the replay of the webcast will also be available in the Investor Relatons secton of Exagen's website.</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Exagen</w:t>
      </w:r>
    </w:p>
    <w:p>
      <w:pPr>
        <w:spacing w:after="0" w:line="162" w:lineRule="exact"/>
        <w:rPr>
          <w:sz w:val="20"/>
          <w:szCs w:val="20"/>
          <w:color w:val="auto"/>
        </w:rPr>
      </w:pPr>
    </w:p>
    <w:p>
      <w:pPr>
        <w:ind w:right="120"/>
        <w:spacing w:after="0" w:line="302" w:lineRule="auto"/>
        <w:rPr>
          <w:sz w:val="20"/>
          <w:szCs w:val="20"/>
          <w:color w:val="auto"/>
        </w:rPr>
      </w:pPr>
      <w:r>
        <w:rPr>
          <w:rFonts w:ascii="Arial" w:cs="Arial" w:eastAsia="Arial" w:hAnsi="Arial"/>
          <w:sz w:val="19"/>
          <w:szCs w:val="19"/>
          <w:color w:val="auto"/>
        </w:rPr>
        <w:t>Exagen is a leading provider of autoimmune testng and its purpose as an organizaton is to provide clarity in autoimmune disease decision making with the goal of improving patents’ clinical outcomes. Exagen is located in San Diego County, California.</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color w:val="auto"/>
        </w:rPr>
        <w:t>For more informaton, please visit Exagen.com or follow @ExagenInc on Twiter.</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 Looking Statements</w:t>
      </w:r>
    </w:p>
    <w:p>
      <w:pPr>
        <w:spacing w:after="0" w:line="162" w:lineRule="exact"/>
        <w:rPr>
          <w:sz w:val="20"/>
          <w:szCs w:val="20"/>
          <w:color w:val="auto"/>
        </w:rPr>
      </w:pPr>
    </w:p>
    <w:p>
      <w:pPr>
        <w:spacing w:after="0" w:line="297" w:lineRule="auto"/>
        <w:rPr>
          <w:sz w:val="20"/>
          <w:szCs w:val="20"/>
          <w:color w:val="auto"/>
        </w:rPr>
      </w:pPr>
      <w:r>
        <w:rPr>
          <w:rFonts w:ascii="Arial" w:cs="Arial" w:eastAsia="Arial" w:hAnsi="Arial"/>
          <w:sz w:val="18"/>
          <w:szCs w:val="18"/>
          <w:color w:val="auto"/>
        </w:rPr>
        <w:t>Exagen cautons you that statements contained in this press release regarding maters that are not historical facts are forward-looking statements. These statements are based on Exagen's current beliefs and expectatons. Such forward-looking statements include, but are not limited to, statements regarding: Exagen’s goals, strategies and ambitons; the potental utlity and efectveness of Exagen’s services and testng solutons, potental shareholder value and growth, and guidance. The inclusion of forward-looking statements should not be regarded as a representaton by Exagen that any of its plans will be achieved. Actual results may difer from those set forth in this press</w:t>
      </w:r>
    </w:p>
    <w:p>
      <w:pPr>
        <w:spacing w:after="0" w:line="2" w:lineRule="exact"/>
        <w:rPr>
          <w:sz w:val="20"/>
          <w:szCs w:val="20"/>
          <w:color w:val="auto"/>
        </w:rPr>
      </w:pPr>
    </w:p>
    <w:p>
      <w:pPr>
        <w:ind w:right="20"/>
        <w:spacing w:after="0" w:line="291" w:lineRule="auto"/>
        <w:rPr>
          <w:sz w:val="20"/>
          <w:szCs w:val="20"/>
          <w:color w:val="auto"/>
        </w:rPr>
      </w:pPr>
      <w:r>
        <w:rPr>
          <w:rFonts w:ascii="Arial" w:cs="Arial" w:eastAsia="Arial" w:hAnsi="Arial"/>
          <w:sz w:val="18"/>
          <w:szCs w:val="18"/>
          <w:color w:val="auto"/>
        </w:rPr>
        <w:t>release due to the risks and uncertaintes inherent in Exagen’s business, including, without limitaton: delays in reimbursement and coverage decisions from Medicare and third-party payors and in interactons with regulatory authorites, and delays in ongoing and planned clinical trials involving its tests; Exagen’s commercial success depends upon ataining and maintaining signifcant market acceptance of its testng products among rheumatologists, patents, third-party payors and others in the medical community; Exagen’s ability to successfully execute on its business strategies; third-party payors not providing coverage and adequate reimbursement for Exagen’s testng products, including Exagen’s ability to collect on funds due; Exagen’s ability to obtain and maintain intellectual property protecton for its testng products; regulatory developments afectng Exagen’s business; and other risks described in Exagen’s prior press releases and Exagen’s flings with the Securites and Exchange Commission (“SEC”), including under the heading “Risk Factors” in Exagen’s Annual Report on Form 10-K for the year ended December 31, 2022 and any subsequent flings with the SEC. You are cautoned not to place undue reliance on these forward-looking statements, which speak only as of the date hereof, and Exagen undertakes no obligaton to update such statements to refect events that occur or circumstances that exist afer the date hereof. All forward-</w:t>
      </w:r>
    </w:p>
    <w:p>
      <w:pPr>
        <w:sectPr>
          <w:pgSz w:w="11900" w:h="16838" w:orient="portrait"/>
          <w:cols w:equalWidth="0" w:num="1">
            <w:col w:w="11220"/>
          </w:cols>
          <w:pgMar w:left="320" w:top="1397" w:right="359" w:bottom="1440" w:gutter="0" w:footer="0" w:header="0"/>
        </w:sectPr>
      </w:pPr>
    </w:p>
    <w:bookmarkStart w:id="5" w:name="page6"/>
    <w:bookmarkEnd w:id="5"/>
    <w:p>
      <w:pPr>
        <w:spacing w:after="0" w:line="274" w:lineRule="auto"/>
        <w:rPr>
          <w:sz w:val="20"/>
          <w:szCs w:val="20"/>
          <w:color w:val="auto"/>
        </w:rPr>
      </w:pPr>
      <w:r>
        <w:rPr>
          <w:rFonts w:ascii="Arial" w:cs="Arial" w:eastAsia="Arial" w:hAnsi="Arial"/>
          <w:sz w:val="20"/>
          <w:szCs w:val="20"/>
          <w:color w:val="auto"/>
        </w:rPr>
        <w:t>looking statements are qualifed in their entrety by this cautonary statement, which is made under the safe harbor provisions of the Private Securites Litgaton Reform Act of 1995.</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Relatons</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Exagen Inc.</w:t>
      </w:r>
    </w:p>
    <w:p>
      <w:pPr>
        <w:spacing w:after="0"/>
        <w:rPr>
          <w:sz w:val="20"/>
          <w:szCs w:val="20"/>
          <w:color w:val="auto"/>
        </w:rPr>
      </w:pPr>
      <w:r>
        <w:rPr>
          <w:rFonts w:ascii="Arial" w:cs="Arial" w:eastAsia="Arial" w:hAnsi="Arial"/>
          <w:sz w:val="20"/>
          <w:szCs w:val="20"/>
          <w:color w:val="auto"/>
        </w:rPr>
        <w:t>Ryan Douglas</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u w:val="single" w:color="auto"/>
          <w:color w:val="0563C1"/>
        </w:rPr>
        <w:t>rdouglas@exagen.com</w:t>
      </w:r>
    </w:p>
    <w:p>
      <w:pPr>
        <w:spacing w:after="0"/>
        <w:rPr>
          <w:sz w:val="20"/>
          <w:szCs w:val="20"/>
          <w:color w:val="auto"/>
        </w:rPr>
      </w:pPr>
      <w:r>
        <w:rPr>
          <w:rFonts w:ascii="Arial" w:cs="Arial" w:eastAsia="Arial" w:hAnsi="Arial"/>
          <w:sz w:val="20"/>
          <w:szCs w:val="20"/>
          <w:color w:val="auto"/>
        </w:rPr>
        <w:t>760.560.1525</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Company</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Exagen Inc.</w:t>
      </w:r>
    </w:p>
    <w:p>
      <w:pPr>
        <w:spacing w:after="0"/>
        <w:rPr>
          <w:sz w:val="20"/>
          <w:szCs w:val="20"/>
          <w:color w:val="auto"/>
        </w:rPr>
      </w:pPr>
      <w:r>
        <w:rPr>
          <w:rFonts w:ascii="Arial" w:cs="Arial" w:eastAsia="Arial" w:hAnsi="Arial"/>
          <w:sz w:val="20"/>
          <w:szCs w:val="20"/>
          <w:color w:val="auto"/>
        </w:rPr>
        <w:t>Kamal Adawi, Chief Financial Ofcer</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u w:val="single" w:color="auto"/>
          <w:color w:val="0563C1"/>
        </w:rPr>
        <w:t>kadawi@exagen.com</w:t>
      </w:r>
    </w:p>
    <w:p>
      <w:pPr>
        <w:sectPr>
          <w:pgSz w:w="11900" w:h="16838" w:orient="portrait"/>
          <w:cols w:equalWidth="0" w:num="1">
            <w:col w:w="10640"/>
          </w:cols>
          <w:pgMar w:left="320" w:top="1397" w:right="939" w:bottom="1440" w:gutter="0" w:footer="0" w:header="0"/>
        </w:sectPr>
      </w:pPr>
    </w:p>
    <w:bookmarkStart w:id="6" w:name="page7"/>
    <w:bookmarkEnd w:id="6"/>
    <w:p>
      <w:pPr>
        <w:ind w:left="510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Unaudited Condensed Statements of Operations</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6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ind w:right="308"/>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4"/>
          </w:tcPr>
          <w:p>
            <w:pPr>
              <w:jc w:val="right"/>
              <w:ind w:right="38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3"/>
        </w:trPr>
        <w:tc>
          <w:tcPr>
            <w:tcW w:w="56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373"/>
        </w:trPr>
        <w:tc>
          <w:tcPr>
            <w:tcW w:w="5600" w:type="dxa"/>
            <w:vAlign w:val="bottom"/>
          </w:tcPr>
          <w:p>
            <w:pPr>
              <w:spacing w:after="0"/>
              <w:rPr>
                <w:sz w:val="20"/>
                <w:szCs w:val="20"/>
                <w:color w:val="auto"/>
              </w:rPr>
            </w:pPr>
            <w:r>
              <w:rPr>
                <w:rFonts w:ascii="Arial" w:cs="Arial" w:eastAsia="Arial" w:hAnsi="Arial"/>
                <w:sz w:val="14"/>
                <w:szCs w:val="14"/>
                <w:color w:val="auto"/>
              </w:rPr>
              <w:t>Revenue</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14,137</w:t>
            </w:r>
          </w:p>
        </w:tc>
        <w:tc>
          <w:tcPr>
            <w:tcW w:w="40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7,606</w:t>
            </w:r>
          </w:p>
        </w:tc>
        <w:tc>
          <w:tcPr>
            <w:tcW w:w="38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25,367</w:t>
            </w:r>
          </w:p>
        </w:tc>
        <w:tc>
          <w:tcPr>
            <w:tcW w:w="42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18,000</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20"/>
                <w:szCs w:val="20"/>
                <w:color w:val="auto"/>
              </w:rPr>
            </w:pPr>
            <w:r>
              <w:rPr>
                <w:rFonts w:ascii="Arial" w:cs="Arial" w:eastAsia="Arial" w:hAnsi="Arial"/>
                <w:sz w:val="14"/>
                <w:szCs w:val="14"/>
                <w:color w:val="auto"/>
              </w:rPr>
              <w:t>Operating expenses:</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ind w:left="340"/>
              <w:spacing w:after="0"/>
              <w:rPr>
                <w:sz w:val="20"/>
                <w:szCs w:val="20"/>
                <w:color w:val="auto"/>
              </w:rPr>
            </w:pPr>
            <w:r>
              <w:rPr>
                <w:rFonts w:ascii="Arial" w:cs="Arial" w:eastAsia="Arial" w:hAnsi="Arial"/>
                <w:sz w:val="14"/>
                <w:szCs w:val="14"/>
                <w:color w:val="auto"/>
              </w:rPr>
              <w:t>Costs of revenue</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5,836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6,078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11,762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11,895</w:t>
            </w:r>
          </w:p>
        </w:tc>
        <w:tc>
          <w:tcPr>
            <w:tcW w:w="0" w:type="dxa"/>
            <w:vAlign w:val="bottom"/>
          </w:tcPr>
          <w:p>
            <w:pPr>
              <w:spacing w:after="0"/>
              <w:rPr>
                <w:sz w:val="1"/>
                <w:szCs w:val="1"/>
                <w:color w:val="auto"/>
              </w:rPr>
            </w:pPr>
          </w:p>
        </w:tc>
      </w:tr>
      <w:tr>
        <w:trPr>
          <w:trHeight w:val="189"/>
        </w:trPr>
        <w:tc>
          <w:tcPr>
            <w:tcW w:w="5600" w:type="dxa"/>
            <w:vAlign w:val="bottom"/>
          </w:tcPr>
          <w:p>
            <w:pPr>
              <w:ind w:left="340"/>
              <w:spacing w:after="0"/>
              <w:rPr>
                <w:sz w:val="20"/>
                <w:szCs w:val="20"/>
                <w:color w:val="auto"/>
              </w:rPr>
            </w:pPr>
            <w:r>
              <w:rPr>
                <w:rFonts w:ascii="Arial" w:cs="Arial" w:eastAsia="Arial" w:hAnsi="Arial"/>
                <w:sz w:val="14"/>
                <w:szCs w:val="14"/>
                <w:color w:val="auto"/>
              </w:rPr>
              <w:t>Selling, general and administrative expenses</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11,953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12,903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23,837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25,055</w:t>
            </w:r>
          </w:p>
        </w:tc>
        <w:tc>
          <w:tcPr>
            <w:tcW w:w="0" w:type="dxa"/>
            <w:vAlign w:val="bottom"/>
          </w:tcPr>
          <w:p>
            <w:pPr>
              <w:spacing w:after="0"/>
              <w:rPr>
                <w:sz w:val="1"/>
                <w:szCs w:val="1"/>
                <w:color w:val="auto"/>
              </w:rPr>
            </w:pPr>
          </w:p>
        </w:tc>
      </w:tr>
      <w:tr>
        <w:trPr>
          <w:trHeight w:val="208"/>
        </w:trPr>
        <w:tc>
          <w:tcPr>
            <w:tcW w:w="5600" w:type="dxa"/>
            <w:vAlign w:val="bottom"/>
          </w:tcPr>
          <w:p>
            <w:pPr>
              <w:ind w:left="340"/>
              <w:spacing w:after="0"/>
              <w:rPr>
                <w:sz w:val="20"/>
                <w:szCs w:val="20"/>
                <w:color w:val="auto"/>
              </w:rPr>
            </w:pPr>
            <w:r>
              <w:rPr>
                <w:rFonts w:ascii="Arial" w:cs="Arial" w:eastAsia="Arial" w:hAnsi="Arial"/>
                <w:sz w:val="14"/>
                <w:szCs w:val="14"/>
                <w:color w:val="auto"/>
              </w:rPr>
              <w:t>Research and development expenses</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1,263</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2,689</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2,389</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4,793</w:t>
            </w:r>
          </w:p>
        </w:tc>
        <w:tc>
          <w:tcPr>
            <w:tcW w:w="0" w:type="dxa"/>
            <w:vAlign w:val="bottom"/>
          </w:tcPr>
          <w:p>
            <w:pPr>
              <w:spacing w:after="0"/>
              <w:rPr>
                <w:sz w:val="1"/>
                <w:szCs w:val="1"/>
                <w:color w:val="auto"/>
              </w:rPr>
            </w:pPr>
          </w:p>
        </w:tc>
      </w:tr>
      <w:tr>
        <w:trPr>
          <w:trHeight w:val="189"/>
        </w:trPr>
        <w:tc>
          <w:tcPr>
            <w:tcW w:w="5600" w:type="dxa"/>
            <w:vAlign w:val="bottom"/>
          </w:tcPr>
          <w:p>
            <w:pPr>
              <w:ind w:left="660"/>
              <w:spacing w:after="0"/>
              <w:rPr>
                <w:sz w:val="20"/>
                <w:szCs w:val="20"/>
                <w:color w:val="auto"/>
              </w:rPr>
            </w:pPr>
            <w:r>
              <w:rPr>
                <w:rFonts w:ascii="Arial" w:cs="Arial" w:eastAsia="Arial" w:hAnsi="Arial"/>
                <w:sz w:val="14"/>
                <w:szCs w:val="14"/>
                <w:color w:val="auto"/>
              </w:rPr>
              <w:t>Total operating expenses</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19,052</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21,670</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37,988</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41,743</w:t>
            </w:r>
          </w:p>
        </w:tc>
        <w:tc>
          <w:tcPr>
            <w:tcW w:w="0" w:type="dxa"/>
            <w:vAlign w:val="bottom"/>
          </w:tcPr>
          <w:p>
            <w:pPr>
              <w:spacing w:after="0"/>
              <w:rPr>
                <w:sz w:val="1"/>
                <w:szCs w:val="1"/>
                <w:color w:val="auto"/>
              </w:rPr>
            </w:pPr>
          </w:p>
        </w:tc>
      </w:tr>
      <w:tr>
        <w:trPr>
          <w:trHeight w:val="184"/>
        </w:trPr>
        <w:tc>
          <w:tcPr>
            <w:tcW w:w="5600" w:type="dxa"/>
            <w:vAlign w:val="bottom"/>
          </w:tcPr>
          <w:p>
            <w:pPr>
              <w:spacing w:after="0"/>
              <w:rPr>
                <w:sz w:val="20"/>
                <w:szCs w:val="20"/>
                <w:color w:val="auto"/>
              </w:rPr>
            </w:pPr>
            <w:r>
              <w:rPr>
                <w:rFonts w:ascii="Arial" w:cs="Arial" w:eastAsia="Arial" w:hAnsi="Arial"/>
                <w:sz w:val="14"/>
                <w:szCs w:val="14"/>
                <w:color w:val="auto"/>
              </w:rPr>
              <w:t>Loss from operations</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(4,915)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(14,064)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(12,621)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(23,743)</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20"/>
                <w:szCs w:val="20"/>
                <w:color w:val="auto"/>
              </w:rPr>
            </w:pPr>
            <w:r>
              <w:rPr>
                <w:rFonts w:ascii="Arial" w:cs="Arial" w:eastAsia="Arial" w:hAnsi="Arial"/>
                <w:sz w:val="14"/>
                <w:szCs w:val="14"/>
                <w:color w:val="auto"/>
              </w:rPr>
              <w:t>Interest expense</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(574)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(606)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(1,212)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(1,204)</w:t>
            </w:r>
          </w:p>
        </w:tc>
        <w:tc>
          <w:tcPr>
            <w:tcW w:w="0" w:type="dxa"/>
            <w:vAlign w:val="bottom"/>
          </w:tcPr>
          <w:p>
            <w:pPr>
              <w:spacing w:after="0"/>
              <w:rPr>
                <w:sz w:val="1"/>
                <w:szCs w:val="1"/>
                <w:color w:val="auto"/>
              </w:rPr>
            </w:pPr>
          </w:p>
        </w:tc>
      </w:tr>
      <w:tr>
        <w:trPr>
          <w:trHeight w:val="201"/>
        </w:trPr>
        <w:tc>
          <w:tcPr>
            <w:tcW w:w="5600" w:type="dxa"/>
            <w:vAlign w:val="bottom"/>
          </w:tcPr>
          <w:p>
            <w:pPr>
              <w:spacing w:after="0"/>
              <w:rPr>
                <w:sz w:val="20"/>
                <w:szCs w:val="20"/>
                <w:color w:val="auto"/>
              </w:rPr>
            </w:pPr>
            <w:r>
              <w:rPr>
                <w:rFonts w:ascii="Arial" w:cs="Arial" w:eastAsia="Arial" w:hAnsi="Arial"/>
                <w:sz w:val="14"/>
                <w:szCs w:val="14"/>
                <w:color w:val="auto"/>
              </w:rPr>
              <w:t>Interest income</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476</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1,132</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9"/>
        </w:trPr>
        <w:tc>
          <w:tcPr>
            <w:tcW w:w="5600" w:type="dxa"/>
            <w:vAlign w:val="bottom"/>
          </w:tcPr>
          <w:p>
            <w:pPr>
              <w:spacing w:after="0"/>
              <w:rPr>
                <w:sz w:val="20"/>
                <w:szCs w:val="20"/>
                <w:color w:val="auto"/>
              </w:rPr>
            </w:pPr>
            <w:r>
              <w:rPr>
                <w:rFonts w:ascii="Arial" w:cs="Arial" w:eastAsia="Arial" w:hAnsi="Arial"/>
                <w:sz w:val="14"/>
                <w:szCs w:val="14"/>
                <w:color w:val="auto"/>
              </w:rPr>
              <w:t>Net loss</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(5,013)</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(14,665)</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(12,701)</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(24,937)</w:t>
            </w:r>
          </w:p>
        </w:tc>
        <w:tc>
          <w:tcPr>
            <w:tcW w:w="0" w:type="dxa"/>
            <w:vAlign w:val="bottom"/>
          </w:tcPr>
          <w:p>
            <w:pPr>
              <w:spacing w:after="0"/>
              <w:rPr>
                <w:sz w:val="1"/>
                <w:szCs w:val="1"/>
                <w:color w:val="auto"/>
              </w:rPr>
            </w:pPr>
          </w:p>
        </w:tc>
      </w:tr>
      <w:tr>
        <w:trPr>
          <w:trHeight w:val="27"/>
        </w:trPr>
        <w:tc>
          <w:tcPr>
            <w:tcW w:w="5600" w:type="dxa"/>
            <w:vAlign w:val="bottom"/>
            <w:vMerge w:val="restart"/>
          </w:tcPr>
          <w:p>
            <w:pPr>
              <w:spacing w:after="0"/>
              <w:rPr>
                <w:sz w:val="20"/>
                <w:szCs w:val="20"/>
                <w:color w:val="auto"/>
              </w:rPr>
            </w:pPr>
            <w:r>
              <w:rPr>
                <w:rFonts w:ascii="Arial" w:cs="Arial" w:eastAsia="Arial" w:hAnsi="Arial"/>
                <w:sz w:val="14"/>
                <w:szCs w:val="14"/>
                <w:color w:val="auto"/>
              </w:rPr>
              <w:t>Net loss per share, basic and diluted</w:t>
            </w: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600" w:type="dxa"/>
            <w:vAlign w:val="bottom"/>
            <w:vMerge w:val="continue"/>
          </w:tcPr>
          <w:p>
            <w:pPr>
              <w:spacing w:after="0"/>
              <w:rPr>
                <w:sz w:val="16"/>
                <w:szCs w:val="16"/>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(0.28)</w:t>
            </w:r>
          </w:p>
        </w:tc>
        <w:tc>
          <w:tcPr>
            <w:tcW w:w="40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(0.86)</w:t>
            </w:r>
          </w:p>
        </w:tc>
        <w:tc>
          <w:tcPr>
            <w:tcW w:w="38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(0.72)</w:t>
            </w:r>
          </w:p>
        </w:tc>
        <w:tc>
          <w:tcPr>
            <w:tcW w:w="42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155"/>
        </w:trPr>
        <w:tc>
          <w:tcPr>
            <w:tcW w:w="5600" w:type="dxa"/>
            <w:vAlign w:val="bottom"/>
          </w:tcPr>
          <w:p>
            <w:pPr>
              <w:spacing w:after="0" w:line="155" w:lineRule="exact"/>
              <w:rPr>
                <w:sz w:val="20"/>
                <w:szCs w:val="20"/>
                <w:color w:val="auto"/>
              </w:rPr>
            </w:pPr>
            <w:r>
              <w:rPr>
                <w:rFonts w:ascii="Arial" w:cs="Arial" w:eastAsia="Arial" w:hAnsi="Arial"/>
                <w:sz w:val="14"/>
                <w:szCs w:val="14"/>
                <w:color w:val="auto"/>
              </w:rPr>
              <w:t>Weighted-average number of shares used to compute net loss per share, basic and</w:t>
            </w: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600" w:type="dxa"/>
            <w:vAlign w:val="bottom"/>
          </w:tcPr>
          <w:p>
            <w:pPr>
              <w:spacing w:after="0"/>
              <w:rPr>
                <w:sz w:val="20"/>
                <w:szCs w:val="20"/>
                <w:color w:val="auto"/>
              </w:rPr>
            </w:pPr>
            <w:r>
              <w:rPr>
                <w:rFonts w:ascii="Arial" w:cs="Arial" w:eastAsia="Arial" w:hAnsi="Arial"/>
                <w:sz w:val="14"/>
                <w:szCs w:val="14"/>
                <w:color w:val="auto"/>
              </w:rPr>
              <w:t>diluted</w:t>
            </w: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17,655,483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17,058,516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17,591,478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17,025,636</w:t>
            </w:r>
          </w:p>
        </w:tc>
        <w:tc>
          <w:tcPr>
            <w:tcW w:w="0" w:type="dxa"/>
            <w:vAlign w:val="bottom"/>
          </w:tcPr>
          <w:p>
            <w:pPr>
              <w:spacing w:after="0"/>
              <w:rPr>
                <w:sz w:val="1"/>
                <w:szCs w:val="1"/>
                <w:color w:val="auto"/>
              </w:rPr>
            </w:pPr>
          </w:p>
        </w:tc>
      </w:tr>
    </w:tbl>
    <w:p>
      <w:pPr>
        <w:sectPr>
          <w:pgSz w:w="11900" w:h="16838" w:orient="portrait"/>
          <w:cols w:equalWidth="0" w:num="1">
            <w:col w:w="11220"/>
          </w:cols>
          <w:pgMar w:left="340" w:top="1413" w:right="339" w:bottom="1440" w:gutter="0" w:footer="0" w:header="0"/>
        </w:sectPr>
      </w:pPr>
    </w:p>
    <w:bookmarkStart w:id="7" w:name="page8"/>
    <w:bookmarkEnd w:id="7"/>
    <w:p>
      <w:pPr>
        <w:ind w:left="510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Unaudited Condensed Balance Sheets</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86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383"/>
        </w:trPr>
        <w:tc>
          <w:tcPr>
            <w:tcW w:w="866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8660" w:type="dxa"/>
            <w:vAlign w:val="bottom"/>
          </w:tcPr>
          <w:p>
            <w:pPr>
              <w:spacing w:after="0"/>
              <w:rPr>
                <w:sz w:val="20"/>
                <w:szCs w:val="20"/>
                <w:color w:val="auto"/>
              </w:rPr>
            </w:pPr>
            <w:r>
              <w:rPr>
                <w:rFonts w:ascii="Arial" w:cs="Arial" w:eastAsia="Arial" w:hAnsi="Arial"/>
                <w:sz w:val="14"/>
                <w:szCs w:val="14"/>
                <w:color w:val="auto"/>
              </w:rPr>
              <w:t>Current assets:</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660" w:type="dxa"/>
            <w:vAlign w:val="bottom"/>
          </w:tcPr>
          <w:p>
            <w:pPr>
              <w:ind w:left="340"/>
              <w:spacing w:after="0"/>
              <w:rPr>
                <w:sz w:val="20"/>
                <w:szCs w:val="20"/>
                <w:color w:val="auto"/>
              </w:rPr>
            </w:pPr>
            <w:r>
              <w:rPr>
                <w:rFonts w:ascii="Arial" w:cs="Arial" w:eastAsia="Arial" w:hAnsi="Arial"/>
                <w:sz w:val="14"/>
                <w:szCs w:val="14"/>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31,466</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62,391</w:t>
            </w:r>
          </w:p>
        </w:tc>
        <w:tc>
          <w:tcPr>
            <w:tcW w:w="0" w:type="dxa"/>
            <w:vAlign w:val="bottom"/>
          </w:tcPr>
          <w:p>
            <w:pPr>
              <w:spacing w:after="0"/>
              <w:rPr>
                <w:sz w:val="1"/>
                <w:szCs w:val="1"/>
                <w:color w:val="auto"/>
              </w:rPr>
            </w:pPr>
          </w:p>
        </w:tc>
      </w:tr>
      <w:tr>
        <w:trPr>
          <w:trHeight w:val="189"/>
        </w:trPr>
        <w:tc>
          <w:tcPr>
            <w:tcW w:w="8660" w:type="dxa"/>
            <w:vAlign w:val="bottom"/>
          </w:tcPr>
          <w:p>
            <w:pPr>
              <w:ind w:left="340"/>
              <w:spacing w:after="0"/>
              <w:rPr>
                <w:sz w:val="20"/>
                <w:szCs w:val="20"/>
                <w:color w:val="auto"/>
              </w:rPr>
            </w:pPr>
            <w:r>
              <w:rPr>
                <w:rFonts w:ascii="Arial" w:cs="Arial" w:eastAsia="Arial" w:hAnsi="Arial"/>
                <w:sz w:val="14"/>
                <w:szCs w:val="14"/>
                <w:color w:val="auto"/>
              </w:rPr>
              <w:t>Accounts receivable, net</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16,235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6,077</w:t>
            </w:r>
          </w:p>
        </w:tc>
        <w:tc>
          <w:tcPr>
            <w:tcW w:w="0" w:type="dxa"/>
            <w:vAlign w:val="bottom"/>
          </w:tcPr>
          <w:p>
            <w:pPr>
              <w:spacing w:after="0"/>
              <w:rPr>
                <w:sz w:val="1"/>
                <w:szCs w:val="1"/>
                <w:color w:val="auto"/>
              </w:rPr>
            </w:pPr>
          </w:p>
        </w:tc>
      </w:tr>
      <w:tr>
        <w:trPr>
          <w:trHeight w:val="208"/>
        </w:trPr>
        <w:tc>
          <w:tcPr>
            <w:tcW w:w="8660" w:type="dxa"/>
            <w:vAlign w:val="bottom"/>
          </w:tcPr>
          <w:p>
            <w:pPr>
              <w:ind w:left="340"/>
              <w:spacing w:after="0"/>
              <w:rPr>
                <w:sz w:val="20"/>
                <w:szCs w:val="20"/>
                <w:color w:val="auto"/>
              </w:rPr>
            </w:pPr>
            <w:r>
              <w:rPr>
                <w:rFonts w:ascii="Arial" w:cs="Arial" w:eastAsia="Arial" w:hAnsi="Arial"/>
                <w:sz w:val="14"/>
                <w:szCs w:val="14"/>
                <w:color w:val="auto"/>
              </w:rPr>
              <w:t>Prepaid expenses and other current assets</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3,570</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4,143</w:t>
            </w:r>
          </w:p>
        </w:tc>
        <w:tc>
          <w:tcPr>
            <w:tcW w:w="0" w:type="dxa"/>
            <w:vAlign w:val="bottom"/>
          </w:tcPr>
          <w:p>
            <w:pPr>
              <w:spacing w:after="0"/>
              <w:rPr>
                <w:sz w:val="1"/>
                <w:szCs w:val="1"/>
                <w:color w:val="auto"/>
              </w:rPr>
            </w:pPr>
          </w:p>
        </w:tc>
      </w:tr>
      <w:tr>
        <w:trPr>
          <w:trHeight w:val="190"/>
        </w:trPr>
        <w:tc>
          <w:tcPr>
            <w:tcW w:w="8660" w:type="dxa"/>
            <w:vAlign w:val="bottom"/>
          </w:tcPr>
          <w:p>
            <w:pPr>
              <w:ind w:left="660"/>
              <w:spacing w:after="0"/>
              <w:rPr>
                <w:sz w:val="20"/>
                <w:szCs w:val="20"/>
                <w:color w:val="auto"/>
              </w:rPr>
            </w:pPr>
            <w:r>
              <w:rPr>
                <w:rFonts w:ascii="Arial" w:cs="Arial" w:eastAsia="Arial" w:hAnsi="Arial"/>
                <w:sz w:val="14"/>
                <w:szCs w:val="14"/>
                <w:color w:val="auto"/>
              </w:rPr>
              <w:t>Total current assets</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51,271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72,611</w:t>
            </w:r>
          </w:p>
        </w:tc>
        <w:tc>
          <w:tcPr>
            <w:tcW w:w="0" w:type="dxa"/>
            <w:vAlign w:val="bottom"/>
          </w:tcPr>
          <w:p>
            <w:pPr>
              <w:spacing w:after="0"/>
              <w:rPr>
                <w:sz w:val="1"/>
                <w:szCs w:val="1"/>
                <w:color w:val="auto"/>
              </w:rPr>
            </w:pPr>
          </w:p>
        </w:tc>
      </w:tr>
      <w:tr>
        <w:trPr>
          <w:trHeight w:val="189"/>
        </w:trPr>
        <w:tc>
          <w:tcPr>
            <w:tcW w:w="866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7,875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8,197</w:t>
            </w:r>
          </w:p>
        </w:tc>
        <w:tc>
          <w:tcPr>
            <w:tcW w:w="0" w:type="dxa"/>
            <w:vAlign w:val="bottom"/>
          </w:tcPr>
          <w:p>
            <w:pPr>
              <w:spacing w:after="0"/>
              <w:rPr>
                <w:sz w:val="1"/>
                <w:szCs w:val="1"/>
                <w:color w:val="auto"/>
              </w:rPr>
            </w:pPr>
          </w:p>
        </w:tc>
      </w:tr>
      <w:tr>
        <w:trPr>
          <w:trHeight w:val="203"/>
        </w:trPr>
        <w:tc>
          <w:tcPr>
            <w:tcW w:w="8660" w:type="dxa"/>
            <w:vAlign w:val="bottom"/>
          </w:tcPr>
          <w:p>
            <w:pPr>
              <w:spacing w:after="0"/>
              <w:rPr>
                <w:sz w:val="20"/>
                <w:szCs w:val="20"/>
                <w:color w:val="auto"/>
              </w:rPr>
            </w:pPr>
            <w:r>
              <w:rPr>
                <w:rFonts w:ascii="Arial" w:cs="Arial" w:eastAsia="Arial" w:hAnsi="Arial"/>
                <w:sz w:val="14"/>
                <w:szCs w:val="14"/>
                <w:color w:val="auto"/>
              </w:rPr>
              <w:t>Operating lease right-of-use assets</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4,412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4,885</w:t>
            </w:r>
          </w:p>
        </w:tc>
        <w:tc>
          <w:tcPr>
            <w:tcW w:w="0" w:type="dxa"/>
            <w:vAlign w:val="bottom"/>
          </w:tcPr>
          <w:p>
            <w:pPr>
              <w:spacing w:after="0"/>
              <w:rPr>
                <w:sz w:val="1"/>
                <w:szCs w:val="1"/>
                <w:color w:val="auto"/>
              </w:rPr>
            </w:pPr>
          </w:p>
        </w:tc>
      </w:tr>
      <w:tr>
        <w:trPr>
          <w:trHeight w:val="201"/>
        </w:trPr>
        <w:tc>
          <w:tcPr>
            <w:tcW w:w="8660" w:type="dxa"/>
            <w:vAlign w:val="bottom"/>
          </w:tcPr>
          <w:p>
            <w:pPr>
              <w:spacing w:after="0"/>
              <w:rPr>
                <w:sz w:val="20"/>
                <w:szCs w:val="20"/>
                <w:color w:val="auto"/>
              </w:rPr>
            </w:pPr>
            <w:r>
              <w:rPr>
                <w:rFonts w:ascii="Arial" w:cs="Arial" w:eastAsia="Arial" w:hAnsi="Arial"/>
                <w:sz w:val="14"/>
                <w:szCs w:val="14"/>
                <w:color w:val="auto"/>
              </w:rPr>
              <w:t>Other assets</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620</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528</w:t>
            </w:r>
          </w:p>
        </w:tc>
        <w:tc>
          <w:tcPr>
            <w:tcW w:w="0" w:type="dxa"/>
            <w:vAlign w:val="bottom"/>
          </w:tcPr>
          <w:p>
            <w:pPr>
              <w:spacing w:after="0"/>
              <w:rPr>
                <w:sz w:val="1"/>
                <w:szCs w:val="1"/>
                <w:color w:val="auto"/>
              </w:rPr>
            </w:pPr>
          </w:p>
        </w:tc>
      </w:tr>
      <w:tr>
        <w:trPr>
          <w:trHeight w:val="189"/>
        </w:trPr>
        <w:tc>
          <w:tcPr>
            <w:tcW w:w="8660" w:type="dxa"/>
            <w:vAlign w:val="bottom"/>
          </w:tcPr>
          <w:p>
            <w:pPr>
              <w:ind w:left="660"/>
              <w:spacing w:after="0"/>
              <w:rPr>
                <w:sz w:val="20"/>
                <w:szCs w:val="20"/>
                <w:color w:val="auto"/>
              </w:rPr>
            </w:pPr>
            <w:r>
              <w:rPr>
                <w:rFonts w:ascii="Arial" w:cs="Arial" w:eastAsia="Arial" w:hAnsi="Arial"/>
                <w:sz w:val="14"/>
                <w:szCs w:val="14"/>
                <w:color w:val="auto"/>
              </w:rPr>
              <w:t>Total assets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64,178</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86,221</w:t>
            </w:r>
          </w:p>
        </w:tc>
        <w:tc>
          <w:tcPr>
            <w:tcW w:w="0" w:type="dxa"/>
            <w:vAlign w:val="bottom"/>
          </w:tcPr>
          <w:p>
            <w:pPr>
              <w:spacing w:after="0"/>
              <w:rPr>
                <w:sz w:val="1"/>
                <w:szCs w:val="1"/>
                <w:color w:val="auto"/>
              </w:rPr>
            </w:pPr>
          </w:p>
        </w:tc>
      </w:tr>
      <w:tr>
        <w:trPr>
          <w:trHeight w:val="27"/>
        </w:trPr>
        <w:tc>
          <w:tcPr>
            <w:tcW w:w="866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12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8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8660" w:type="dxa"/>
            <w:vAlign w:val="bottom"/>
          </w:tcPr>
          <w:p>
            <w:pPr>
              <w:spacing w:after="0"/>
              <w:rPr>
                <w:sz w:val="20"/>
                <w:szCs w:val="20"/>
                <w:color w:val="auto"/>
              </w:rPr>
            </w:pPr>
            <w:r>
              <w:rPr>
                <w:rFonts w:ascii="Arial" w:cs="Arial" w:eastAsia="Arial" w:hAnsi="Arial"/>
                <w:sz w:val="14"/>
                <w:szCs w:val="14"/>
                <w:color w:val="auto"/>
              </w:rPr>
              <w:t>Current liabilities:</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60" w:type="dxa"/>
            <w:vAlign w:val="bottom"/>
          </w:tcPr>
          <w:p>
            <w:pPr>
              <w:ind w:left="340"/>
              <w:spacing w:after="0"/>
              <w:rPr>
                <w:sz w:val="20"/>
                <w:szCs w:val="20"/>
                <w:color w:val="auto"/>
              </w:rPr>
            </w:pPr>
            <w:r>
              <w:rPr>
                <w:rFonts w:ascii="Arial" w:cs="Arial" w:eastAsia="Arial" w:hAnsi="Arial"/>
                <w:sz w:val="14"/>
                <w:szCs w:val="14"/>
                <w:color w:val="auto"/>
              </w:rPr>
              <w:t>Accounts payable</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1,309</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3,046</w:t>
            </w:r>
          </w:p>
        </w:tc>
        <w:tc>
          <w:tcPr>
            <w:tcW w:w="0" w:type="dxa"/>
            <w:vAlign w:val="bottom"/>
          </w:tcPr>
          <w:p>
            <w:pPr>
              <w:spacing w:after="0"/>
              <w:rPr>
                <w:sz w:val="1"/>
                <w:szCs w:val="1"/>
                <w:color w:val="auto"/>
              </w:rPr>
            </w:pPr>
          </w:p>
        </w:tc>
      </w:tr>
      <w:tr>
        <w:trPr>
          <w:trHeight w:val="203"/>
        </w:trPr>
        <w:tc>
          <w:tcPr>
            <w:tcW w:w="8660" w:type="dxa"/>
            <w:vAlign w:val="bottom"/>
          </w:tcPr>
          <w:p>
            <w:pPr>
              <w:ind w:left="340"/>
              <w:spacing w:after="0"/>
              <w:rPr>
                <w:sz w:val="20"/>
                <w:szCs w:val="20"/>
                <w:color w:val="auto"/>
              </w:rPr>
            </w:pPr>
            <w:r>
              <w:rPr>
                <w:rFonts w:ascii="Arial" w:cs="Arial" w:eastAsia="Arial" w:hAnsi="Arial"/>
                <w:sz w:val="14"/>
                <w:szCs w:val="14"/>
                <w:color w:val="auto"/>
              </w:rPr>
              <w:t>Accrued and other current liabilities</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5,933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5,347</w:t>
            </w:r>
          </w:p>
        </w:tc>
        <w:tc>
          <w:tcPr>
            <w:tcW w:w="0" w:type="dxa"/>
            <w:vAlign w:val="bottom"/>
          </w:tcPr>
          <w:p>
            <w:pPr>
              <w:spacing w:after="0"/>
              <w:rPr>
                <w:sz w:val="1"/>
                <w:szCs w:val="1"/>
                <w:color w:val="auto"/>
              </w:rPr>
            </w:pPr>
          </w:p>
        </w:tc>
      </w:tr>
      <w:tr>
        <w:trPr>
          <w:trHeight w:val="203"/>
        </w:trPr>
        <w:tc>
          <w:tcPr>
            <w:tcW w:w="8660" w:type="dxa"/>
            <w:vAlign w:val="bottom"/>
          </w:tcPr>
          <w:p>
            <w:pPr>
              <w:ind w:left="340"/>
              <w:spacing w:after="0"/>
              <w:rPr>
                <w:sz w:val="20"/>
                <w:szCs w:val="20"/>
                <w:color w:val="auto"/>
              </w:rPr>
            </w:pPr>
            <w:r>
              <w:rPr>
                <w:rFonts w:ascii="Arial" w:cs="Arial" w:eastAsia="Arial" w:hAnsi="Arial"/>
                <w:sz w:val="14"/>
                <w:szCs w:val="14"/>
                <w:color w:val="auto"/>
              </w:rPr>
              <w:t>Operating lease liabilities</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1,104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1,040</w:t>
            </w:r>
          </w:p>
        </w:tc>
        <w:tc>
          <w:tcPr>
            <w:tcW w:w="0" w:type="dxa"/>
            <w:vAlign w:val="bottom"/>
          </w:tcPr>
          <w:p>
            <w:pPr>
              <w:spacing w:after="0"/>
              <w:rPr>
                <w:sz w:val="1"/>
                <w:szCs w:val="1"/>
                <w:color w:val="auto"/>
              </w:rPr>
            </w:pPr>
          </w:p>
        </w:tc>
      </w:tr>
      <w:tr>
        <w:trPr>
          <w:trHeight w:val="195"/>
        </w:trPr>
        <w:tc>
          <w:tcPr>
            <w:tcW w:w="8660" w:type="dxa"/>
            <w:vAlign w:val="bottom"/>
          </w:tcPr>
          <w:p>
            <w:pPr>
              <w:ind w:left="340"/>
              <w:spacing w:after="0"/>
              <w:rPr>
                <w:sz w:val="20"/>
                <w:szCs w:val="20"/>
                <w:color w:val="auto"/>
              </w:rPr>
            </w:pPr>
            <w:r>
              <w:rPr>
                <w:rFonts w:ascii="Arial" w:cs="Arial" w:eastAsia="Arial" w:hAnsi="Arial"/>
                <w:sz w:val="14"/>
                <w:szCs w:val="14"/>
                <w:color w:val="auto"/>
              </w:rPr>
              <w:t>Borrowings-current portion</w:t>
            </w: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257</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190"/>
        </w:trPr>
        <w:tc>
          <w:tcPr>
            <w:tcW w:w="8660" w:type="dxa"/>
            <w:vAlign w:val="bottom"/>
          </w:tcPr>
          <w:p>
            <w:pPr>
              <w:ind w:left="660"/>
              <w:spacing w:after="0"/>
              <w:rPr>
                <w:sz w:val="20"/>
                <w:szCs w:val="20"/>
                <w:color w:val="auto"/>
              </w:rPr>
            </w:pPr>
            <w:r>
              <w:rPr>
                <w:rFonts w:ascii="Arial" w:cs="Arial" w:eastAsia="Arial" w:hAnsi="Arial"/>
                <w:sz w:val="14"/>
                <w:szCs w:val="14"/>
                <w:color w:val="auto"/>
              </w:rPr>
              <w:t>Total current liabilities</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8,603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9,623</w:t>
            </w:r>
          </w:p>
        </w:tc>
        <w:tc>
          <w:tcPr>
            <w:tcW w:w="0" w:type="dxa"/>
            <w:vAlign w:val="bottom"/>
          </w:tcPr>
          <w:p>
            <w:pPr>
              <w:spacing w:after="0"/>
              <w:rPr>
                <w:sz w:val="1"/>
                <w:szCs w:val="1"/>
                <w:color w:val="auto"/>
              </w:rPr>
            </w:pPr>
          </w:p>
        </w:tc>
      </w:tr>
      <w:tr>
        <w:trPr>
          <w:trHeight w:val="203"/>
        </w:trPr>
        <w:tc>
          <w:tcPr>
            <w:tcW w:w="8660" w:type="dxa"/>
            <w:vAlign w:val="bottom"/>
          </w:tcPr>
          <w:p>
            <w:pPr>
              <w:spacing w:after="0"/>
              <w:rPr>
                <w:sz w:val="20"/>
                <w:szCs w:val="20"/>
                <w:color w:val="auto"/>
              </w:rPr>
            </w:pPr>
            <w:r>
              <w:rPr>
                <w:rFonts w:ascii="Arial" w:cs="Arial" w:eastAsia="Arial" w:hAnsi="Arial"/>
                <w:sz w:val="14"/>
                <w:szCs w:val="14"/>
                <w:color w:val="auto"/>
              </w:rPr>
              <w:t>Borrowings-non-current portion, net of discounts and debt issuance costs</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19,153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28,778</w:t>
            </w:r>
          </w:p>
        </w:tc>
        <w:tc>
          <w:tcPr>
            <w:tcW w:w="0" w:type="dxa"/>
            <w:vAlign w:val="bottom"/>
          </w:tcPr>
          <w:p>
            <w:pPr>
              <w:spacing w:after="0"/>
              <w:rPr>
                <w:sz w:val="1"/>
                <w:szCs w:val="1"/>
                <w:color w:val="auto"/>
              </w:rPr>
            </w:pPr>
          </w:p>
        </w:tc>
      </w:tr>
      <w:tr>
        <w:trPr>
          <w:trHeight w:val="189"/>
        </w:trPr>
        <w:tc>
          <w:tcPr>
            <w:tcW w:w="8660" w:type="dxa"/>
            <w:vAlign w:val="bottom"/>
          </w:tcPr>
          <w:p>
            <w:pPr>
              <w:spacing w:after="0"/>
              <w:rPr>
                <w:sz w:val="20"/>
                <w:szCs w:val="20"/>
                <w:color w:val="auto"/>
              </w:rPr>
            </w:pPr>
            <w:r>
              <w:rPr>
                <w:rFonts w:ascii="Arial" w:cs="Arial" w:eastAsia="Arial" w:hAnsi="Arial"/>
                <w:sz w:val="14"/>
                <w:szCs w:val="14"/>
                <w:color w:val="auto"/>
              </w:rPr>
              <w:t>Non-current operating lease liabilities</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3,923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4,493</w:t>
            </w:r>
          </w:p>
        </w:tc>
        <w:tc>
          <w:tcPr>
            <w:tcW w:w="0" w:type="dxa"/>
            <w:vAlign w:val="bottom"/>
          </w:tcPr>
          <w:p>
            <w:pPr>
              <w:spacing w:after="0"/>
              <w:rPr>
                <w:sz w:val="1"/>
                <w:szCs w:val="1"/>
                <w:color w:val="auto"/>
              </w:rPr>
            </w:pPr>
          </w:p>
        </w:tc>
      </w:tr>
      <w:tr>
        <w:trPr>
          <w:trHeight w:val="208"/>
        </w:trPr>
        <w:tc>
          <w:tcPr>
            <w:tcW w:w="8660" w:type="dxa"/>
            <w:vAlign w:val="bottom"/>
          </w:tcPr>
          <w:p>
            <w:pPr>
              <w:spacing w:after="0"/>
              <w:rPr>
                <w:sz w:val="20"/>
                <w:szCs w:val="20"/>
                <w:color w:val="auto"/>
              </w:rPr>
            </w:pPr>
            <w:r>
              <w:rPr>
                <w:rFonts w:ascii="Arial" w:cs="Arial" w:eastAsia="Arial" w:hAnsi="Arial"/>
                <w:sz w:val="14"/>
                <w:szCs w:val="14"/>
                <w:color w:val="auto"/>
              </w:rPr>
              <w:t>Other non-current liabilities</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597</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867</w:t>
            </w:r>
          </w:p>
        </w:tc>
        <w:tc>
          <w:tcPr>
            <w:tcW w:w="0" w:type="dxa"/>
            <w:vAlign w:val="bottom"/>
          </w:tcPr>
          <w:p>
            <w:pPr>
              <w:spacing w:after="0"/>
              <w:rPr>
                <w:sz w:val="1"/>
                <w:szCs w:val="1"/>
                <w:color w:val="auto"/>
              </w:rPr>
            </w:pPr>
          </w:p>
        </w:tc>
      </w:tr>
      <w:tr>
        <w:trPr>
          <w:trHeight w:val="190"/>
        </w:trPr>
        <w:tc>
          <w:tcPr>
            <w:tcW w:w="8660" w:type="dxa"/>
            <w:vAlign w:val="bottom"/>
          </w:tcPr>
          <w:p>
            <w:pPr>
              <w:ind w:left="660"/>
              <w:spacing w:after="0"/>
              <w:rPr>
                <w:sz w:val="20"/>
                <w:szCs w:val="20"/>
                <w:color w:val="auto"/>
              </w:rPr>
            </w:pPr>
            <w:r>
              <w:rPr>
                <w:rFonts w:ascii="Arial" w:cs="Arial" w:eastAsia="Arial" w:hAnsi="Arial"/>
                <w:sz w:val="14"/>
                <w:szCs w:val="14"/>
                <w:color w:val="auto"/>
              </w:rPr>
              <w:t>Total liabilities</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32,276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43,761</w:t>
            </w:r>
          </w:p>
        </w:tc>
        <w:tc>
          <w:tcPr>
            <w:tcW w:w="0" w:type="dxa"/>
            <w:vAlign w:val="bottom"/>
          </w:tcPr>
          <w:p>
            <w:pPr>
              <w:spacing w:after="0"/>
              <w:rPr>
                <w:sz w:val="1"/>
                <w:szCs w:val="1"/>
                <w:color w:val="auto"/>
              </w:rPr>
            </w:pPr>
          </w:p>
        </w:tc>
      </w:tr>
      <w:tr>
        <w:trPr>
          <w:trHeight w:val="189"/>
        </w:trPr>
        <w:tc>
          <w:tcPr>
            <w:tcW w:w="8660" w:type="dxa"/>
            <w:vAlign w:val="bottom"/>
          </w:tcPr>
          <w:p>
            <w:pPr>
              <w:spacing w:after="0"/>
              <w:rPr>
                <w:sz w:val="20"/>
                <w:szCs w:val="20"/>
                <w:color w:val="auto"/>
              </w:rPr>
            </w:pPr>
            <w:r>
              <w:rPr>
                <w:rFonts w:ascii="Arial" w:cs="Arial" w:eastAsia="Arial" w:hAnsi="Arial"/>
                <w:sz w:val="14"/>
                <w:szCs w:val="14"/>
                <w:color w:val="auto"/>
              </w:rPr>
              <w:t>Commitments and contingencies (Note 5)</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660" w:type="dxa"/>
            <w:vAlign w:val="bottom"/>
          </w:tcPr>
          <w:p>
            <w:pPr>
              <w:spacing w:after="0"/>
              <w:rPr>
                <w:sz w:val="20"/>
                <w:szCs w:val="20"/>
                <w:color w:val="auto"/>
              </w:rPr>
            </w:pPr>
            <w:r>
              <w:rPr>
                <w:rFonts w:ascii="Arial" w:cs="Arial" w:eastAsia="Arial" w:hAnsi="Arial"/>
                <w:sz w:val="14"/>
                <w:szCs w:val="14"/>
                <w:color w:val="auto"/>
              </w:rPr>
              <w:t>Stockholders' equity:</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8660" w:type="dxa"/>
            <w:vAlign w:val="bottom"/>
          </w:tcPr>
          <w:p>
            <w:pPr>
              <w:ind w:left="340"/>
              <w:spacing w:after="0"/>
              <w:rPr>
                <w:sz w:val="20"/>
                <w:szCs w:val="20"/>
                <w:color w:val="auto"/>
              </w:rPr>
            </w:pPr>
            <w:r>
              <w:rPr>
                <w:rFonts w:ascii="Arial" w:cs="Arial" w:eastAsia="Arial" w:hAnsi="Arial"/>
                <w:sz w:val="14"/>
                <w:szCs w:val="14"/>
                <w:color w:val="auto"/>
              </w:rPr>
              <w:t>Preferred stock, $0.001 par value; 10,000,000 shares authorized, no shares issued or outstanding as of June 30, 2023 and</w:t>
            </w:r>
          </w:p>
        </w:tc>
        <w:tc>
          <w:tcPr>
            <w:tcW w:w="1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8660" w:type="dxa"/>
            <w:vAlign w:val="bottom"/>
          </w:tcPr>
          <w:p>
            <w:pPr>
              <w:ind w:left="340"/>
              <w:spacing w:after="0"/>
              <w:rPr>
                <w:sz w:val="20"/>
                <w:szCs w:val="20"/>
                <w:color w:val="auto"/>
              </w:rPr>
            </w:pPr>
            <w:r>
              <w:rPr>
                <w:rFonts w:ascii="Arial" w:cs="Arial" w:eastAsia="Arial" w:hAnsi="Arial"/>
                <w:sz w:val="14"/>
                <w:szCs w:val="14"/>
                <w:color w:val="auto"/>
              </w:rPr>
              <w:t>December 31, 2022</w:t>
            </w:r>
          </w:p>
        </w:tc>
        <w:tc>
          <w:tcPr>
            <w:tcW w:w="1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8660" w:type="dxa"/>
            <w:vAlign w:val="bottom"/>
          </w:tcPr>
          <w:p>
            <w:pPr>
              <w:ind w:left="340"/>
              <w:spacing w:after="0"/>
              <w:rPr>
                <w:sz w:val="20"/>
                <w:szCs w:val="20"/>
                <w:color w:val="auto"/>
              </w:rPr>
            </w:pPr>
            <w:r>
              <w:rPr>
                <w:rFonts w:ascii="Arial" w:cs="Arial" w:eastAsia="Arial" w:hAnsi="Arial"/>
                <w:sz w:val="14"/>
                <w:szCs w:val="14"/>
                <w:color w:val="auto"/>
              </w:rPr>
              <w:t>Common stock, $0.001 par value; 200,000,000 shares authorized as of June 30, 2023 and December 31, 2022; 16,858,194 and</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660" w:type="dxa"/>
            <w:vAlign w:val="bottom"/>
          </w:tcPr>
          <w:p>
            <w:pPr>
              <w:ind w:left="340"/>
              <w:spacing w:after="0"/>
              <w:rPr>
                <w:sz w:val="20"/>
                <w:szCs w:val="20"/>
                <w:color w:val="auto"/>
              </w:rPr>
            </w:pPr>
            <w:r>
              <w:rPr>
                <w:rFonts w:ascii="Arial" w:cs="Arial" w:eastAsia="Arial" w:hAnsi="Arial"/>
                <w:sz w:val="14"/>
                <w:szCs w:val="14"/>
                <w:color w:val="auto"/>
              </w:rPr>
              <w:t>16,549,984 shares issued and outstanding as of June 30, 2023 and December 31, 2022, respectively</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89"/>
        </w:trPr>
        <w:tc>
          <w:tcPr>
            <w:tcW w:w="8660" w:type="dxa"/>
            <w:vAlign w:val="bottom"/>
          </w:tcPr>
          <w:p>
            <w:pPr>
              <w:ind w:left="320"/>
              <w:spacing w:after="0"/>
              <w:rPr>
                <w:sz w:val="20"/>
                <w:szCs w:val="20"/>
                <w:color w:val="auto"/>
              </w:rPr>
            </w:pPr>
            <w:r>
              <w:rPr>
                <w:rFonts w:ascii="Arial" w:cs="Arial" w:eastAsia="Arial" w:hAnsi="Arial"/>
                <w:sz w:val="14"/>
                <w:szCs w:val="14"/>
                <w:color w:val="auto"/>
              </w:rPr>
              <w:t>Additional paid-in capital</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300,113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297,970</w:t>
            </w:r>
          </w:p>
        </w:tc>
        <w:tc>
          <w:tcPr>
            <w:tcW w:w="0" w:type="dxa"/>
            <w:vAlign w:val="bottom"/>
          </w:tcPr>
          <w:p>
            <w:pPr>
              <w:spacing w:after="0"/>
              <w:rPr>
                <w:sz w:val="1"/>
                <w:szCs w:val="1"/>
                <w:color w:val="auto"/>
              </w:rPr>
            </w:pPr>
          </w:p>
        </w:tc>
      </w:tr>
      <w:tr>
        <w:trPr>
          <w:trHeight w:val="208"/>
        </w:trPr>
        <w:tc>
          <w:tcPr>
            <w:tcW w:w="8660" w:type="dxa"/>
            <w:vAlign w:val="bottom"/>
          </w:tcPr>
          <w:p>
            <w:pPr>
              <w:ind w:left="340"/>
              <w:spacing w:after="0"/>
              <w:rPr>
                <w:sz w:val="20"/>
                <w:szCs w:val="20"/>
                <w:color w:val="auto"/>
              </w:rPr>
            </w:pPr>
            <w:r>
              <w:rPr>
                <w:rFonts w:ascii="Arial" w:cs="Arial" w:eastAsia="Arial" w:hAnsi="Arial"/>
                <w:sz w:val="14"/>
                <w:szCs w:val="14"/>
                <w:color w:val="auto"/>
              </w:rPr>
              <w:t>Accumulated deficit</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(268,228)</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(255,527)</w:t>
            </w:r>
          </w:p>
        </w:tc>
        <w:tc>
          <w:tcPr>
            <w:tcW w:w="0" w:type="dxa"/>
            <w:vAlign w:val="bottom"/>
          </w:tcPr>
          <w:p>
            <w:pPr>
              <w:spacing w:after="0"/>
              <w:rPr>
                <w:sz w:val="1"/>
                <w:szCs w:val="1"/>
                <w:color w:val="auto"/>
              </w:rPr>
            </w:pPr>
          </w:p>
        </w:tc>
      </w:tr>
      <w:tr>
        <w:trPr>
          <w:trHeight w:val="189"/>
        </w:trPr>
        <w:tc>
          <w:tcPr>
            <w:tcW w:w="8660" w:type="dxa"/>
            <w:vAlign w:val="bottom"/>
          </w:tcPr>
          <w:p>
            <w:pPr>
              <w:ind w:left="660"/>
              <w:spacing w:after="0"/>
              <w:rPr>
                <w:sz w:val="20"/>
                <w:szCs w:val="20"/>
                <w:color w:val="auto"/>
              </w:rPr>
            </w:pPr>
            <w:r>
              <w:rPr>
                <w:rFonts w:ascii="Arial" w:cs="Arial" w:eastAsia="Arial" w:hAnsi="Arial"/>
                <w:sz w:val="14"/>
                <w:szCs w:val="14"/>
                <w:color w:val="auto"/>
              </w:rPr>
              <w:t>Total stockholders' equity</w:t>
            </w: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31,902</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42,460</w:t>
            </w:r>
          </w:p>
        </w:tc>
        <w:tc>
          <w:tcPr>
            <w:tcW w:w="0" w:type="dxa"/>
            <w:vAlign w:val="bottom"/>
          </w:tcPr>
          <w:p>
            <w:pPr>
              <w:spacing w:after="0"/>
              <w:rPr>
                <w:sz w:val="1"/>
                <w:szCs w:val="1"/>
                <w:color w:val="auto"/>
              </w:rPr>
            </w:pPr>
          </w:p>
        </w:tc>
      </w:tr>
      <w:tr>
        <w:trPr>
          <w:trHeight w:val="190"/>
        </w:trPr>
        <w:tc>
          <w:tcPr>
            <w:tcW w:w="8660" w:type="dxa"/>
            <w:vAlign w:val="bottom"/>
          </w:tcPr>
          <w:p>
            <w:pPr>
              <w:spacing w:after="0"/>
              <w:rPr>
                <w:sz w:val="20"/>
                <w:szCs w:val="20"/>
                <w:color w:val="auto"/>
              </w:rPr>
            </w:pPr>
            <w:r>
              <w:rPr>
                <w:rFonts w:ascii="Arial" w:cs="Arial" w:eastAsia="Arial" w:hAnsi="Arial"/>
                <w:sz w:val="14"/>
                <w:szCs w:val="14"/>
                <w:color w:val="auto"/>
              </w:rPr>
              <w:t>Total liabilities and stockholders' equity</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64,178</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86,221</w:t>
            </w:r>
          </w:p>
        </w:tc>
        <w:tc>
          <w:tcPr>
            <w:tcW w:w="0" w:type="dxa"/>
            <w:vAlign w:val="bottom"/>
          </w:tcPr>
          <w:p>
            <w:pPr>
              <w:spacing w:after="0"/>
              <w:rPr>
                <w:sz w:val="1"/>
                <w:szCs w:val="1"/>
                <w:color w:val="auto"/>
              </w:rPr>
            </w:pPr>
          </w:p>
        </w:tc>
      </w:tr>
      <w:tr>
        <w:trPr>
          <w:trHeight w:val="26"/>
        </w:trPr>
        <w:tc>
          <w:tcPr>
            <w:tcW w:w="866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20"/>
      </w:cols>
      <w:pgMar w:left="34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2023-08-07T07:10:43Z</dcterms:created>
  <dcterms:modified xsi:type="dcterms:W3CDTF">2023-08-07T07:10:43Z</dcterms:modified>
</cp:coreProperties>
</file>