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74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March 31, 2025</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540" w:type="dxa"/>
            <w:vAlign w:val="bottom"/>
          </w:tcPr>
          <w:p>
            <w:pPr>
              <w:jc w:val="center"/>
              <w:ind w:right="528"/>
              <w:spacing w:after="0"/>
              <w:rPr>
                <w:sz w:val="20"/>
                <w:szCs w:val="20"/>
                <w:color w:val="auto"/>
              </w:rPr>
            </w:pPr>
            <w:r>
              <w:rPr>
                <w:rFonts w:ascii="Arial" w:cs="Arial" w:eastAsia="Arial" w:hAnsi="Arial"/>
                <w:sz w:val="14"/>
                <w:szCs w:val="14"/>
                <w:b w:val="1"/>
                <w:bCs w:val="1"/>
                <w:color w:val="auto"/>
              </w:rPr>
              <w:t>Delaware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0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740" w:type="dxa"/>
            <w:vAlign w:val="bottom"/>
            <w:gridSpan w:val="2"/>
          </w:tcPr>
          <w:p>
            <w:pPr>
              <w:ind w:left="1840"/>
              <w:spacing w:after="0"/>
              <w:rPr>
                <w:sz w:val="20"/>
                <w:szCs w:val="20"/>
                <w:color w:val="auto"/>
              </w:rPr>
            </w:pPr>
            <w:r>
              <w:rPr>
                <w:rFonts w:ascii="Arial" w:cs="Arial" w:eastAsia="Arial" w:hAnsi="Arial"/>
                <w:sz w:val="14"/>
                <w:szCs w:val="14"/>
                <w:b w:val="1"/>
                <w:bCs w:val="1"/>
                <w:color w:val="auto"/>
              </w:rPr>
              <w:t>1261 Liberty Way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jc w:val="center"/>
              <w:ind w:left="1468"/>
              <w:spacing w:after="0"/>
              <w:rPr>
                <w:sz w:val="20"/>
                <w:szCs w:val="20"/>
                <w:color w:val="auto"/>
              </w:rPr>
            </w:pPr>
            <w:r>
              <w:rPr>
                <w:rFonts w:ascii="Arial" w:cs="Arial" w:eastAsia="Arial" w:hAnsi="Arial"/>
                <w:sz w:val="14"/>
                <w:szCs w:val="14"/>
                <w:b w:val="1"/>
                <w:bCs w:val="1"/>
                <w:color w:val="auto"/>
              </w:rPr>
              <w:t>Vista,</w:t>
            </w: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CA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7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1, 2025 was 18,002,416.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20" w:type="dxa"/>
            <w:vAlign w:val="bottom"/>
            <w:gridSpan w:val="8"/>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0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600" w:type="dxa"/>
            <w:vAlign w:val="bottom"/>
            <w:gridSpan w:val="15"/>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8"/>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5080" w:type="dxa"/>
            <w:vAlign w:val="bottom"/>
            <w:gridSpan w:val="7"/>
          </w:tcPr>
          <w:p>
            <w:pPr>
              <w:spacing w:after="0"/>
              <w:rPr>
                <w:sz w:val="16"/>
                <w:szCs w:val="16"/>
                <w:color w:val="auto"/>
              </w:rPr>
            </w:pPr>
          </w:p>
        </w:tc>
        <w:tc>
          <w:tcPr>
            <w:tcW w:w="180" w:type="dxa"/>
            <w:vAlign w:val="bottom"/>
            <w:gridSpan w:val="2"/>
          </w:tcPr>
          <w:p>
            <w:pPr>
              <w:ind w:left="8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820" w:type="dxa"/>
            <w:vAlign w:val="bottom"/>
            <w:gridSpan w:val="11"/>
          </w:tcPr>
          <w:p>
            <w:pPr>
              <w:spacing w:after="0"/>
              <w:rPr>
                <w:sz w:val="20"/>
                <w:szCs w:val="20"/>
                <w:color w:val="auto"/>
              </w:rPr>
            </w:pPr>
            <w:r>
              <w:rPr>
                <w:rFonts w:ascii="Arial" w:cs="Arial" w:eastAsia="Arial" w:hAnsi="Arial"/>
                <w:sz w:val="18"/>
                <w:szCs w:val="18"/>
                <w:color w:val="0000FF"/>
                <w:w w:val="99"/>
              </w:rPr>
              <w:t>Unaudited Condensed Balance Sheets as of March 31, 2025 and December 31, 2024</w:t>
            </w:r>
          </w:p>
        </w:tc>
        <w:tc>
          <w:tcPr>
            <w:tcW w:w="1780" w:type="dxa"/>
            <w:vAlign w:val="bottom"/>
            <w:gridSpan w:val="4"/>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5"/>
          </w:tcPr>
          <w:p>
            <w:pPr>
              <w:spacing w:after="0"/>
              <w:rPr>
                <w:sz w:val="20"/>
                <w:szCs w:val="20"/>
                <w:color w:val="auto"/>
              </w:rPr>
            </w:pPr>
            <w:r>
              <w:rPr>
                <w:rFonts w:ascii="Arial" w:cs="Arial" w:eastAsia="Arial" w:hAnsi="Arial"/>
                <w:sz w:val="18"/>
                <w:szCs w:val="18"/>
                <w:color w:val="0000FF"/>
              </w:rPr>
              <w:t>Unaudited Condensed Statements of Operations for the Three Months ended March 31, 2025 and 2024</w:t>
            </w: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5"/>
          </w:tcPr>
          <w:p>
            <w:pPr>
              <w:spacing w:after="0"/>
              <w:rPr>
                <w:sz w:val="20"/>
                <w:szCs w:val="20"/>
                <w:color w:val="auto"/>
              </w:rPr>
            </w:pPr>
            <w:r>
              <w:rPr>
                <w:rFonts w:ascii="Arial" w:cs="Arial" w:eastAsia="Arial" w:hAnsi="Arial"/>
                <w:sz w:val="18"/>
                <w:szCs w:val="18"/>
                <w:color w:val="0000FF"/>
              </w:rPr>
              <w:t>Unaudited Condensed Statements of Stockholders' Equity for the Three Months ended March 31, 2025 and</w:t>
            </w: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2024</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8600" w:type="dxa"/>
            <w:vAlign w:val="bottom"/>
            <w:gridSpan w:val="15"/>
          </w:tcPr>
          <w:p>
            <w:pPr>
              <w:spacing w:after="0"/>
              <w:rPr>
                <w:sz w:val="20"/>
                <w:szCs w:val="20"/>
                <w:color w:val="auto"/>
              </w:rPr>
            </w:pPr>
            <w:r>
              <w:rPr>
                <w:rFonts w:ascii="Arial" w:cs="Arial" w:eastAsia="Arial" w:hAnsi="Arial"/>
                <w:sz w:val="18"/>
                <w:szCs w:val="18"/>
                <w:color w:val="0000FF"/>
              </w:rPr>
              <w:t>Unaudited Condensed Statements of Cash Flows for the Three Months ended March 31, 2025 and 2024</w:t>
            </w: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9"/>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000" w:type="dxa"/>
            <w:vAlign w:val="bottom"/>
            <w:gridSpan w:val="4"/>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20" w:type="dxa"/>
            <w:vAlign w:val="bottom"/>
            <w:gridSpan w:val="3"/>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20" w:type="dxa"/>
            <w:vAlign w:val="bottom"/>
            <w:gridSpan w:val="3"/>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3900" w:type="dxa"/>
            <w:vAlign w:val="bottom"/>
            <w:gridSpan w:val="5"/>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62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600" w:type="dxa"/>
            <w:vAlign w:val="bottom"/>
            <w:gridSpan w:val="15"/>
          </w:tcPr>
          <w:p>
            <w:pPr>
              <w:spacing w:after="0" w:line="195" w:lineRule="exact"/>
              <w:rPr>
                <w:sz w:val="20"/>
                <w:szCs w:val="20"/>
                <w:color w:val="auto"/>
              </w:rPr>
            </w:pPr>
            <w:r>
              <w:rPr>
                <w:rFonts w:ascii="Arial" w:cs="Arial" w:eastAsia="Arial" w:hAnsi="Arial"/>
                <w:sz w:val="18"/>
                <w:szCs w:val="18"/>
                <w:color w:val="0000FF"/>
              </w:rPr>
              <w:t>Legal Proceedings</w:t>
            </w:r>
          </w:p>
        </w:tc>
        <w:tc>
          <w:tcPr>
            <w:tcW w:w="1340" w:type="dxa"/>
            <w:vAlign w:val="bottom"/>
            <w:gridSpan w:val="4"/>
          </w:tcPr>
          <w:p>
            <w:pPr>
              <w:ind w:left="80"/>
              <w:spacing w:after="0" w:line="195" w:lineRule="exact"/>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7120" w:type="dxa"/>
            <w:vAlign w:val="bottom"/>
            <w:gridSpan w:val="9"/>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7200" w:type="dxa"/>
            <w:vAlign w:val="bottom"/>
            <w:gridSpan w:val="10"/>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200" w:type="dxa"/>
            <w:vAlign w:val="bottom"/>
            <w:gridSpan w:val="10"/>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5"/>
          </w:tcPr>
          <w:p>
            <w:pPr>
              <w:spacing w:after="0"/>
              <w:rPr>
                <w:sz w:val="20"/>
                <w:szCs w:val="20"/>
                <w:color w:val="auto"/>
              </w:rPr>
            </w:pPr>
            <w:r>
              <w:rPr>
                <w:rFonts w:ascii="Arial" w:cs="Arial" w:eastAsia="Arial" w:hAnsi="Arial"/>
                <w:sz w:val="18"/>
                <w:szCs w:val="18"/>
                <w:color w:val="0000FF"/>
              </w:rPr>
              <w:t>Signatures</w:t>
            </w: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current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non-current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March 31,</w:t>
            </w:r>
          </w:p>
        </w:tc>
        <w:tc>
          <w:tcPr>
            <w:tcW w:w="3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2025 and December 31, 2024</w:t>
            </w:r>
          </w:p>
        </w:tc>
        <w:tc>
          <w:tcPr>
            <w:tcW w:w="3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March 31, 2025 and December 31, 2024;</w:t>
            </w:r>
          </w:p>
        </w:tc>
        <w:tc>
          <w:tcPr>
            <w:tcW w:w="3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17,950,033 and 17,640,328 shares issued and outstanding as of March 31, 2025 and December 31, 2024, respectively</w:t>
            </w: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00"/>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238"/>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14,415</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5,817</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8,598</w:t>
            </w: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6"/>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10,542</w:t>
            </w:r>
          </w:p>
        </w:tc>
      </w:tr>
      <w:tr>
        <w:trPr>
          <w:trHeight w:val="198"/>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1,059</w:t>
            </w:r>
          </w:p>
        </w:tc>
      </w:tr>
      <w:tr>
        <w:trPr>
          <w:trHeight w:val="200"/>
        </w:trPr>
        <w:tc>
          <w:tcPr>
            <w:tcW w:w="7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11,601</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(3,003)</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60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18,557,390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17,944,438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90" w:right="9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2024</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17,640,328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229,151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80,554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2025</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17,950,033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304,468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6,403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2023</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17,045,954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301,893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54,605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2024</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17,317,941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Deferred revenue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18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notes payable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deferred financing costs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(9,226)</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22,236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36,693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11,394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27,467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01"/>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equipment settled under financing arrangement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54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As of March 31, 2025, the Company had cash and cash equivalents of $11.2 million and had an accumulated deficit of $298.1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April 25, 2025, the Company and Perceptive (as defined below) entered into the Credit Agreement (as defined below), under which an initial term loan of $25.0 million was funded, $19.7 million of which the Company used to repay the 2017 Term Loan (as defined below). See “Note 10 </w:t>
      </w:r>
      <w:r>
        <w:rPr>
          <w:rFonts w:ascii="Arial" w:cs="Arial" w:eastAsia="Arial" w:hAnsi="Arial"/>
          <w:sz w:val="18"/>
          <w:szCs w:val="18"/>
          <w:i w:val="1"/>
          <w:iCs w:val="1"/>
          <w:color w:val="auto"/>
        </w:rPr>
        <w:t>Subsequent Events—Perceptive Term Loan Facility</w:t>
      </w:r>
      <w:r>
        <w:rPr>
          <w:rFonts w:ascii="Arial" w:cs="Arial" w:eastAsia="Arial" w:hAnsi="Arial"/>
          <w:sz w:val="18"/>
          <w:szCs w:val="18"/>
          <w:color w:val="auto"/>
        </w:rPr>
        <w:t>” for more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interim condensed balance sheets as of March 31, 2025, condensed statements of operations and stockholders' equity for the three months ended March 31, 2025 and 2024, cash flows for the three months ended March 31, 2025 and 2024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2024, included in its Annual Report on Form 10-K filed with the SEC on March 11, 2025 (the 2024 Annual Report). In management's opinion, the unaudited interim condensed financial statements have been prepared on the same basis as the audited financial statements included in the 2024 Annual Report and include all normal adjustments, necessary for the fair presentation of the Company's financial position as of March 31, 2025 and its results of operations for the periods presented. The results for the three months ended March 31, 2025 are not necessarily indicative of the results expected for the full fiscal year or any other interim period. The year-end condensed balance sheet data was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8"/>
          <w:szCs w:val="18"/>
          <w:color w:val="auto"/>
        </w:rPr>
        <w:t>derived from audited financial statements, but does not include all disclosures required by GAAP. Certain reclassifications have been made to prior period amounts to conform to the current presentation.</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preparation of the accompanying unaudited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and assumptions made in the accompanying unaudited condensed financial statements include, but are not limited to revenue recognition, the estimated incremental borrowing rate for the determination of the Company's operating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23495</wp:posOffset>
            </wp:positionV>
            <wp:extent cx="2408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r>
      <w:tr>
        <w:trPr>
          <w:trHeight w:val="19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99"/>
        </w:trPr>
        <w:tc>
          <w:tcPr>
            <w:tcW w:w="872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56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80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Accounts Receivable, Net</w:t>
            </w:r>
          </w:p>
        </w:tc>
      </w:tr>
      <w:tr>
        <w:trPr>
          <w:trHeight w:val="196"/>
        </w:trPr>
        <w:tc>
          <w:tcPr>
            <w:tcW w:w="100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March 31, 2025</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6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95"/>
        </w:trPr>
        <w:tc>
          <w:tcPr>
            <w:tcW w:w="890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36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183"/>
        </w:trPr>
        <w:tc>
          <w:tcPr>
            <w:tcW w:w="1000" w:type="dxa"/>
            <w:vAlign w:val="bottom"/>
            <w:tcBorders>
              <w:bottom w:val="single" w:sz="8" w:color="auto"/>
            </w:tcBorders>
          </w:tcPr>
          <w:p>
            <w:pPr>
              <w:spacing w:after="0"/>
              <w:rPr>
                <w:sz w:val="15"/>
                <w:szCs w:val="15"/>
                <w:color w:val="auto"/>
              </w:rPr>
            </w:pPr>
          </w:p>
        </w:tc>
        <w:tc>
          <w:tcPr>
            <w:tcW w:w="79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323"/>
        </w:trPr>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7900" w:type="dxa"/>
            <w:vAlign w:val="bottom"/>
            <w:gridSpan w:val="2"/>
          </w:tcPr>
          <w:p>
            <w:pPr>
              <w:ind w:left="20"/>
              <w:spacing w:after="0"/>
              <w:rPr>
                <w:sz w:val="20"/>
                <w:szCs w:val="20"/>
                <w:color w:val="auto"/>
              </w:rPr>
            </w:pPr>
            <w:r>
              <w:rPr>
                <w:rFonts w:ascii="Arial" w:cs="Arial" w:eastAsia="Arial" w:hAnsi="Arial"/>
                <w:sz w:val="14"/>
                <w:szCs w:val="14"/>
                <w:color w:val="auto"/>
              </w:rPr>
              <w:t>Less than 10%.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86"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For the three months ended March 31, 2025 and 2024, approximately 92% and 90%,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March 31, 2025 and 2024 approximately 76% and 92% of the Company's diagnostic testing supplies were purchased from two suppliers, respectively. An interruption in the supply of these materials would impact the Company's ability to perform testing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18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8,185</w:t>
            </w:r>
          </w:p>
        </w:tc>
        <w:tc>
          <w:tcPr>
            <w:tcW w:w="120" w:type="dxa"/>
            <w:vAlign w:val="bottom"/>
          </w:tcPr>
          <w:p>
            <w:pPr>
              <w:spacing w:after="0"/>
              <w:rPr>
                <w:sz w:val="17"/>
                <w:szCs w:val="17"/>
                <w:color w:val="auto"/>
              </w:rPr>
            </w:pP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6,863</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Client direct bill(1)</w:t>
            </w: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3,284</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15,498</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14,415</w:t>
            </w:r>
          </w:p>
        </w:tc>
      </w:tr>
      <w:tr>
        <w:trPr>
          <w:trHeight w:val="21"/>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 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8"/>
          <w:szCs w:val="18"/>
          <w:color w:val="auto"/>
        </w:rPr>
        <w:t>these products. The parties that pay for these services (each, a payor) consist of commercial payors (healthcare insurers), government payors (primarily Medicare and Medicaid), client payors (hospitals, other laboratories, etc.) and patient self-pay.</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follows a five-step process to determine the amount and timing of revenue recognized: (1) identify the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March 31, 2025 and 2024 was a $0.7 million and a $2.5 million net revenue increase, respectively, associated with changes in estimated variable consideration related to performance obligations satisfied in previous periods. The transaction price is estimated using an expected value method on a portfolio basis.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overpayments or amounts billed in error. Any refunds are accounted for as reductions in revenues in the condensed statements of operations as an element of variable consideration. The estimated expected refunds are accrued as a liability on the Company’s condensed balance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received prior to satisfying the above revenue recognition criteria are recognized as deferred revenue until all applicable revenue recognition criteria are met. Deferred revenue represented the portion of payments received that have not been earned. During the fourth quarter of 2024 and the first quarter of 2025, the Company entered into various work orders to perform diagnostic testing services including identifying and evaluating biomarkers, and received nonrefundable, upfront payments for these services. The Company had deferred revenue related to these contracts of $0.9 million and $0.7 million as of March 31, 2025 and December 31, 2024, respectively. The Company recognized revenue of $0.1 million out of the beginning deferred revenue balance during the three months ended March 31, 2025 and no revenue was recognized out of the beginning deferred revenue balance during the three months ended March 31, 2024. The Company expects to recognize revenue from unfulfilled performance obligations associated with service contracts within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8"/>
          <w:szCs w:val="18"/>
          <w:color w:val="auto"/>
        </w:rPr>
        <w:t>zero as of each of March 31, 2025 and 2024. Adjustments for implicit price concessions attributable to variable consideration, as discussed above, are incorporated into the measurement of the accounts receivable balances and are not part of the allowance for credit losses. Accounts receivable was $14.7 million and $7.8 million at March 31, 2025, and December 31,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 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months ended March 31, 2025 and 2024,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2025</w:t>
            </w:r>
          </w:p>
        </w:tc>
        <w:tc>
          <w:tcPr>
            <w:tcW w:w="1760" w:type="dxa"/>
            <w:vAlign w:val="bottom"/>
          </w:tcPr>
          <w:p>
            <w:pPr>
              <w:jc w:val="right"/>
              <w:ind w:right="308"/>
              <w:spacing w:after="0"/>
              <w:rPr>
                <w:sz w:val="20"/>
                <w:szCs w:val="20"/>
                <w:color w:val="auto"/>
              </w:rPr>
            </w:pPr>
            <w:r>
              <w:rPr>
                <w:rFonts w:ascii="Arial" w:cs="Arial" w:eastAsia="Arial" w:hAnsi="Arial"/>
                <w:sz w:val="14"/>
                <w:szCs w:val="14"/>
                <w:b w:val="1"/>
                <w:bCs w:val="1"/>
                <w:color w:val="auto"/>
              </w:rPr>
              <w:t>March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325,330</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608,146</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928,900</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1,822,547</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1,781,040</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14,844</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11,023</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2,770,867</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3,130,071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ASU 2023-09, Income Taxes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This update will result in enhanced income tax disclosures, and the Company does not expect any impact to income tax expense.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(Subtopic 220-40) (ASU 2024-03). This update requires entities to include more detailed information about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 with early adoption permitted. The Company is currently evaluating the impact of this standard on its financial statement presentation and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4,248</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3,286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11,124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11,295</w:t>
            </w: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for the three months ended March 31, 2025 and 2024 was approximately $0.4 million and $0.5 million, respectively. At March 31, 2025 and December 31, 2024, the gross book value of assets under finance leases was $1.2 million and $2.0 million,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As of March 31, 2025, no additional amounts remained available to borrow under the Amended Loan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was the sum (the Basic Rate) of (a) the greater of 8.0% or The Wall Street Journal prime rate (the Prime Rate), plus (b) 2.0%, which is paid-in-kind in the form of additional term loans (PIK Loans). Under the Amended Loan Agreement, an amount equal to 1.5% of the Basic Rate was payable in-kind and capitalized to the principal amount of the outstanding term loan on a monthly basis until April 1, 2026, after which interest was scheduled to accrue at the Basic Rate. The maturity date of the loan was extended to December 31, 2026. The Company estimated the effective interest rate of this loan to be approximately 10.6% as of March 31, 2025 and December 31, 2024. Accrued interest was due and payable monthly, unless the Company elected to pay paid-in-kind interest. The outstanding principal and accrued interest under the Amended Loan Agreement was to be repaid in nine equal monthly installments commencing in April 2026, with a final installment on the maturity date. Upon repayment of the final installment under the Amended Loan Agreement, the Company was required to pay an additional fee of $ 1.0 million. This obligation is being accreted into interest expense over the term of the loan using the effective interest method. For each of the three months ended March 31, 2025 and 2024, the Company issued PIK Loans totaling $0.1 million, all of which is included in borrowings, non-current, net of discounts and debt issuance costs on the accompanying condensed balance sheets.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2025, the Amended Loan Agreement was collateralized by a first priority security interest in substantially all of the Company's assets, including intellectual property. The Amended Loan Agreement contains customary affirmative and negative covenants.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covenants required that the Company achieve a specified level of revenue, as measured quarterly on a rolling twelve-month basis, however the Company was not required to comply with the revenue covenant for any quarter during which it maintains a minimum aggregate cash balance equal to 50% of the aggregate principal amount of the Amended Loan Agreement (excluding any capitalized interest paid-in-kind) at all times during such quarter. The consequences of failing to achieve the performance covenants, when applicable, would be cured if, (i) within 30 days of failing to achieve the performance covenant, the Company submitted a new financial plan approved by the Company's board of directors (the Board) to Innovatus under which the Company was expected to break even on a cash flow basis prior to the maturity date, and (ii) within 30 days of the submission of such financial plan, the Company issued additional equity securities or subordinated debt with net proceeds sufficient to fund any cash flow deficiency generated from operations, as defined in the Amended Loan Agreement. The Amended Loan Agreement required that the Company maintained certain levels of minimum liquidity and maintained an unrestricted cash balance of $2.0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was in compliance with all covenants of the Amended Loan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could be accelerated, and the applicable interest rate will be increased by 4.0% until the default is cured. Although repayment of the 2017 Term Loan could be accelerated under certain circumstances, the Company believed acceleration of this loan was not probable as of the date of these unaudited condensed financial statements. Accordingly, the Company has reflected the amounts of the Amended Loan Agreement due beyond twelve months of the balance sheet date as non-current.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2025, the Company and Perceptive entered into the Credit Agreement, under which an initial term loan of $25.0 million was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funded, $19.7 million of which the Company used to repay the 2017 Term Loan. See “Note 10 S</w:t>
      </w:r>
      <w:r>
        <w:rPr>
          <w:rFonts w:ascii="Arial" w:cs="Arial" w:eastAsia="Arial" w:hAnsi="Arial"/>
          <w:sz w:val="18"/>
          <w:szCs w:val="18"/>
          <w:i w:val="1"/>
          <w:iCs w:val="1"/>
          <w:color w:val="auto"/>
        </w:rPr>
        <w:t>ubsequent Events—Perceptive Term Loan</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for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 Payable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2022, the Company purchased laboratory equipment in the normal course of business using notes payable. In January 2025, the Company entered into a financing arrangement to procure additional laboratory equipment. At March 31, 2025, the total liability balance related to the financed equipment was $1.7 million, with $ 0.7 million classified within borrowings, current and $1.0 million within borrowings, non-current, net of discounts and debt issuance costs in the accompanying condensed balance sheets. At December 31, 2024, the total liability balance related to the financed equipment was $1.1 million, with $0.4 million classified within borrowings, current and $0.7 million within borrowings, non-current, net of discounts and debt issuance costs in the accompanying condensed balance sheets. The financed equipment is subject to effective interest rates between 5.28% and 10.50%, and will mature between October 1, 2026 and April 1, 2028.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future minimum aggregate payments, including interest, for outstanding borrowings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21,657</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198"/>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24,017</w:t>
            </w:r>
          </w:p>
        </w:tc>
      </w:tr>
      <w:tr>
        <w:trPr>
          <w:trHeight w:val="198"/>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98"/>
        </w:trPr>
        <w:tc>
          <w:tcPr>
            <w:tcW w:w="9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20,940</w:t>
            </w:r>
          </w:p>
        </w:tc>
      </w:tr>
      <w:tr>
        <w:trPr>
          <w:trHeight w:val="198"/>
        </w:trPr>
        <w:tc>
          <w:tcPr>
            <w:tcW w:w="9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 current</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w:t>
            </w:r>
          </w:p>
        </w:tc>
      </w:tr>
      <w:tr>
        <w:trPr>
          <w:trHeight w:val="40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August 2024, the Company amended a supply agreement with one supplier for reagents, which includes pricing terms and minimum purchase commitments, through December 31, 2025, for new consumable products related to the Company's launch of the Anti-RA33 IgA, Anti-RA33 IgG and Anti-RA33 IgM biomarkers. The aggregate minimum annual purchase commitment related to such agreement for the year ending December 31, 2025 is $10.4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settlement agreement with the Department of Justice (DOJ), which has been previously disclosed, Exagen made a single lump-sum remittance to the government in the amount of $ 0.7 million plus interest in October 2023. The U.S. Attorney’s Office dismissed the “covered conduct” elements in the qui tam with prejudice, while non-covered conduct was dismissed without prejudice. The DOJ excused itself from the case in connection with the settlement. The Company’s ability to participate in federally funded healthcare programs was unaffected by the settlement. In November 2023, the complaint was unsealed and served on Exagen. Exagen filed a motion to dismiss the complaint. In February 2024, the relator filed a motion for leave to amend the complaint. Exagen opposed this motion. In March 2025, the court granted Exagen’s motion to dismiss with prejudice and denied the relator’s motion for leave to amend. On April 14, 2025, the relator filed an appeal with respect to this ruling. The Company cannot predict the outcome of such an appeal, or its potential impact or effect on its business, prospects and financial condition. The Company intends to vigorously defend against the appeal. The Company's participation in federal healthcare programs is not affected by the settlement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March 31, 2025, the Amended Loan Agreement had a carrying value and a fair value of $19.3 million. As of December 31, 2024, the Amended Loan Agreement had a carrying value of $19.1 million and a fair value of $19.2 million. The estimated fair value of the Amended Loan Agreement was determined based on a discounted cash flow approach using available market information on discount and borrowing rates with similar terms, maturities, and credit ratings. The aggregate carrying value of the Company's other long-term borrowings as of March 31, 2025 and December 31, 2024 was $1.7 million and $1.1 million, respectively, and approximated its fair value.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jc w:val="both"/>
        <w:ind w:left="1320" w:hanging="1295"/>
        <w:spacing w:after="0" w:line="268"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200" w:type="dxa"/>
            <w:vAlign w:val="bottom"/>
            <w:gridSpan w:val="2"/>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21"/>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1"/>
        </w:trPr>
        <w:tc>
          <w:tcPr>
            <w:tcW w:w="6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200" w:type="dxa"/>
            <w:vAlign w:val="bottom"/>
            <w:gridSpan w:val="2"/>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15,144</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1"/>
        </w:trPr>
        <w:tc>
          <w:tcPr>
            <w:tcW w:w="6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all $150.0 million remain available for sale as of March 31,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TD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Securities (USA) LLC (TD Securities), as sales agent, pursuant to which the Company may offer and sell, from time to time, shares of the Company's common stock having an aggregate offering price of up to $50.0 million. The Company is not obligated to sell any shares of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Company's common stock in the offering. As of March 31, 2025, the Company has not sold any shares of its common stock pursuant to the Sales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of the Company were outstanding as of March 31,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tcPr>
          <w:p>
            <w:pPr>
              <w:jc w:val="right"/>
              <w:spacing w:after="0"/>
              <w:rPr>
                <w:sz w:val="20"/>
                <w:szCs w:val="20"/>
                <w:color w:val="auto"/>
              </w:rPr>
            </w:pPr>
            <w:r>
              <w:rPr>
                <w:rFonts w:ascii="Arial" w:cs="Arial" w:eastAsia="Arial" w:hAnsi="Arial"/>
                <w:sz w:val="14"/>
                <w:szCs w:val="14"/>
                <w:color w:val="auto"/>
              </w:rPr>
              <w:t>December 7, 2025</w:t>
            </w: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0.001</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None</w:t>
            </w:r>
          </w:p>
        </w:tc>
      </w:tr>
      <w:tr>
        <w:trPr>
          <w:trHeight w:val="192"/>
        </w:trPr>
        <w:tc>
          <w:tcPr>
            <w:tcW w:w="3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1,130,281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No warrants to purchase common stock of the Company were exercised during the three months ended March 31,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September 2019,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w:t>
      </w:r>
    </w:p>
    <w:p>
      <w:pPr>
        <w:spacing w:after="0" w:line="3" w:lineRule="exact"/>
        <w:rPr>
          <w:sz w:val="20"/>
          <w:szCs w:val="20"/>
          <w:color w:val="auto"/>
        </w:rPr>
      </w:pPr>
    </w:p>
    <w:p>
      <w:pPr>
        <w:jc w:val="both"/>
        <w:ind w:firstLine="8"/>
        <w:spacing w:after="0" w:line="245"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4% of the outstanding capital stock on each December 31st, or (ii) such lesser amount determined by the Board. Pursuant to the evergreen provision, on January 1, 2025, an additional 705,613 shares of the Company's common stock became available for issuance under the 2019 Plan. As of March 31, 2025, 2,434,666 shares of the Company's common stock remained available for future awards under the 2019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5"/>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1,710,373</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8"/>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463,531</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(229,151)</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(122,206)</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March 31, 2025</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1,822,547</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2025, all of the 1,822,547 outstanding RSUs were unvested. The fair value of RSUs vested in the three months ended March 31, 2025 and 2024 was $0.8 million and $0.4 million, respectively. The weighted average grant date fair value for RSUs granted in the three months ended March 31, 2025 and 2024 was $3.71 and $1.95 per unit, respectively. As of March 31, 2025, total unrecognized compensation cost related to RSUs was $4.4 million, which is expected to be recognized over a remaining weighted-average vesting period of 2.9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120,070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Arial" w:cs="Arial" w:eastAsia="Arial" w:hAnsi="Arial"/>
                <w:sz w:val="14"/>
                <w:szCs w:val="14"/>
                <w:color w:val="auto"/>
              </w:rPr>
              <w:t>Outstanding, March 31,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608,146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March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608,146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tcPr>
          <w:p>
            <w:pPr>
              <w:ind w:left="20"/>
              <w:spacing w:after="0"/>
              <w:rPr>
                <w:sz w:val="20"/>
                <w:szCs w:val="20"/>
                <w:color w:val="auto"/>
              </w:rPr>
            </w:pPr>
            <w:r>
              <w:rPr>
                <w:rFonts w:ascii="Arial" w:cs="Arial" w:eastAsia="Arial" w:hAnsi="Arial"/>
                <w:sz w:val="14"/>
                <w:szCs w:val="14"/>
                <w:color w:val="auto"/>
              </w:rPr>
              <w:t>Options exercisable, March 31,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608,146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were 120,070 stock options and no stock options granted in the three months ended March 31, 2025 and 2024, respectively. The intrinsic value is calculated as the difference between the fair value of the Company's common stock and the exercise price of the stock options. No options were exercised during the three months ended March 31, 2025, and the aggregate intrinsic value of options exercised during the three months ended March 31, 2024 was negligible. As of March 31, 2025, total unrecognized compensation cost related to option awards was $0.3 million, which is expected to be recognized over a remaining weighted-average vesting period of 3.55 years.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lesser of (i) 1.0% of the outstanding capital stock on each December 31st, or (ii) such lesser amount determined by the Board. Pursuant to the evergreen provision, on January 1, 2025, an additional 176,403 shares of the Company's common stock became available for issuance under the ESPP. As of March 31, 2025, 619,593 shares of the Company's common stock remained available for issuance under the ESPP. During the three months ended March 31, 2025, a total of 80,554 shares of the Company's common stock were issued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479</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r>
      <w:tr>
        <w:trPr>
          <w:trHeight w:val="20"/>
        </w:trPr>
        <w:tc>
          <w:tcPr>
            <w:tcW w:w="7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 CTD test.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condensed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$40.3 million and $44.7 million as of March 31, 2025 and December 31, 2024,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8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3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238"/>
        </w:trPr>
        <w:tc>
          <w:tcPr>
            <w:tcW w:w="8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15,498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5,817</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8,598</w:t>
            </w: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1,131</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r>
      <w:tr>
        <w:trPr>
          <w:trHeight w:val="192"/>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12,488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11,601</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200"/>
        </w:trPr>
        <w:tc>
          <w:tcPr>
            <w:tcW w:w="8360" w:type="dxa"/>
            <w:vAlign w:val="bottom"/>
          </w:tcPr>
          <w:p>
            <w:pPr>
              <w:ind w:left="20"/>
              <w:spacing w:after="0"/>
              <w:rPr>
                <w:sz w:val="20"/>
                <w:szCs w:val="20"/>
                <w:color w:val="auto"/>
              </w:rPr>
            </w:pPr>
            <w:r>
              <w:rPr>
                <w:rFonts w:ascii="Arial" w:cs="Arial" w:eastAsia="Arial" w:hAnsi="Arial"/>
                <w:sz w:val="14"/>
                <w:szCs w:val="14"/>
                <w:color w:val="auto"/>
              </w:rPr>
              <w:t>Segment net loss</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w:t>
            </w:r>
          </w:p>
        </w:tc>
      </w:tr>
      <w:tr>
        <w:trPr>
          <w:trHeight w:val="20"/>
        </w:trPr>
        <w:tc>
          <w:tcPr>
            <w:tcW w:w="8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Perceptive Term Loan Facility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2025, the Company entered into a Credit Agreement and Guaranty (the “Credit Agreement”) with Perceptive Credit Holdings IV, LP (“Perceptive”), which provides for a senior secured delayed draw term loan facility in an aggregate principal amount of up to $75.0 million (the “Perceptive Term Loan Facility”). An initial tranche of $25.0 million (the “Tranche A Loan”) was funded on April 25, 2025. Additional tranches of up to $10.0 million (the “Tranche B Loan”), $10.0 million (the “Tranche C Loan”), and $30.0 million (the “Tranche D Loan”) may be drawn subject to the Company’s satisfaction of certain conditions precedent, including specified revenue milestones (the funding date of the Tranche B Loan, the “Tranche B Borrowing Date,” the funding date of the Tranche C Loan, the “Tranche C Borrowing Date,” and the funding date of the Tranche D Loan, the “Tranche D Borrowing Date”). The Perceptive Term Loan Facility matures on April 25, 2030, and includes an interest-only period through maturity, with all outstanding principal and accrued interest due on the maturity date.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is secured by a first-priority lien on substantially all of the Company’s existing and future assets. In connection with the Credit Agreement, the Company also issued Perceptive a warrant to purchase up to 1,150,000 shares of the Company’s common stock, with portions of the warrant vesting upon funding of the various tranches. The warrant has a ten-year term from the applicable vesting date and includes customary anti-dilution and registration rights provisions.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beginning with the quarter ending June 30,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8"/>
          <w:szCs w:val="18"/>
          <w:color w:val="auto"/>
        </w:rPr>
        <w:t>In addition, on the April 25, 2025, as consideration for the Credit Agreement, the Company issued to Perceptive a warrant certificate (the “Warrant Certificate”) to purchase up to 1,150,000 shares (the “Warrant Shares”) of the Company’s common stock. 400,000 Warrant Shares (the “Tranche A Warrant Shares”) vested and became exercisable on the date of issuance, 150,000 Warrant Shares (the “Tranche B Warrant Shares”) will vest and become exercisable on the Tranche B Borrowing Date, 150,000 Warrant Shares (the “Tranche C Warrant Shares”) will vest and become exercisable on the Tranche C Borrowing Date and 450,000 Warrant Shares (the “Tranche D Warrant Shares” and together with the Tranche A Warrant Shares, Tranche B Warrant Shares and Tranche C Warrant Shares, the “Warrant Shares”) will vest and become exercisable on the Tranche D Borrowing Date, if such borrowing is made. The per share exercise price for (i) 50% of the Tranche A Warrant Shares is $4.96 and (ii) the remaining balance of the Tranche A Warrant Shares is $5.58. Additionally, the per share exercise price for (i) 50% of each of the Tranche B Warrant Shares, the Tranche C Warrant Shares and the Tranche D Warrant Shares will be equal to the 10-day VWAP (as defined in the Warrant Certificate) of the Common Stock on the business day immediately preceding the Tranche B Borrowing Date, Tranche C Borrowing Date and Tranche D Borrowing Date, as applicable, and (ii) the remaining balance of each of the Tranche B Warrant Shares, the Tranche C Warrant Shares and the Tranche D Warrant Shares will be equal to 1.125 multiplied by the 10-day VWAP of the Common Stock on the business day immediately preceding the Tranche B Borrowing Date, Tranche C Borrowing Date and Tranche D Borrowing Date, respectively. The Warrant Certificate will be exercisable, in whole or in part, until the 10th anniversary of the applicable vesting date, and may be exercised on a cashless or “net” basis. The Warrant Certificate is freely transferable and will be automatically exercised, on a cashless basis, prior to its expiration if the value of the shares underlying the Warrant Certificate is greater than the then-applicable exercise price. The exercise prices described herein are subject to broad-based weighted anti-dilution protection adjustment for certain dilutive issuances and for certain recapitalization events, as further described in the Warrant Certificate.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(this Quarterly Report) and with our audited financial statements and notes thereto included in our 2024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2024 Annual Report and Part II, Item 1A, “Risk Factors” in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Beginning in late 2022, we revitalized our organization with the addition of key members to our senior leadership team, including our Chief Executive Officer, Chief Financial Officer, Vice President of Sales, Chief Medical Officer, and Medical and Laboratory Director.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are executing an operational turnaround of the business, resulting in a return to revenue growth and gross margin expansion while significantly reducing operating expenses and cash burn.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our AVISE® tests are performed in our approximately 13,000 square foot laboratory located in Vista, California, which is certified under the clinical laboratory testing administered by the Centers for Medicare &amp;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8"/>
          <w:szCs w:val="18"/>
          <w:color w:val="auto"/>
        </w:rPr>
        <w:t>Medicaid Services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launching AVISE® CTD, we have produced an extensive body of peer-reviewed literature supporting the test’s clinical validity and utility, demonstrating the importance of AVISE® CTD in patient care. Revenue from this product comprised 92% and 90% of our revenue for the three months ended March 31, 2025 and 2024,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AVISE® testing products using our specialized sales force covering 39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Perceptive Term Loan Facility</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April 25, 2025, we entered into the Perceptive Term Loan Facility, under which an initial term loan of $ 25.0 million was funded, $19.7 million of which we used to repay the 2017 Term Loan. See “Note 10 </w:t>
      </w:r>
      <w:r>
        <w:rPr>
          <w:rFonts w:ascii="Arial" w:cs="Arial" w:eastAsia="Arial" w:hAnsi="Arial"/>
          <w:sz w:val="18"/>
          <w:szCs w:val="18"/>
          <w:i w:val="1"/>
          <w:iCs w:val="1"/>
          <w:color w:val="auto"/>
        </w:rPr>
        <w:t>Subsequent Events—Perceptive Term Loan Facility</w:t>
      </w:r>
      <w:r>
        <w:rPr>
          <w:rFonts w:ascii="Arial" w:cs="Arial" w:eastAsia="Arial" w:hAnsi="Arial"/>
          <w:sz w:val="18"/>
          <w:szCs w:val="18"/>
          <w:color w:val="auto"/>
        </w:rPr>
        <w:t>” of our unaudited consolidated financial statements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 (“LDT”)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Food and Drug Administration (“FDA”) announced a final rule on the regulation of LDTs on April 29, 2024 (the “Final Rule”), which sought to amend the federal Food, Drug, and Cosmetic Act (“FDCA”) to make it explicit that the FDA has the authority to regulate LDTs as medical devices and to phase out, over the course of four years, its general enforcement discretion approach to the regulation of LDTs. This Final Rule was challenged in the U.S. District Court for the Eastern District of Texas (the “Court”) by the American Clinical Laboratory Association. On March 31, 2025, the Court ruled that the FDA lacks the statutory authority under the FDCA to regulate LDTs. As a result, the Final Rule and LDTs remain regulated under existing state and federal regulations. The FDA may appeal the Court’s decisions and, if it does so successfully, the Final Rule could resume effect. Affected stakeholders may also continue to advocate for comprehensive congressional rulemaking that could expressly grant the FDA the requisite authority to implement the Final Rule (or a similar version of the Final Rule), which may be disruptive to the industry and to patient access to certain diagnostic tests. However, the FDA rulemaking for the Final Rule was initiated after years of failed congressional attempts to harmonize the regulatory paradigms applicable to LDTs and other IVDs. So, it is unclear whether any such legislative efforts would be successful or likely in the near term.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continue our thoughtful approach to research and development. We believe there is significant potential to enhance existing or develop new testing products with superior clinical utility, on our own or through collaboration with partners.</w:t>
      </w:r>
    </w:p>
    <w:p>
      <w:pPr>
        <w:spacing w:after="0" w:line="193" w:lineRule="exact"/>
        <w:rPr>
          <w:sz w:val="20"/>
          <w:szCs w:val="20"/>
          <w:color w:val="auto"/>
        </w:rPr>
      </w:pPr>
    </w:p>
    <w:p>
      <w:pPr>
        <w:jc w:val="both"/>
        <w:ind w:left="660" w:hanging="328"/>
        <w:spacing w:after="0" w:line="259" w:lineRule="auto"/>
        <w:tabs>
          <w:tab w:leader="none" w:pos="656" w:val="left"/>
        </w:tabs>
        <w:numPr>
          <w:ilvl w:val="0"/>
          <w:numId w:val="5"/>
        </w:numPr>
        <w:rPr>
          <w:rFonts w:ascii="Arial" w:cs="Arial" w:eastAsia="Arial" w:hAnsi="Arial"/>
          <w:sz w:val="22"/>
          <w:szCs w:val="22"/>
          <w:color w:val="auto"/>
        </w:rPr>
      </w:pPr>
      <w:r>
        <w:rPr>
          <w:rFonts w:ascii="Arial" w:cs="Arial" w:eastAsia="Arial" w:hAnsi="Arial"/>
          <w:sz w:val="18"/>
          <w:szCs w:val="18"/>
          <w:u w:val="single" w:color="auto"/>
          <w:color w:val="auto"/>
        </w:rPr>
        <w:t>PAD4 Biomarkers</w:t>
      </w:r>
      <w:r>
        <w:rPr>
          <w:rFonts w:ascii="Arial" w:cs="Arial" w:eastAsia="Arial" w:hAnsi="Arial"/>
          <w:sz w:val="18"/>
          <w:szCs w:val="18"/>
          <w:color w:val="auto"/>
        </w:rPr>
        <w:t>. We currently plan to commercially launch our peptidyl arginine deiminase 4 (PAD4) biomarker around the end of this year. We expect to gain ~8% in overall sensitivity for identifying patients with RA who would otherwise be serologically negative. This sensitivity gain would put our overall ability to detect the RA patient population at approximately 85%, far above conventional markers alone.</w:t>
      </w:r>
    </w:p>
    <w:p>
      <w:pPr>
        <w:spacing w:after="0" w:line="217" w:lineRule="exact"/>
        <w:rPr>
          <w:rFonts w:ascii="Arial" w:cs="Arial" w:eastAsia="Arial" w:hAnsi="Arial"/>
          <w:sz w:val="22"/>
          <w:szCs w:val="22"/>
          <w:color w:val="auto"/>
        </w:rPr>
      </w:pPr>
    </w:p>
    <w:p>
      <w:pPr>
        <w:jc w:val="both"/>
        <w:ind w:left="660" w:hanging="328"/>
        <w:spacing w:after="0" w:line="249" w:lineRule="auto"/>
        <w:tabs>
          <w:tab w:leader="none" w:pos="683" w:val="left"/>
        </w:tabs>
        <w:numPr>
          <w:ilvl w:val="0"/>
          <w:numId w:val="5"/>
        </w:numPr>
        <w:rPr>
          <w:rFonts w:ascii="Arial" w:cs="Arial" w:eastAsia="Arial" w:hAnsi="Arial"/>
          <w:sz w:val="22"/>
          <w:szCs w:val="22"/>
          <w:color w:val="auto"/>
        </w:rPr>
      </w:pPr>
      <w:r>
        <w:rPr>
          <w:rFonts w:ascii="Arial" w:cs="Arial" w:eastAsia="Arial" w:hAnsi="Arial"/>
          <w:sz w:val="18"/>
          <w:szCs w:val="18"/>
          <w:u w:val="single" w:color="auto"/>
          <w:color w:val="auto"/>
        </w:rPr>
        <w:t>Lupus Nephritis Biomarkers</w:t>
      </w:r>
      <w:r>
        <w:rPr>
          <w:rFonts w:ascii="Arial" w:cs="Arial" w:eastAsia="Arial" w:hAnsi="Arial"/>
          <w:sz w:val="18"/>
          <w:szCs w:val="18"/>
          <w:color w:val="auto"/>
        </w:rPr>
        <w:t>. We continue to leverage our intellectual property licensed from Johns Hopkins University (JHU) to develop a test for detecting protein analytes in urine that can aid rheumatologists in the ongoing management and risk stratification of patients suffering from Lupus Nephritis (LN). We are currently testing a new customized array and currently expect to have results</w:t>
      </w:r>
    </w:p>
    <w:p>
      <w:pPr>
        <w:spacing w:after="0" w:line="1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of this testing in the third quarter of 2025. We expect to make this panel available initially through Pharma collaborations for research use prior to releasing commercially through our clinical lab.</w:t>
      </w:r>
    </w:p>
    <w:p>
      <w:pPr>
        <w:spacing w:after="0" w:line="193" w:lineRule="exact"/>
        <w:rPr>
          <w:sz w:val="20"/>
          <w:szCs w:val="20"/>
          <w:color w:val="auto"/>
        </w:rPr>
      </w:pPr>
    </w:p>
    <w:p>
      <w:pPr>
        <w:jc w:val="both"/>
        <w:ind w:left="660" w:hanging="328"/>
        <w:spacing w:after="0" w:line="244"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SLE Disease Activity</w:t>
      </w:r>
      <w:r>
        <w:rPr>
          <w:rFonts w:ascii="Arial" w:cs="Arial" w:eastAsia="Arial" w:hAnsi="Arial"/>
          <w:sz w:val="18"/>
          <w:szCs w:val="18"/>
          <w:color w:val="auto"/>
        </w:rPr>
        <w:t>. We are continuing to leverage clinical and laboratory data collected across multiple longitudinal SLE cohorts to identify a set of biomarkers that can inform an AI-developed algorithm aimed at guiding ongoing treatment decisions throughout the course of a lupus patient’s journey. This candidate assay for SLE Disease Activity is currently being clinically validated with patient recruitment ongoing.</w:t>
      </w:r>
    </w:p>
    <w:p>
      <w:pPr>
        <w:spacing w:after="0" w:line="232"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RA Disease Activity</w:t>
      </w:r>
      <w:r>
        <w:rPr>
          <w:rFonts w:ascii="Arial" w:cs="Arial" w:eastAsia="Arial" w:hAnsi="Arial"/>
          <w:sz w:val="18"/>
          <w:szCs w:val="18"/>
          <w:color w:val="auto"/>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This candidate assay for RA Disease Activity is in development, with the validation cohort procured for analysis.</w:t>
      </w:r>
    </w:p>
    <w:p>
      <w:pPr>
        <w:spacing w:after="0" w:line="232"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Kidney Damage Biomarkers</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developed a four-protein blood-based panel, which sensitively detects kidney damage in early LN and diabetic nephropathy which significantly outperforms creatinine and eGFR. A provisional patent application was filed in November 2024 for methods of detecting kidney damage using the blood-based panel. We continue to expect to make this panel available initially through Pharma collaborations for research use prior to releasing commercially through our clinical lab.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93" w:lineRule="exact"/>
        <w:rPr>
          <w:sz w:val="20"/>
          <w:szCs w:val="20"/>
          <w:color w:val="auto"/>
        </w:rPr>
      </w:pPr>
    </w:p>
    <w:p>
      <w:pPr>
        <w:jc w:val="both"/>
        <w:ind w:left="660" w:hanging="328"/>
        <w:spacing w:after="0" w:line="249" w:lineRule="auto"/>
        <w:tabs>
          <w:tab w:leader="none" w:pos="683" w:val="left"/>
        </w:tabs>
        <w:numPr>
          <w:ilvl w:val="0"/>
          <w:numId w:val="7"/>
        </w:numPr>
        <w:rPr>
          <w:rFonts w:ascii="Arial" w:cs="Arial" w:eastAsia="Arial" w:hAnsi="Arial"/>
          <w:sz w:val="22"/>
          <w:szCs w:val="22"/>
          <w:color w:val="auto"/>
        </w:rPr>
      </w:pPr>
      <w:r>
        <w:rPr>
          <w:rFonts w:ascii="Arial" w:cs="Arial" w:eastAsia="Arial" w:hAnsi="Arial"/>
          <w:sz w:val="18"/>
          <w:szCs w:val="18"/>
          <w:i w:val="1"/>
          <w:iCs w:val="1"/>
          <w:u w:val="single" w:color="auto"/>
          <w:color w:val="auto"/>
        </w:rPr>
        <w:t>Commercial Launch of AVISE® CTD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Our flagship product, AVISE® 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SLE, RA, and Sjögren’s syndrome earlier and with greater accuracy, in each case, as compared to the current standard of care. Our laboratory specializes in the testing of rheumatic diseases, delivering precise and timely results, supported by a full suite of AVISE®-branded tests for disease diagnosis, prognosis, and monitoring. With a focus on research, innovation, education, and patient-centered care, we are dedicated to addressing the ongoing challenges of autoimmune disease management.</w:t>
      </w:r>
    </w:p>
    <w:p>
      <w:pPr>
        <w:spacing w:after="0" w:line="18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January 2025, we announced conditional approval by the New York State Department of Health (NYSDOH) and commercial launch of our new SLE and RA biomarker assays on the AVISE® CTD platform. Collectively, we believe these new biomarkers will further improve the clinical utility of AVISE® CTD, providing clinicians with the information they need to definitively diagnose patients and shorten their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4" w:name="page25"/>
    <w:bookmarkEnd w:id="24"/>
    <w:p>
      <w:pPr>
        <w:ind w:left="328"/>
        <w:spacing w:after="0" w:line="287" w:lineRule="auto"/>
        <w:rPr>
          <w:sz w:val="20"/>
          <w:szCs w:val="20"/>
          <w:color w:val="auto"/>
        </w:rPr>
      </w:pPr>
      <w:r>
        <w:rPr>
          <w:rFonts w:ascii="Arial" w:cs="Arial" w:eastAsia="Arial" w:hAnsi="Arial"/>
          <w:sz w:val="18"/>
          <w:szCs w:val="18"/>
          <w:color w:val="auto"/>
        </w:rPr>
        <w:t>autoimmune diagnostic journeys. We expect the addition of these new biomarkers will drive gains in our AVISE® CTD average selling price, gross margin expansion and increase demand while positioning us for profitability.</w:t>
      </w:r>
    </w:p>
    <w:p>
      <w:pPr>
        <w:spacing w:after="0" w:line="193" w:lineRule="exact"/>
        <w:rPr>
          <w:sz w:val="20"/>
          <w:szCs w:val="20"/>
          <w:color w:val="auto"/>
        </w:rPr>
      </w:pPr>
    </w:p>
    <w:p>
      <w:pPr>
        <w:jc w:val="both"/>
        <w:ind w:left="328" w:hanging="328"/>
        <w:spacing w:after="0" w:line="249"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held claims in the first half of the fiscal year ended December 31, 2024, which resulted in increases in our accounts receivable and an accelerated decrease in our cash in the first half of the fiscal year ended December 31, 2024. As expected, this trend reversed in the second half of the fiscal year ended December 31, 2024 as cash was collected on billed tests. We held claims in the first quarter of the fiscal year ending December 31, 2025, which resulted in increases in our accounts receivable and an accelerated decrease in our cash in the first quarter of the fiscal year ending December 31, 2025 and a reversal of that trend is expected in the remaining three quarters of the fiscal year ending December 31, 2025.</w:t>
      </w:r>
    </w:p>
    <w:p>
      <w:pPr>
        <w:spacing w:after="0" w:line="233" w:lineRule="exact"/>
        <w:rPr>
          <w:rFonts w:ascii="Arial" w:cs="Arial" w:eastAsia="Arial" w:hAnsi="Arial"/>
          <w:sz w:val="22"/>
          <w:szCs w:val="22"/>
          <w:color w:val="auto"/>
        </w:rPr>
      </w:pPr>
    </w:p>
    <w:p>
      <w:pPr>
        <w:jc w:val="both"/>
        <w:ind w:left="328" w:hanging="328"/>
        <w:spacing w:after="0" w:line="248" w:lineRule="auto"/>
        <w:tabs>
          <w:tab w:leader="none" w:pos="324" w:val="left"/>
        </w:tabs>
        <w:numPr>
          <w:ilvl w:val="0"/>
          <w:numId w:val="8"/>
        </w:numPr>
        <w:rPr>
          <w:rFonts w:ascii="Arial" w:cs="Arial" w:eastAsia="Arial" w:hAnsi="Arial"/>
          <w:sz w:val="21"/>
          <w:szCs w:val="21"/>
          <w:color w:val="auto"/>
        </w:rPr>
      </w:pPr>
      <w:r>
        <w:rPr>
          <w:rFonts w:ascii="Arial" w:cs="Arial" w:eastAsia="Arial" w:hAnsi="Arial"/>
          <w:sz w:val="17"/>
          <w:szCs w:val="17"/>
          <w:i w:val="1"/>
          <w:iCs w:val="1"/>
          <w:u w:val="single" w:color="auto"/>
          <w:color w:val="auto"/>
        </w:rPr>
        <w:t>Expanding Adoption of AVISE® CTD.</w:t>
      </w:r>
      <w:r>
        <w:rPr>
          <w:rFonts w:ascii="Arial" w:cs="Arial" w:eastAsia="Arial" w:hAnsi="Arial"/>
          <w:sz w:val="17"/>
          <w:szCs w:val="17"/>
          <w:i w:val="1"/>
          <w:iCs w:val="1"/>
          <w:color w:val="auto"/>
        </w:rPr>
        <w:t xml:space="preserve"> </w:t>
      </w:r>
      <w:r>
        <w:rPr>
          <w:rFonts w:ascii="Arial" w:cs="Arial" w:eastAsia="Arial" w:hAnsi="Arial"/>
          <w:sz w:val="17"/>
          <w:szCs w:val="17"/>
          <w:color w:val="auto"/>
        </w:rPr>
        <w:t>Since the launch of AVISE</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CTD in 2012 and through March 31, 2025, we have delivered over</w:t>
      </w:r>
      <w:r>
        <w:rPr>
          <w:rFonts w:ascii="Arial" w:cs="Arial" w:eastAsia="Arial" w:hAnsi="Arial"/>
          <w:sz w:val="17"/>
          <w:szCs w:val="17"/>
          <w:i w:val="1"/>
          <w:iCs w:val="1"/>
          <w:color w:val="auto"/>
        </w:rPr>
        <w:t xml:space="preserve"> </w:t>
      </w:r>
      <w:r>
        <w:rPr>
          <w:rFonts w:ascii="Arial" w:cs="Arial" w:eastAsia="Arial" w:hAnsi="Arial"/>
          <w:sz w:val="17"/>
          <w:szCs w:val="17"/>
          <w:color w:val="auto"/>
        </w:rPr>
        <w:t>one million of these tests. During the three months ended March 31, 2025, the number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delivered increased by approximately 2% over the same period in 2024. Revenue growth for our testing products will depend, in part, on our ability to continue to expand our base of ordering healthcare providers and increase our penetration with existing healthcare providers, and on the success of the T-Cell Biomarkers and RA Sub-Profile Biomarkers which we added to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in January 2025.</w:t>
      </w:r>
    </w:p>
    <w:p>
      <w:pPr>
        <w:spacing w:after="0" w:line="148" w:lineRule="exact"/>
        <w:rPr>
          <w:rFonts w:ascii="Arial" w:cs="Arial" w:eastAsia="Arial" w:hAnsi="Arial"/>
          <w:sz w:val="21"/>
          <w:szCs w:val="21"/>
          <w:color w:val="auto"/>
        </w:rPr>
      </w:pPr>
    </w:p>
    <w:p>
      <w:pPr>
        <w:jc w:val="both"/>
        <w:ind w:left="328" w:hanging="328"/>
        <w:spacing w:after="0" w:line="249" w:lineRule="auto"/>
        <w:tabs>
          <w:tab w:leader="none" w:pos="351" w:val="left"/>
        </w:tabs>
        <w:numPr>
          <w:ilvl w:val="0"/>
          <w:numId w:val="8"/>
        </w:numPr>
        <w:rPr>
          <w:rFonts w:ascii="Arial" w:cs="Arial" w:eastAsia="Arial" w:hAnsi="Arial"/>
          <w:sz w:val="22"/>
          <w:szCs w:val="22"/>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spacing w:after="0" w:line="228" w:lineRule="exact"/>
        <w:rPr>
          <w:rFonts w:ascii="Arial" w:cs="Arial" w:eastAsia="Arial" w:hAnsi="Arial"/>
          <w:sz w:val="22"/>
          <w:szCs w:val="22"/>
          <w:color w:val="auto"/>
        </w:rPr>
      </w:pPr>
    </w:p>
    <w:p>
      <w:pPr>
        <w:jc w:val="both"/>
        <w:ind w:left="328" w:hanging="328"/>
        <w:spacing w:after="0" w:line="244"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a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Average Selling Price (ASP) growth. This strategy includes</w:t>
      </w:r>
    </w:p>
    <w:p>
      <w:pPr>
        <w:spacing w:after="0" w:line="200" w:lineRule="exact"/>
        <w:rPr>
          <w:sz w:val="20"/>
          <w:szCs w:val="20"/>
          <w:color w:val="auto"/>
        </w:rPr>
      </w:pPr>
    </w:p>
    <w:p>
      <w:pPr>
        <w:spacing w:after="0" w:line="33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06" w:right="339" w:bottom="1440" w:gutter="0" w:footer="0" w:header="0"/>
        </w:sectPr>
      </w:pPr>
    </w:p>
    <w:bookmarkStart w:id="25" w:name="page26"/>
    <w:bookmarkEnd w:id="25"/>
    <w:p>
      <w:pPr>
        <w:jc w:val="both"/>
        <w:ind w:left="660"/>
        <w:spacing w:after="0" w:line="268" w:lineRule="auto"/>
        <w:rPr>
          <w:sz w:val="20"/>
          <w:szCs w:val="20"/>
          <w:color w:val="auto"/>
        </w:rPr>
      </w:pPr>
      <w:r>
        <w:rPr>
          <w:rFonts w:ascii="Arial" w:cs="Arial" w:eastAsia="Arial" w:hAnsi="Arial"/>
          <w:sz w:val="18"/>
          <w:szCs w:val="18"/>
          <w:color w:val="auto"/>
        </w:rPr>
        <w:t>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211" w:lineRule="exact"/>
        <w:rPr>
          <w:sz w:val="20"/>
          <w:szCs w:val="20"/>
          <w:color w:val="auto"/>
        </w:rPr>
      </w:pPr>
    </w:p>
    <w:p>
      <w:pPr>
        <w:jc w:val="both"/>
        <w:ind w:left="660" w:hanging="328"/>
        <w:spacing w:after="0" w:line="237" w:lineRule="auto"/>
        <w:tabs>
          <w:tab w:leader="none" w:pos="669"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235" w:lineRule="exact"/>
        <w:rPr>
          <w:rFonts w:ascii="Arial" w:cs="Arial" w:eastAsia="Arial" w:hAnsi="Arial"/>
          <w:sz w:val="22"/>
          <w:szCs w:val="22"/>
          <w:color w:val="auto"/>
        </w:rPr>
      </w:pPr>
    </w:p>
    <w:p>
      <w:pPr>
        <w:jc w:val="both"/>
        <w:ind w:left="660" w:hanging="328"/>
        <w:spacing w:after="0" w:line="242" w:lineRule="auto"/>
        <w:tabs>
          <w:tab w:leader="none" w:pos="683"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232" w:lineRule="exact"/>
        <w:rPr>
          <w:rFonts w:ascii="Arial" w:cs="Arial" w:eastAsia="Arial" w:hAnsi="Arial"/>
          <w:sz w:val="22"/>
          <w:szCs w:val="22"/>
          <w:color w:val="auto"/>
        </w:rPr>
      </w:pPr>
    </w:p>
    <w:p>
      <w:pPr>
        <w:jc w:val="both"/>
        <w:ind w:left="660" w:hanging="328"/>
        <w:spacing w:after="0" w:line="249" w:lineRule="auto"/>
        <w:tabs>
          <w:tab w:leader="none" w:pos="656"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Changes in U.S. Trade Policy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results of operations and financial condition may be adversely affected by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8"/>
          <w:szCs w:val="18"/>
          <w:color w:val="auto"/>
        </w:rPr>
        <w:t>determined based on a historical analysis of amounts collected by test and by payor, among other factors. These assessments require significant judgment by management.</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increase our revenue will depend on the success of the T-Cell Biomarker and RA Sub-Profile Biomarkers enhancements to our AVISE® CTD test, in addition to our ability to further penetrate the market for our current and future testing products and increase our reimbursement and collection rates (ASP) for tests delivered.</w:t>
      </w:r>
    </w:p>
    <w:p>
      <w:pPr>
        <w:spacing w:after="0" w:line="16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April 2022, we were granted a Proprietary Laboratory Analyses code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is offered standalone or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Noridian Healthcare Solutions (Noridian), our Medicare Administrative Contractor, has set the current pricing for this PLA code at $840.65 per test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submitted a formal request to Noridian for coverage of our AVISE® Lupus test under the new PLA Code and on September 27, 2022, we received notice that Noridian deemed our application for a Local Coverage Determination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2024 Annual Report and this Quarterly Report. In the meantime, we have continued to submit Medicare claims for AVISE® Lupus, appeal denials and respond to requests for additional information. On January 31, 2024, CMS released a coverage article under which all multi-analyte proteomic testing will be considered within the scope of the Molecular Diagnostic Services Program administered by Palmetto GBA on behalf of CMS (MolDX) and reviewed through their technology assessment process. The article listed several such tests, including the AVISE® Lupus test, and requires all laboratories furnishing multi-analyte proteomics testing in MolDX jurisdictions to register with the DEX® Diagnostics Exchange Registry and obtain a Z-Code® identifier. We were issued a Z-Code® identifier in May 2024. To determine if the submitted tests are compliant with relevant policy requirements, these tests will undergo technical assessment by Palmetto GBA as part of the MolDX program.</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During the fiscal year ended December 31, 2024, we experienced moderate declines in test volume since the second half of the fiscal year ended December 31, 2023, as rheumatologists and patients adjusted to these changes. During the first quarter of 2024, we saw a return to volume growth. The number of AVISE® CTD tests delivered during the three months ended March 31, 2025 improved by approximately 2.0% as compared to the number of AVISE® CTD tests delivered during the three months ended March 31, 2024 due continuing physician demand and adoption, early traction from our new biomarkers, and salesforce expansion.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infrastructure expenses, shipping charges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transport specimens, blood specimen collections fees, royalties, depreciation and allocated overhead (including rent and utilities).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We expect that our cost of revenue will increase year-over-year in the near-term as a result of costs associated with the addition of the T-Cell Biomarkers and RA Sub-Profile Biomarkers to our AVISE® CTD test.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 We expect interest expense to increase by approximately $1.0 million annually in the year ending December 31, 2025 as compared to the year ended December 31, 2024, as a result of borrowings under the Perceptive Term Loan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9,123</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11,204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12,488</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jc w:val="both"/>
        <w:spacing w:after="0"/>
        <w:rPr>
          <w:sz w:val="20"/>
          <w:szCs w:val="20"/>
          <w:color w:val="auto"/>
        </w:rPr>
      </w:pPr>
      <w:r>
        <w:rPr>
          <w:rFonts w:ascii="Arial" w:cs="Arial" w:eastAsia="Arial" w:hAnsi="Arial"/>
          <w:sz w:val="18"/>
          <w:szCs w:val="18"/>
          <w:color w:val="auto"/>
        </w:rPr>
        <w:t>Revenue increased $ 1.1 million, or 7.5%, for the three months ended March 31, 2025 compared to the three months ended March 31, 2024, primarily due to ASP expansion driven primarily by our new biomarkers, and, to a lesser extent, an increase in test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three months ended March 31, 2025 increased by approximately 2% compared to the same period in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$0.6 million, or 9.6%, for the three months ended March 31, 2025 compared to the three months ended March 31, 2024. This increase was primarily due to increases of $0.5 million in materials and supplies and $0.5 million in employee-related expenses (including salaries, benefits and stock-based compensation) related to increased headcount, partially offset by a decrease of $0.2 million in royalties, a decrease of $0.1 million in shipping and handling costs and a decrease of $0.1 million in outside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margin as a percentage of revenue decreased to 58.9% for the three months ended March 31, 2025 compared to 59.6% for the three months ended March 31, 2024, primarily due to the changes to revenue and cost of revenue described above and our bearing costs associated with processing tests that include our new biomarkers under client direct bill contracts prior to amending such contracts to update the contract price to reflect the additional biomarkers. The majority of our client direct bill contracts have now been amended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$0.7 million, or 6.3%, for the three months ended March 31, 2025 compared to the three months ended March 31, 2024. This increase was primarily due to an increase of $ 0.7 million in employee-related expenses (including salaries, benefits and stock-based compensation) related to increased headcount, and an increase of $0.2 million in travel and entertainment, offset by a decrease of $0.1 million in outside services and a decrease of $0.1 million in facilities.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should decrease year-over-year as a percentage of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expenses increased $0.2 million, or 21.2%, for the three months ended March 31, 2025 compared to the three months ended March 31, 2024. This increase was primarily due to an increase of $0.1 million in employee-related expenses (including salaries, benefits and stock-based compensation) and an increase of $0.1 million in outside services.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should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remained substantially consistent for the three months ended March 31, 2025 compared to the three months ended March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income remained substantially consistent for the three months ended March 31, 2025 compared to the three months ended March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incurred net losses since our inception. For the three months ended March 31, 2025 and 2024, we incurred a net loss of $3.8 million and $3.4 million, respectively, and we expect to incur additional losses in future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periods. To date, we have generated only limited revenue, and despite any estimates we may make regarding our ability to become profitable, we may never achieve revenue sufficient to offset our expenses. As of March 31, 2025, we had an accumulated deficit of $298.1 million and cash and cash equivalents of $ 11.2 million. Cash in excess of immediate requirements is invested in accordance with our investment policy, primarily with a view to liquidity and capital preservation. Currently, our funds are held in cash and money market funds. The Company held claims in the first quarter of the fiscal year ending December 31, 2025, which resulted in increases in its accounts receivable and an accelerated decrease in its cash and cash equivalents in the first quarter of the fiscal year ending December 31, 2025 and a reversal of that trend is expected in the remaining three quarters of the fiscal year ending December 31, 2025.</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Amended Loan Agreement.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50.0% of the aggregate principal amount of the 2017 Term Loan funded (excluding any capitalized interest paid-in-kind) at all times during such quarter. The consequences of failing to achieve the performance covenants, when applicable, will be cured if, (i) within 30 days of failing to achieve the performance covenant, we submit a new financial plan approved by our Board to Innovatus under which we are expected to break even on a cash flow basis prior to the maturity date, and (ii) within 30 days of the submission of such financial plan, we issue additional equity securities or subordinated debt with net proceeds sufficient to fund any cash flow deficiency generated from operations, as defined in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As of March 31, 2025, we were in compliance with all covenants of the Amended Loan Agreement with Innovatus.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25, 2025, we entered into the Perceptive Term Loan Facility, which provides for a senior secured delayed draw term loan facility in an aggregate principal amount of up to $75.0 million, including an initial tranche of $25.0 million funded on the closing date, of which $19.7 million was used to repay the 2017 Term Loan. As of April 30, 2025, following the funding of the initial tranche and the repayment of the 2017 Term Loan, we had approximately $28.0 million in cash, cash equivalents and accounts receivable. The Perceptive Term Loan Facility enhances our liquidity position and provides additional financial flexibility, subject to the satisfaction of certain revenue-based and other customary conditions for future tranches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17, 2023, we filed the 2023 Shelf Registration Statement covering the offering, from time to time, of up to $150.0 million shares of our common stock, preferred stock, debt securities, warrants and units, all of which remain available for sale at March 31, 2025.</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15, 2022, we entered into the Sales Agreement with TD Securities, as sales agent, pursuant to which the Company may offer and sell, from time to time, shares of Company common stock having an aggregate offering price of up to $50.0 million. The Company is not obligated to sell any shares of the Company's common stock in the offering and, as of March 31, 2025, the Company has not sold any shares of its common stock pursuant to the Sales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by the timing of when we pay expenses, as reflected in the change in our outstanding accounts payable and accrued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finance leases related to our laboratory equipment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financial statements included in this Quarterly Report).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53" w:lineRule="exact"/>
        <w:rPr>
          <w:sz w:val="20"/>
          <w:szCs w:val="20"/>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improve AVISE® CTD ASP as a result of the launch of the T-Cell Biomarkers and RA Sub-Profile Biomarkers, in addition to our ability to achieve adequate reimbursement for these additions to our AVISE® CTD test offering;</w:t>
      </w:r>
    </w:p>
    <w:p>
      <w:pPr>
        <w:spacing w:after="0" w:line="1"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ind w:left="660" w:right="20" w:hanging="328"/>
        <w:spacing w:after="0" w:line="23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as needed through equity offerings, debt financings or other capital sources, including potentially 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5"/>
        </w:trPr>
        <w:tc>
          <w:tcPr>
            <w:tcW w:w="8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184"/>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198"/>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(9,040)</w:t>
            </w:r>
          </w:p>
        </w:tc>
      </w:tr>
      <w:tr>
        <w:trPr>
          <w:trHeight w:val="207"/>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2025 was $10.7 million, primarily resulting from (i) our net loss of $3.8 million adjusted for non-cash charges of $1.2 million primarily related to stock-based compensation, depreciation, amortization, non-cash lease expense and non-cash interest and (ii) changes in our net operating assets of $8.1 million primarily related to net increases in accounts receivable and net decreases in accrued and other current liabilities and operating lease liabilities, partially offset by net increases in accounts payable.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2024 was $9.0 million, primarily resulting from (i) our net loss of $3.4 million adjusted for non-cash charges of $1.4 million primarily related to stock-based compensation, depreciation, amortization, non-cash lease expense and non-cash interest and (ii) changes in our net operating assets of $7.0 million primarily related to net increases in accounts receivable and net decreases in accounts payable and accrued and other current liabilities, partially offset by net decreases in prepaid expenses and other current assets. The increase in accounts receivable was primarily due to delays in claim submission as part of our revenue cycle management initiatives.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2025 and 2024 was $0.1 million,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2025 was $0.1 million, primarily resulting from payments on finance lease and notes payable obligations, partially offset by proceeds from ESPP purchases.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2024 was $0.1 million, primarily resulting from payments on finance lease and notes payable obligations, partially offset by proceeds from purchases under the Company's 2019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2024 Annual Report. There have been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critical accounting policies and estimates during the three months ended March 31, 2025 as compared to the critical accounting policies and estimates disclosed in the Management’s Discussion and Analysis of Financial Condition and Operations included in our 2024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unaudited condensed financial statements included in this Quarterly Report for a summary of recent accounting pronouncements.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March 31, 2025, our disclosure controls and procedures were effective at a reasonable level of assurance.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2025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settlement agreement with the DOJ, which has been previously disclosed, Exagen made a single lump-sum remittance to the government in the amount of $0.7 million plus interest in October 2023. The U.S. Attorney’s Office dismissed the “covered conduct” elements in the qui tam with prejudice, while non-covered conduct was dismissed without prejudice. The DOJ excused itself from the case in connection with the settlement. Exagen’s ability to participate in federally funded healthcare programs was unaffected by the settlement. In November 2023, the complaint was unsealed and served on Exagen. Exagen filed a motion to dismiss the complaint. In February 2024, the relator filed a motion for leave to amend the complaint. Exagen opposed this motion. In March 2025, the court granted Exagen’s motion to dismiss with prejudice and denied the relator’s motion for leave to amend. The relator filed an appeal with respect to this ruling. We cannot predict the outcome of such an appeal, or its potential impact or effect on our business, prospects and financial condition. We intend to vigorously defend against the appeal. The Company's participation in federal healthcare programs is not affected by the settlement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than the following risk factor, there have been no material changes to the risk factors disclosed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2024 Annual Report.</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U.S. trade policy and the impact of tariffs may have a material adverse effect on our business, results of operations and financial condition.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Several tariff announcements have been followed by announcements of limited exemptions and temporary pauses. These actions are unprecedented, have caused substantial uncertainty and volatility in financial markets and may result in retaliatory measures on U.S. goods.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requires access to reagents and other materials to run our tests, some of which we source from suppliers located outside the U.S.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 in the availability, terms and cost of capital. Such adverse changes could increase our costs of capital and limit our access to external financing sources.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25, 2025, the Company entered into a Credit Agreement and Guaranty (the “Credit Agreement”) with Perceptive Credit Holdings IV, LP (“Perceptive”), which provides for a senior secured delayed draw term loan facility in an aggregate principal amount of up to $75.0 million (the “Perceptive Term Loan Facility”). An initial tranche of $25.0 million was funded on April 25, 2025. Additional tranches of up to $10.0 million, $ 10.0 million, and $30.0 million may be drawn subject to the Company’s satisfaction of certain conditions precedent, including specified revenue milestones. The Perceptive Term Loan Facility matures on April 25, 2030, and includes an interest-only period through maturity, with all outstanding principal and accrued interest due on the maturity date. 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is collateralized by substantially all of our personal property, including our intellectual property. The Credit Agreement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beginning with the quarter ending June 30, 2025.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Perceptive, which we may not be able to obtain. We cannot be certain that we will be able to generate sufficient cash flow or revenue to meet the financial covenants or pay the principal and accrued interest on our debt.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If an event of default occurs and we are unable to repay amounts due under the Credit Agreement, Perceptive could foreclose on substantially all of our personal property, including our intellectual property. We cannot be certain that future working capital, borrowings or equity financings will be available to repay or refinance our debt to Perceptive or any other debt we may incur in the future.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2025, none of our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37" w:name="page38"/>
    <w:bookmarkEnd w:id="37"/>
    <w:p>
      <w:pPr>
        <w:ind w:left="4223"/>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03"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34"/>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40" w:type="dxa"/>
            <w:vAlign w:val="bottom"/>
            <w:gridSpan w:val="34"/>
          </w:tcPr>
          <w:p>
            <w:pPr>
              <w:spacing w:after="0" w:line="155" w:lineRule="exact"/>
              <w:rPr>
                <w:rFonts w:ascii="Arial" w:cs="Arial" w:eastAsia="Arial" w:hAnsi="Arial"/>
                <w:sz w:val="14"/>
                <w:szCs w:val="14"/>
                <w:color w:val="0000FF"/>
              </w:rPr>
            </w:pPr>
            <w:hyperlink r:id="rId47">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Incorporation.</w:t>
              </w:r>
            </w:hyperlink>
          </w:p>
        </w:tc>
        <w:tc>
          <w:tcPr>
            <w:tcW w:w="1480" w:type="dxa"/>
            <w:vAlign w:val="bottom"/>
            <w:tcBorders>
              <w:top w:val="single" w:sz="8" w:color="0000FF"/>
            </w:tcBorders>
            <w:gridSpan w:val="9"/>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34"/>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34"/>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4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dated January 19, 2023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40" w:type="dxa"/>
            <w:vAlign w:val="bottom"/>
            <w:tcBorders>
              <w:bottom w:val="single" w:sz="8" w:color="0000FF"/>
            </w:tcBorders>
            <w:gridSpan w:val="34"/>
          </w:tcPr>
          <w:p>
            <w:pPr>
              <w:spacing w:after="0"/>
              <w:rPr>
                <w:rFonts w:ascii="Arial" w:cs="Arial" w:eastAsia="Arial" w:hAnsi="Arial"/>
                <w:sz w:val="14"/>
                <w:szCs w:val="14"/>
                <w:color w:val="0000FF"/>
              </w:rPr>
            </w:pPr>
            <w:hyperlink r:id="rId50">
              <w:r>
                <w:rPr>
                  <w:rFonts w:ascii="Arial" w:cs="Arial" w:eastAsia="Arial" w:hAnsi="Arial"/>
                  <w:sz w:val="14"/>
                  <w:szCs w:val="14"/>
                  <w:color w:val="0000FF"/>
                </w:rPr>
                <w:t>Specimen stock certificate evidencing the shares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4"/>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of common stock.</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40" w:type="dxa"/>
            <w:vAlign w:val="bottom"/>
            <w:gridSpan w:val="34"/>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51">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2900" w:type="dxa"/>
            <w:vAlign w:val="bottom"/>
            <w:tcBorders>
              <w:bottom w:val="single" w:sz="8" w:color="0000FF"/>
            </w:tcBorders>
            <w:gridSpan w:val="24"/>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connection with private placement financings.</w:t>
              </w:r>
            </w:hyperlink>
          </w:p>
        </w:tc>
        <w:tc>
          <w:tcPr>
            <w:tcW w:w="240" w:type="dxa"/>
            <w:vAlign w:val="bottom"/>
            <w:gridSpan w:val="10"/>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2880" w:type="dxa"/>
            <w:vAlign w:val="bottom"/>
            <w:tcBorders>
              <w:bottom w:val="single" w:sz="8" w:color="0000FF"/>
            </w:tcBorders>
            <w:gridSpan w:val="23"/>
          </w:tcPr>
          <w:p>
            <w:pPr>
              <w:spacing w:after="0"/>
              <w:rPr>
                <w:rFonts w:ascii="Arial" w:cs="Arial" w:eastAsia="Arial" w:hAnsi="Arial"/>
                <w:sz w:val="14"/>
                <w:szCs w:val="14"/>
                <w:color w:val="0000FF"/>
              </w:rPr>
            </w:pPr>
            <w:hyperlink r:id="rId52">
              <w:r>
                <w:rPr>
                  <w:rFonts w:ascii="Arial" w:cs="Arial" w:eastAsia="Arial" w:hAnsi="Arial"/>
                  <w:sz w:val="14"/>
                  <w:szCs w:val="14"/>
                  <w:color w:val="0000FF"/>
                </w:rPr>
                <w:t>Form of Common Stock Purchase Warrant to</w:t>
              </w:r>
            </w:hyperlink>
          </w:p>
        </w:tc>
        <w:tc>
          <w:tcPr>
            <w:tcW w:w="260" w:type="dxa"/>
            <w:vAlign w:val="bottom"/>
            <w:gridSpan w:val="11"/>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4"/>
          </w:tcPr>
          <w:p>
            <w:pPr>
              <w:spacing w:after="0" w:line="129" w:lineRule="exact"/>
              <w:rPr>
                <w:rFonts w:ascii="Arial" w:cs="Arial" w:eastAsia="Arial" w:hAnsi="Arial"/>
                <w:sz w:val="14"/>
                <w:szCs w:val="14"/>
                <w:color w:val="0000FF"/>
              </w:rPr>
            </w:pPr>
            <w:hyperlink r:id="rId52">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1720" w:type="dxa"/>
            <w:vAlign w:val="bottom"/>
            <w:tcBorders>
              <w:bottom w:val="single" w:sz="8" w:color="0000FF"/>
            </w:tcBorders>
            <w:gridSpan w:val="8"/>
          </w:tcPr>
          <w:p>
            <w:pPr>
              <w:spacing w:after="0"/>
              <w:rPr>
                <w:rFonts w:ascii="Arial" w:cs="Arial" w:eastAsia="Arial" w:hAnsi="Arial"/>
                <w:sz w:val="14"/>
                <w:szCs w:val="14"/>
                <w:color w:val="0000FF"/>
              </w:rPr>
            </w:pPr>
            <w:hyperlink r:id="rId53">
              <w:r>
                <w:rPr>
                  <w:rFonts w:ascii="Arial" w:cs="Arial" w:eastAsia="Arial" w:hAnsi="Arial"/>
                  <w:sz w:val="14"/>
                  <w:szCs w:val="14"/>
                  <w:color w:val="0000FF"/>
                </w:rPr>
                <w:t>Form of Exchange Warrant</w:t>
              </w:r>
            </w:hyperlink>
          </w:p>
        </w:tc>
        <w:tc>
          <w:tcPr>
            <w:tcW w:w="1420" w:type="dxa"/>
            <w:vAlign w:val="bottom"/>
            <w:gridSpan w:val="26"/>
          </w:tcPr>
          <w:p>
            <w:pPr>
              <w:spacing w:after="0"/>
              <w:rPr>
                <w:sz w:val="15"/>
                <w:szCs w:val="15"/>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34"/>
          </w:tcPr>
          <w:p>
            <w:pPr>
              <w:spacing w:after="0"/>
              <w:rPr>
                <w:rFonts w:ascii="Arial" w:cs="Arial" w:eastAsia="Arial" w:hAnsi="Arial"/>
                <w:sz w:val="14"/>
                <w:szCs w:val="14"/>
                <w:color w:val="0000FF"/>
              </w:rPr>
            </w:pPr>
            <w:hyperlink r:id="rId54">
              <w:r>
                <w:rPr>
                  <w:rFonts w:ascii="Arial" w:cs="Arial" w:eastAsia="Arial" w:hAnsi="Arial"/>
                  <w:sz w:val="14"/>
                  <w:szCs w:val="14"/>
                  <w:color w:val="0000FF"/>
                </w:rPr>
                <w:t>Warrant Certificate, dated April 25, 2025, issued</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0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by the Company to Perceptive Credit Holdings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7"/>
              </w:rPr>
            </w:pPr>
            <w:hyperlink r:id="rId54">
              <w:r>
                <w:rPr>
                  <w:rFonts w:ascii="Arial" w:cs="Arial" w:eastAsia="Arial" w:hAnsi="Arial"/>
                  <w:sz w:val="13"/>
                  <w:szCs w:val="13"/>
                  <w:color w:val="0000FF"/>
                  <w:w w:val="97"/>
                </w:rPr>
                <w:t>IV, LP.</w:t>
              </w:r>
            </w:hyperlink>
          </w:p>
        </w:tc>
        <w:tc>
          <w:tcPr>
            <w:tcW w:w="2540" w:type="dxa"/>
            <w:vAlign w:val="bottom"/>
            <w:tcBorders>
              <w:top w:val="single" w:sz="8" w:color="0000FF"/>
            </w:tcBorders>
            <w:gridSpan w:val="24"/>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34"/>
          </w:tcPr>
          <w:p>
            <w:pPr>
              <w:spacing w:after="0"/>
              <w:rPr>
                <w:rFonts w:ascii="Arial" w:cs="Arial" w:eastAsia="Arial" w:hAnsi="Arial"/>
                <w:sz w:val="14"/>
                <w:szCs w:val="14"/>
                <w:color w:val="0000FF"/>
              </w:rPr>
            </w:pPr>
            <w:hyperlink r:id="rId55">
              <w:r>
                <w:rPr>
                  <w:rFonts w:ascii="Arial" w:cs="Arial" w:eastAsia="Arial" w:hAnsi="Arial"/>
                  <w:sz w:val="14"/>
                  <w:szCs w:val="14"/>
                  <w:color w:val="0000FF"/>
                </w:rPr>
                <w:t>Credit Agreement and Guaranty, dated April 25,</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2025, by and among the Company and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Perceptive Credit Holdings IV, LP.</w:t>
              </w:r>
            </w:hyperlink>
          </w:p>
        </w:tc>
        <w:tc>
          <w:tcPr>
            <w:tcW w:w="360" w:type="dxa"/>
            <w:vAlign w:val="bottom"/>
            <w:tcBorders>
              <w:top w:val="single" w:sz="8" w:color="0000FF"/>
            </w:tcBorders>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2860" w:type="dxa"/>
            <w:vAlign w:val="bottom"/>
            <w:tcBorders>
              <w:bottom w:val="single" w:sz="8" w:color="0000FF"/>
            </w:tcBorders>
            <w:gridSpan w:val="22"/>
          </w:tcPr>
          <w:p>
            <w:pPr>
              <w:spacing w:after="0"/>
              <w:rPr>
                <w:rFonts w:ascii="Arial" w:cs="Arial" w:eastAsia="Arial" w:hAnsi="Arial"/>
                <w:sz w:val="14"/>
                <w:szCs w:val="14"/>
                <w:color w:val="0000FF"/>
              </w:rPr>
            </w:pPr>
            <w:hyperlink r:id="rId56">
              <w:r>
                <w:rPr>
                  <w:rFonts w:ascii="Arial" w:cs="Arial" w:eastAsia="Arial" w:hAnsi="Arial"/>
                  <w:sz w:val="14"/>
                  <w:szCs w:val="14"/>
                  <w:color w:val="0000FF"/>
                </w:rPr>
                <w:t>Security Agreement, dated April 25, 2025, by</w:t>
              </w:r>
            </w:hyperlink>
          </w:p>
        </w:tc>
        <w:tc>
          <w:tcPr>
            <w:tcW w:w="280" w:type="dxa"/>
            <w:vAlign w:val="bottom"/>
            <w:gridSpan w:val="12"/>
          </w:tcPr>
          <w:p>
            <w:pPr>
              <w:spacing w:after="0"/>
              <w:rPr>
                <w:sz w:val="15"/>
                <w:szCs w:val="15"/>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34"/>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and among the Company and Perceptive Credit</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Holdings IV, LP.</w:t>
              </w:r>
            </w:hyperlink>
          </w:p>
        </w:tc>
        <w:tc>
          <w:tcPr>
            <w:tcW w:w="2080" w:type="dxa"/>
            <w:vAlign w:val="bottom"/>
            <w:tcBorders>
              <w:top w:val="single" w:sz="8" w:color="0000FF"/>
            </w:tcBorders>
            <w:gridSpan w:val="2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40" w:type="dxa"/>
            <w:vAlign w:val="bottom"/>
            <w:gridSpan w:val="34"/>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34"/>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00" w:type="dxa"/>
            <w:vAlign w:val="bottom"/>
            <w:tcBorders>
              <w:top w:val="single" w:sz="8" w:color="0000FF"/>
            </w:tcBorders>
            <w:gridSpan w:val="19"/>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40" w:type="dxa"/>
            <w:vAlign w:val="bottom"/>
            <w:tcBorders>
              <w:top w:val="single" w:sz="8" w:color="0000FF"/>
            </w:tcBorders>
            <w:gridSpan w:val="5"/>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40" w:type="dxa"/>
            <w:vAlign w:val="bottom"/>
            <w:gridSpan w:val="34"/>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20" w:type="dxa"/>
            <w:vAlign w:val="bottom"/>
            <w:tcBorders>
              <w:top w:val="single" w:sz="8" w:color="0000FF"/>
            </w:tcBorders>
            <w:gridSpan w:val="33"/>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560" w:type="dxa"/>
            <w:vAlign w:val="bottom"/>
            <w:tcBorders>
              <w:top w:val="single" w:sz="8" w:color="0000FF"/>
            </w:tcBorders>
            <w:gridSpan w:val="17"/>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80" w:type="dxa"/>
            <w:vAlign w:val="bottom"/>
            <w:gridSpan w:val="17"/>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20" w:type="dxa"/>
            <w:vAlign w:val="bottom"/>
            <w:tcBorders>
              <w:top w:val="single" w:sz="8" w:color="0000FF"/>
            </w:tcBorders>
            <w:gridSpan w:val="28"/>
          </w:tcPr>
          <w:p>
            <w:pPr>
              <w:spacing w:after="0" w:line="129" w:lineRule="exact"/>
              <w:rPr>
                <w:sz w:val="20"/>
                <w:szCs w:val="20"/>
                <w:color w:val="auto"/>
              </w:rPr>
            </w:pPr>
            <w:r>
              <w:rPr>
                <w:rFonts w:ascii="Arial" w:cs="Arial" w:eastAsia="Arial" w:hAnsi="Arial"/>
                <w:sz w:val="14"/>
                <w:szCs w:val="14"/>
                <w:color w:val="0000FF"/>
              </w:rPr>
              <w:t>Act of 2002.</w:t>
            </w:r>
          </w:p>
        </w:tc>
        <w:tc>
          <w:tcPr>
            <w:tcW w:w="120" w:type="dxa"/>
            <w:vAlign w:val="bottom"/>
            <w:gridSpan w:val="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40" w:type="dxa"/>
            <w:vAlign w:val="bottom"/>
            <w:gridSpan w:val="34"/>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00" w:type="dxa"/>
            <w:vAlign w:val="bottom"/>
            <w:tcBorders>
              <w:top w:val="single" w:sz="8" w:color="0000FF"/>
            </w:tcBorders>
            <w:gridSpan w:val="27"/>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40" w:type="dxa"/>
            <w:vAlign w:val="bottom"/>
            <w:gridSpan w:val="7"/>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3"/>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60" w:type="dxa"/>
            <w:vAlign w:val="bottom"/>
            <w:gridSpan w:val="1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0"/>
            <w:shd w:val="clear" w:color="auto" w:fill="0000FF"/>
          </w:tcPr>
          <w:p>
            <w:pPr>
              <w:spacing w:after="0" w:line="20" w:lineRule="exact"/>
              <w:rPr>
                <w:sz w:val="1"/>
                <w:szCs w:val="1"/>
                <w:color w:val="auto"/>
              </w:rPr>
            </w:pPr>
          </w:p>
        </w:tc>
        <w:tc>
          <w:tcPr>
            <w:tcW w:w="114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40" w:type="dxa"/>
            <w:vAlign w:val="bottom"/>
            <w:gridSpan w:val="34"/>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4"/>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40" w:type="dxa"/>
            <w:vAlign w:val="bottom"/>
            <w:gridSpan w:val="34"/>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34"/>
          </w:tcPr>
          <w:p>
            <w:pPr>
              <w:spacing w:after="0"/>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40" w:type="dxa"/>
            <w:vAlign w:val="bottom"/>
            <w:gridSpan w:val="34"/>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40" w:type="dxa"/>
            <w:vAlign w:val="bottom"/>
            <w:gridSpan w:val="34"/>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40" w:type="dxa"/>
            <w:vAlign w:val="bottom"/>
            <w:gridSpan w:val="34"/>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40" w:type="dxa"/>
            <w:vAlign w:val="bottom"/>
            <w:gridSpan w:val="34"/>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40" w:type="dxa"/>
            <w:vAlign w:val="bottom"/>
            <w:gridSpan w:val="34"/>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40" w:type="dxa"/>
            <w:vAlign w:val="bottom"/>
            <w:gridSpan w:val="34"/>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34"/>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gridSpan w:val="34"/>
          </w:tcPr>
          <w:p>
            <w:pPr>
              <w:spacing w:after="0" w:line="153" w:lineRule="exact"/>
              <w:rPr>
                <w:sz w:val="20"/>
                <w:szCs w:val="20"/>
                <w:color w:val="auto"/>
              </w:rPr>
            </w:pPr>
            <w:r>
              <w:rPr>
                <w:rFonts w:ascii="Arial" w:cs="Arial" w:eastAsia="Arial" w:hAnsi="Arial"/>
                <w:sz w:val="14"/>
                <w:szCs w:val="14"/>
                <w:color w:val="auto"/>
              </w:rPr>
              <w:t>March 31, 2025, has been formatted in Inline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943"/>
        <w:spacing w:after="0"/>
        <w:rPr>
          <w:sz w:val="20"/>
          <w:szCs w:val="20"/>
          <w:color w:val="auto"/>
        </w:rPr>
      </w:pPr>
      <w:r>
        <w:rPr>
          <w:rFonts w:ascii="Arial" w:cs="Arial" w:eastAsia="Arial" w:hAnsi="Arial"/>
          <w:sz w:val="14"/>
          <w:szCs w:val="14"/>
          <w:color w:val="auto"/>
        </w:rPr>
        <w:t>XBRL.</w:t>
      </w:r>
    </w:p>
    <w:p>
      <w:pPr>
        <w:spacing w:after="0" w:line="342" w:lineRule="exact"/>
        <w:rPr>
          <w:sz w:val="20"/>
          <w:szCs w:val="20"/>
          <w:color w:val="auto"/>
        </w:rPr>
      </w:pPr>
    </w:p>
    <w:p>
      <w:pPr>
        <w:ind w:left="643" w:hanging="643"/>
        <w:spacing w:after="0" w:line="268" w:lineRule="auto"/>
        <w:tabs>
          <w:tab w:leader="none" w:pos="34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Furnished herewith.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57" w:top="890" w:right="339" w:bottom="1440" w:gutter="0" w:footer="0" w:header="0"/>
        </w:sectPr>
      </w:pPr>
    </w:p>
    <w:bookmarkStart w:id="38" w:name="page39"/>
    <w:bookmarkEnd w:id="38"/>
    <w:p>
      <w:pPr>
        <w:ind w:left="643" w:hanging="643"/>
        <w:spacing w:after="0" w:line="271" w:lineRule="auto"/>
        <w:tabs>
          <w:tab w:leader="none" w:pos="2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0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3"/>
          </w:cols>
          <w:pgMar w:left="1057" w:top="877" w:right="10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720" w:type="dxa"/>
            <w:vAlign w:val="bottom"/>
          </w:tcPr>
          <w:p>
            <w:pPr>
              <w:spacing w:after="0"/>
              <w:rPr>
                <w:sz w:val="20"/>
                <w:szCs w:val="20"/>
                <w:color w:val="auto"/>
              </w:rPr>
            </w:pPr>
            <w:r>
              <w:rPr>
                <w:rFonts w:ascii="Arial" w:cs="Arial" w:eastAsia="Arial" w:hAnsi="Arial"/>
                <w:sz w:val="18"/>
                <w:szCs w:val="18"/>
                <w:color w:val="auto"/>
              </w:rPr>
              <w:t>Date: May 5, 2025</w:t>
            </w:r>
          </w:p>
        </w:tc>
        <w:tc>
          <w:tcPr>
            <w:tcW w:w="2880" w:type="dxa"/>
            <w:vAlign w:val="bottom"/>
          </w:tcPr>
          <w:p>
            <w:pPr>
              <w:ind w:left="22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29"/>
        </w:trPr>
        <w:tc>
          <w:tcPr>
            <w:tcW w:w="3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720" w:type="dxa"/>
            <w:vAlign w:val="bottom"/>
          </w:tcPr>
          <w:p>
            <w:pPr>
              <w:spacing w:after="0"/>
              <w:rPr>
                <w:sz w:val="20"/>
                <w:szCs w:val="20"/>
                <w:color w:val="auto"/>
              </w:rPr>
            </w:pPr>
            <w:r>
              <w:rPr>
                <w:rFonts w:ascii="Arial" w:cs="Arial" w:eastAsia="Arial" w:hAnsi="Arial"/>
                <w:sz w:val="18"/>
                <w:szCs w:val="18"/>
                <w:color w:val="auto"/>
              </w:rPr>
              <w:t>Date: May 5, 2025</w:t>
            </w:r>
          </w:p>
        </w:tc>
        <w:tc>
          <w:tcPr>
            <w:tcW w:w="2880" w:type="dxa"/>
            <w:vAlign w:val="bottom"/>
          </w:tcPr>
          <w:p>
            <w:pPr>
              <w:ind w:left="22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G. Black</w:t>
            </w:r>
          </w:p>
        </w:tc>
      </w:tr>
      <w:tr>
        <w:trPr>
          <w:trHeight w:val="218"/>
        </w:trPr>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G. Black</w:t>
            </w:r>
          </w:p>
        </w:tc>
      </w:tr>
      <w:tr>
        <w:trPr>
          <w:trHeight w:val="229"/>
        </w:trPr>
        <w:tc>
          <w:tcPr>
            <w:tcW w:w="3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133"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1" w:name="page42"/>
    <w:bookmarkEnd w:id="41"/>
    <w:p>
      <w:pPr>
        <w:ind w:left="-20" w:firstLine="332"/>
        <w:spacing w:after="0" w:line="396" w:lineRule="auto"/>
        <w:tabs>
          <w:tab w:leader="none" w:pos="7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5,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3" w:name="page44"/>
    <w:bookmarkEnd w:id="43"/>
    <w:p>
      <w:pPr>
        <w:ind w:left="-20" w:firstLine="332"/>
        <w:spacing w:after="0" w:line="396"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5,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2025 (the</w:t>
      </w:r>
    </w:p>
    <w:p>
      <w:pPr>
        <w:spacing w:after="0" w:line="90" w:lineRule="exact"/>
        <w:rPr>
          <w:rFonts w:ascii="Arial" w:cs="Arial" w:eastAsia="Arial" w:hAnsi="Arial"/>
          <w:sz w:val="18"/>
          <w:szCs w:val="18"/>
          <w:color w:val="auto"/>
        </w:rPr>
      </w:pPr>
    </w:p>
    <w:p>
      <w:pPr>
        <w:ind w:left="660" w:right="320"/>
        <w:spacing w:after="0" w:line="381"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12"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2025</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2025 (the</w:t>
      </w:r>
    </w:p>
    <w:p>
      <w:pPr>
        <w:spacing w:after="0" w:line="90" w:lineRule="exact"/>
        <w:rPr>
          <w:rFonts w:ascii="Arial" w:cs="Arial" w:eastAsia="Arial" w:hAnsi="Arial"/>
          <w:sz w:val="18"/>
          <w:szCs w:val="18"/>
          <w:color w:val="auto"/>
        </w:rPr>
      </w:pPr>
    </w:p>
    <w:p>
      <w:pPr>
        <w:ind w:left="660" w:right="320"/>
        <w:spacing w:after="0" w:line="396"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86"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2025</w:t>
      </w:r>
    </w:p>
    <w:p>
      <w:pPr>
        <w:sectPr>
          <w:pgSz w:w="11900" w:h="16838" w:orient="portrait"/>
          <w:cols w:equalWidth="0" w:num="1">
            <w:col w:w="11240"/>
          </w:cols>
          <w:pgMar w:left="320" w:top="958" w:right="339" w:bottom="1440" w:gutter="0" w:footer="0" w:header="0"/>
        </w:sectPr>
      </w:pPr>
    </w:p>
    <w:bookmarkStart w:id="45" w:name="page46"/>
    <w:bookmarkEnd w:id="45"/>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47" Type="http://schemas.openxmlformats.org/officeDocument/2006/relationships/hyperlink" Target="https://www.sec.gov/Archives/edgar/data/1274737/000119312519252366/d769261dex31.htm" TargetMode="External"/><Relationship Id="rId48" Type="http://schemas.openxmlformats.org/officeDocument/2006/relationships/hyperlink" Target="https://www.sec.gov/Archives/edgar/data/1274737/000127473721000017/ex31-amendedandrestatedbyl.htm" TargetMode="External"/><Relationship Id="rId49" Type="http://schemas.openxmlformats.org/officeDocument/2006/relationships/hyperlink" Target="https://www.sec.gov/Archives/edgar/data/1274737/000127473723000004/exhibit-exagenxamendmentto.htm" TargetMode="External"/><Relationship Id="rId50" Type="http://schemas.openxmlformats.org/officeDocument/2006/relationships/hyperlink" Target="https://www.sec.gov/Archives/edgar/data/1274737/000119312519240403/d692844dex41.htm" TargetMode="External"/><Relationship Id="rId51" Type="http://schemas.openxmlformats.org/officeDocument/2006/relationships/hyperlink" Target="https://www.sec.gov/Archives/edgar/data/1274737/000119312519228011/d692844dex44.htm" TargetMode="External"/><Relationship Id="rId52" Type="http://schemas.openxmlformats.org/officeDocument/2006/relationships/hyperlink" Target="https://www.sec.gov/Archives/edgar/data/1274737/000119312519228011/d692844dex48.htm" TargetMode="External"/><Relationship Id="rId53" Type="http://schemas.openxmlformats.org/officeDocument/2006/relationships/hyperlink" Target="https://www.sec.gov/Archives/edgar/data/1274737/000127473721000094/ex45-formofprexfundedwarra.htm" TargetMode="External"/><Relationship Id="rId54" Type="http://schemas.openxmlformats.org/officeDocument/2006/relationships/hyperlink" Target="https://www.sec.gov/Archives/edgar/data/1274737/000119312525100447/d811854dex41.htm" TargetMode="External"/><Relationship Id="rId55" Type="http://schemas.openxmlformats.org/officeDocument/2006/relationships/hyperlink" Target="https://www.sec.gov/Archives/edgar/data/1274737/000119312525100447/d811854dex101.htm" TargetMode="External"/><Relationship Id="rId56" Type="http://schemas.openxmlformats.org/officeDocument/2006/relationships/hyperlink" Target="https://www.sec.gov/Archives/edgar/data/1274737/000119312525100447/d81185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2025-05-05T08:35:05Z</dcterms:created>
  <dcterms:modified xsi:type="dcterms:W3CDTF">2025-05-05T08:35:05Z</dcterms:modified>
</cp:coreProperties>
</file>