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May 11, 2020</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80"/>
          </w:cols>
          <w:pgMar w:left="320" w:top="1259" w:right="399" w:bottom="1440" w:gutter="0" w:footer="0" w:header="0"/>
        </w:sectPr>
      </w:pPr>
    </w:p>
    <w:p>
      <w:pPr>
        <w:spacing w:after="0" w:line="313"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82" w:lineRule="exact"/>
        <w:rPr>
          <w:sz w:val="24"/>
          <w:szCs w:val="24"/>
          <w:color w:val="auto"/>
        </w:rPr>
      </w:pPr>
    </w:p>
    <w:p>
      <w:pPr>
        <w:sectPr>
          <w:pgSz w:w="11900" w:h="16838" w:orient="portrait"/>
          <w:cols w:equalWidth="0" w:num="3">
            <w:col w:w="4640" w:space="720"/>
            <w:col w:w="2620" w:space="720"/>
            <w:col w:w="2480"/>
          </w:cols>
          <w:pgMar w:left="320" w:top="1259" w:right="39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500" w:space="720"/>
            <w:col w:w="2620"/>
          </w:cols>
          <w:pgMar w:left="320" w:top="1259" w:right="399" w:bottom="1440" w:gutter="0" w:footer="0" w:header="0"/>
          <w:type w:val="continuous"/>
        </w:sectPr>
      </w:pPr>
    </w:p>
    <w:p>
      <w:pPr>
        <w:spacing w:after="0" w:line="1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1261 Liberty Way, Suite C</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180"/>
          </w:cols>
          <w:pgMar w:left="320" w:top="1259" w:right="39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81"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81"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81"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9"/>
                <w:szCs w:val="19"/>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3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XGN</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6" w:lineRule="exact"/>
        <w:rPr>
          <w:sz w:val="24"/>
          <w:szCs w:val="24"/>
          <w:color w:val="auto"/>
        </w:rPr>
      </w:pPr>
    </w:p>
    <w:p>
      <w:pPr>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180"/>
          </w:cols>
          <w:pgMar w:left="320" w:top="1259"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May 11, 2020, Exagen Inc. (the “Company”) reported its financial results for the three months ended March 31, 2020. A copy of the press release issued by the Company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Exhibit No.</w:t>
            </w:r>
          </w:p>
        </w:tc>
        <w:tc>
          <w:tcPr>
            <w:tcW w:w="2960" w:type="dxa"/>
            <w:vAlign w:val="bottom"/>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513"/>
        </w:trPr>
        <w:tc>
          <w:tcPr>
            <w:tcW w:w="980" w:type="dxa"/>
            <w:vAlign w:val="bottom"/>
          </w:tcPr>
          <w:p>
            <w:pPr>
              <w:jc w:val="right"/>
              <w:ind w:right="559"/>
              <w:spacing w:after="0"/>
              <w:rPr>
                <w:sz w:val="20"/>
                <w:szCs w:val="20"/>
                <w:color w:val="auto"/>
              </w:rPr>
            </w:pPr>
            <w:r>
              <w:rPr>
                <w:rFonts w:ascii="Arial" w:cs="Arial" w:eastAsia="Arial" w:hAnsi="Arial"/>
                <w:sz w:val="18"/>
                <w:szCs w:val="18"/>
                <w:color w:val="auto"/>
                <w:w w:val="91"/>
              </w:rPr>
              <w:t>99.1</w:t>
            </w:r>
          </w:p>
        </w:tc>
        <w:tc>
          <w:tcPr>
            <w:tcW w:w="2960" w:type="dxa"/>
            <w:vAlign w:val="bottom"/>
          </w:tcPr>
          <w:p>
            <w:pPr>
              <w:ind w:left="500"/>
              <w:spacing w:after="0"/>
              <w:rPr>
                <w:rFonts w:ascii="Arial" w:cs="Arial" w:eastAsia="Arial" w:hAnsi="Arial"/>
                <w:sz w:val="18"/>
                <w:szCs w:val="18"/>
                <w:u w:val="single" w:color="auto"/>
                <w:color w:val="0000FF"/>
                <w:w w:val="86"/>
              </w:rPr>
            </w:pPr>
            <w:hyperlink w:anchor="page4">
              <w:r>
                <w:rPr>
                  <w:rFonts w:ascii="Arial" w:cs="Arial" w:eastAsia="Arial" w:hAnsi="Arial"/>
                  <w:sz w:val="18"/>
                  <w:szCs w:val="18"/>
                  <w:u w:val="single" w:color="auto"/>
                  <w:color w:val="0000FF"/>
                  <w:w w:val="86"/>
                </w:rPr>
                <w:t>Press Release dated May 11, 2020</w:t>
              </w:r>
            </w:hyperlink>
          </w:p>
        </w:tc>
      </w:tr>
    </w:tbl>
    <w:p>
      <w:pPr>
        <w:sectPr>
          <w:pgSz w:w="11900" w:h="16838" w:orient="portrait"/>
          <w:cols w:equalWidth="0" w:num="1">
            <w:col w:w="11140"/>
          </w:cols>
          <w:pgMar w:left="320" w:top="1336"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333" w:lineRule="exact"/>
        <w:rPr>
          <w:sz w:val="20"/>
          <w:szCs w:val="20"/>
          <w:color w:val="auto"/>
        </w:rPr>
      </w:pPr>
    </w:p>
    <w:p>
      <w:pPr>
        <w:ind w:left="20"/>
        <w:spacing w:after="0"/>
        <w:tabs>
          <w:tab w:leader="none" w:pos="5200" w:val="left"/>
          <w:tab w:leader="none" w:pos="57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Kamal Adawi</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Exagen Inc. Reports First Quarter 2020 Results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Volumes Increase with Retention Rate of 99%</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May 11, 2020</w:t>
      </w:r>
    </w:p>
    <w:p>
      <w:pPr>
        <w:spacing w:after="0" w:line="263"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SAN DIEGO – Exagen Inc. (Nasdaq: XGN), an organization dedicated to transforming the care continuum for patients suffering from autoimmune diseases, today reported financial results for the quarter ended March 31, 2020.</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Highlights:</w:t>
      </w:r>
    </w:p>
    <w:p>
      <w:pPr>
        <w:spacing w:after="0" w:line="186" w:lineRule="exact"/>
        <w:rPr>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total revenue of $9.6 million for the quarter ended March 31, 2020.</w:t>
      </w:r>
    </w:p>
    <w:p>
      <w:pPr>
        <w:spacing w:after="0" w:line="148" w:lineRule="exact"/>
        <w:rPr>
          <w:rFonts w:ascii="Arial" w:cs="Arial" w:eastAsia="Arial" w:hAnsi="Arial"/>
          <w:sz w:val="20"/>
          <w:szCs w:val="20"/>
          <w:color w:val="auto"/>
        </w:rPr>
      </w:pPr>
    </w:p>
    <w:p>
      <w:pPr>
        <w:ind w:left="980" w:right="4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27,126 flagship AVISE® CTD tests, including AVISE® Lupus, in the first quarter 2020, a 13% increase over the first quarter 2019.</w:t>
      </w:r>
    </w:p>
    <w:p>
      <w:pPr>
        <w:spacing w:after="0" w:line="134" w:lineRule="exact"/>
        <w:rPr>
          <w:rFonts w:ascii="Arial" w:cs="Arial" w:eastAsia="Arial" w:hAnsi="Arial"/>
          <w:sz w:val="20"/>
          <w:szCs w:val="20"/>
          <w:color w:val="auto"/>
        </w:rPr>
      </w:pPr>
    </w:p>
    <w:p>
      <w:pPr>
        <w:ind w:left="980" w:right="24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Grew the number of ordering healthcare providers in the first quarter by 28% year-over-year to 1,692, with a record 582 adopters.</w:t>
      </w:r>
    </w:p>
    <w:p>
      <w:pPr>
        <w:spacing w:after="0" w:line="134"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19"/>
          <w:szCs w:val="19"/>
          <w:color w:val="auto"/>
        </w:rPr>
      </w:pPr>
      <w:r>
        <w:rPr>
          <w:rFonts w:ascii="Arial" w:cs="Arial" w:eastAsia="Arial" w:hAnsi="Arial"/>
          <w:sz w:val="19"/>
          <w:szCs w:val="19"/>
          <w:color w:val="auto"/>
        </w:rPr>
        <w:t>Sequential quarterly retention rate of approximately 99% among adopting healthcare providers from the prior quarter.</w:t>
      </w:r>
    </w:p>
    <w:p>
      <w:pPr>
        <w:spacing w:after="0" w:line="159" w:lineRule="exact"/>
        <w:rPr>
          <w:rFonts w:ascii="Arial" w:cs="Arial" w:eastAsia="Arial" w:hAnsi="Arial"/>
          <w:sz w:val="19"/>
          <w:szCs w:val="19"/>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Advanced reimbursement efforts, signing agreements with Sonora Quest and three California medical groups.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color w:val="auto"/>
        </w:rPr>
        <w:t>“In these extraordinary times I would like to thank our employees who have worked with the highest level of professionalism to support our customers and continue providing critical testing and therapeutic solutions for autoimmune disease patients. Despite the trying conditions, Exagen employees have seamlessly maintained our excellent quality standards and turnaround times that healthcare providers and patients expect. I am very proud of our team's efforts," said Ron Rocca, President and Chief Executive Officer of Exagen. "We are all aware of the massive disruption from the COVID-19 pandemic to the healthcare industry, and our business has not been excluded. The company performed extremely well for most of the quarter before the pandemic began to impact our business and operations in March, reflecting the growing momentum in our business that we have built over the past year. We are well-capitalized, and I am confident we will emerge from the pandemic stronger than ever."</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2020 Financial Results</w:t>
      </w:r>
    </w:p>
    <w:p>
      <w:pPr>
        <w:spacing w:after="0" w:line="186"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Revenue for the three months ended March 31, 2020 was $9.6 million and was derived from our tests, compared with $9.3 million in the first quarter of 2019, driven by higher testing volumes partially offset by a decrease in average reimbursement per test. No revenue was recognized from our co-promotion</w:t>
      </w:r>
    </w:p>
    <w:p>
      <w:pPr>
        <w:sectPr>
          <w:pgSz w:w="11900" w:h="16838" w:orient="portrait"/>
          <w:cols w:equalWidth="0" w:num="1">
            <w:col w:w="11220"/>
          </w:cols>
          <w:pgMar w:left="320" w:top="1440" w:right="359" w:bottom="1440" w:gutter="0" w:footer="0" w:header="0"/>
        </w:sectPr>
      </w:pPr>
    </w:p>
    <w:bookmarkStart w:id="4" w:name="page5"/>
    <w:bookmarkEnd w:id="4"/>
    <w:p>
      <w:pPr>
        <w:spacing w:after="0" w:line="6"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efforts in the first quarter of 2020, compared to $0.1 million in the first quarter of 2019, due to prescription volume below the pre-defined baseline.</w:t>
      </w:r>
    </w:p>
    <w:p>
      <w:pPr>
        <w:spacing w:after="0" w:line="134" w:lineRule="exact"/>
        <w:rPr>
          <w:sz w:val="20"/>
          <w:szCs w:val="20"/>
          <w:color w:val="auto"/>
        </w:rPr>
      </w:pPr>
    </w:p>
    <w:p>
      <w:pPr>
        <w:ind w:right="780"/>
        <w:spacing w:after="0" w:line="261" w:lineRule="auto"/>
        <w:rPr>
          <w:sz w:val="20"/>
          <w:szCs w:val="20"/>
          <w:color w:val="auto"/>
        </w:rPr>
      </w:pPr>
      <w:r>
        <w:rPr>
          <w:rFonts w:ascii="Arial" w:cs="Arial" w:eastAsia="Arial" w:hAnsi="Arial"/>
          <w:sz w:val="20"/>
          <w:szCs w:val="20"/>
          <w:color w:val="auto"/>
        </w:rPr>
        <w:t>Gross margin was 53% in the first quarter of 2020 compared to 52% in the first quarter of 2019, driven by higher testing volumes.</w:t>
      </w:r>
    </w:p>
    <w:p>
      <w:pPr>
        <w:spacing w:after="0" w:line="121" w:lineRule="exact"/>
        <w:rPr>
          <w:sz w:val="20"/>
          <w:szCs w:val="20"/>
          <w:color w:val="auto"/>
        </w:rPr>
      </w:pPr>
    </w:p>
    <w:p>
      <w:pPr>
        <w:jc w:val="both"/>
        <w:ind w:right="360"/>
        <w:spacing w:after="0" w:line="257" w:lineRule="auto"/>
        <w:rPr>
          <w:sz w:val="20"/>
          <w:szCs w:val="20"/>
          <w:color w:val="auto"/>
        </w:rPr>
      </w:pPr>
      <w:r>
        <w:rPr>
          <w:rFonts w:ascii="Arial" w:cs="Arial" w:eastAsia="Arial" w:hAnsi="Arial"/>
          <w:sz w:val="20"/>
          <w:szCs w:val="20"/>
          <w:color w:val="auto"/>
        </w:rPr>
        <w:t>Operating expenses increased to $14.8 million in the first quarter of 2020, compared with $11.1 million in the first quarter of 2019, due primarily to an increase in selling, general, and administrative expenses associated with our salesforce expansion and public company expenses not present in the first quarter 2019.</w:t>
      </w:r>
    </w:p>
    <w:p>
      <w:pPr>
        <w:spacing w:after="0" w:line="139" w:lineRule="exact"/>
        <w:rPr>
          <w:sz w:val="20"/>
          <w:szCs w:val="20"/>
          <w:color w:val="auto"/>
        </w:rPr>
      </w:pPr>
    </w:p>
    <w:p>
      <w:pPr>
        <w:ind w:right="780"/>
        <w:spacing w:after="0" w:line="460" w:lineRule="auto"/>
        <w:rPr>
          <w:sz w:val="20"/>
          <w:szCs w:val="20"/>
          <w:color w:val="auto"/>
        </w:rPr>
      </w:pPr>
      <w:r>
        <w:rPr>
          <w:rFonts w:ascii="Arial" w:cs="Arial" w:eastAsia="Arial" w:hAnsi="Arial"/>
          <w:sz w:val="20"/>
          <w:szCs w:val="20"/>
          <w:color w:val="auto"/>
        </w:rPr>
        <w:t xml:space="preserve">For the first quarter of 2020, net loss was $5.6 million compared to a net loss of $2.7 million for the first quarter of 2019. Cash and cash equivalents were approximately $68.6 million as of March 31, 2020. </w:t>
      </w:r>
      <w:r>
        <w:rPr>
          <w:rFonts w:ascii="Arial" w:cs="Arial" w:eastAsia="Arial" w:hAnsi="Arial"/>
          <w:sz w:val="20"/>
          <w:szCs w:val="20"/>
          <w:b w:val="1"/>
          <w:bCs w:val="1"/>
          <w:color w:val="auto"/>
        </w:rPr>
        <w:t>Conference Call</w:t>
      </w:r>
    </w:p>
    <w:p>
      <w:pPr>
        <w:spacing w:after="0" w:line="27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A conference call to review first quarter 2020 financial results and to provide a business update is scheduled for today May 11th, 2020 at 4:30 PM Eastern Time (1:30PM Pacific Time). Interested parties may access the conference call by dialing (877) 407-3982 (U.S.) or (201) 493-6780 (international). Additionally, a link to a live webcast of the call will be available in the investor relations section of Exagen's website at http://investors.exagen.com.</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Monday, May 18, 2020 at 11:59 PM Eastern Time (8:59 PM Pacific Time). Interested parties may access the replay by dialing (844) 512-2921 (U.S.) or (412) 317-6671 (international) using passcode 13701300. A link to the replay of the webcast will also be available in the investor relations section of Exagen's website.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86"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Exagen’s goal is to enable rheumatologists to improve care for patients through the differential diagnosis, prognosis and monitoring of complex autoimmune and autoimmune-related diseases, including SLE and rheumatoid arthritis, or RA. Exagen’s model of integrating testing products and therapeutics positions Exagen to offer targeted solutions to rheumatologists and, ultimately, better serve patients. For more information, please visit </w:t>
      </w:r>
      <w:r>
        <w:rPr>
          <w:rFonts w:ascii="Arial" w:cs="Arial" w:eastAsia="Arial" w:hAnsi="Arial"/>
          <w:sz w:val="19"/>
          <w:szCs w:val="19"/>
          <w:u w:val="single" w:color="auto"/>
          <w:color w:val="0563C1"/>
        </w:rPr>
        <w:t>www.Exagen.com</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72"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expected impact of COVID-19 and company’s future operating performance. The</w:t>
      </w:r>
    </w:p>
    <w:p>
      <w:pPr>
        <w:sectPr>
          <w:pgSz w:w="11900" w:h="16838" w:orient="portrait"/>
          <w:cols w:equalWidth="0" w:num="1">
            <w:col w:w="11220"/>
          </w:cols>
          <w:pgMar w:left="320" w:top="1440" w:right="359" w:bottom="1440" w:gutter="0" w:footer="0" w:header="0"/>
        </w:sectPr>
      </w:pPr>
    </w:p>
    <w:bookmarkStart w:id="5" w:name="page6"/>
    <w:bookmarkEnd w:id="5"/>
    <w:p>
      <w:pPr>
        <w:spacing w:after="0" w:line="6"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Dx/Rx strategy, including its promotion efforts for SIMPONI®; third 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Westwicke Partners</w:t>
      </w:r>
    </w:p>
    <w:p>
      <w:pPr>
        <w:spacing w:after="0"/>
        <w:rPr>
          <w:sz w:val="20"/>
          <w:szCs w:val="20"/>
          <w:color w:val="auto"/>
        </w:rPr>
      </w:pPr>
      <w:r>
        <w:rPr>
          <w:rFonts w:ascii="Arial" w:cs="Arial" w:eastAsia="Arial" w:hAnsi="Arial"/>
          <w:sz w:val="20"/>
          <w:szCs w:val="20"/>
          <w:color w:val="auto"/>
        </w:rPr>
        <w:t>Mike Cavanaugh</w:t>
      </w:r>
    </w:p>
    <w:p>
      <w:pPr>
        <w:spacing w:after="0"/>
        <w:rPr>
          <w:sz w:val="20"/>
          <w:szCs w:val="20"/>
          <w:color w:val="auto"/>
        </w:rPr>
      </w:pPr>
      <w:r>
        <w:rPr>
          <w:rFonts w:ascii="Arial" w:cs="Arial" w:eastAsia="Arial" w:hAnsi="Arial"/>
          <w:sz w:val="20"/>
          <w:szCs w:val="20"/>
          <w:u w:val="single" w:color="auto"/>
          <w:color w:val="0563C1"/>
        </w:rPr>
        <w:t>Mike.Cavanaugh@westwicke.com</w:t>
      </w:r>
    </w:p>
    <w:p>
      <w:pPr>
        <w:spacing w:after="0"/>
        <w:rPr>
          <w:sz w:val="20"/>
          <w:szCs w:val="20"/>
          <w:color w:val="auto"/>
        </w:rPr>
      </w:pPr>
      <w:r>
        <w:rPr>
          <w:rFonts w:ascii="Arial" w:cs="Arial" w:eastAsia="Arial" w:hAnsi="Arial"/>
          <w:sz w:val="20"/>
          <w:szCs w:val="20"/>
          <w:color w:val="auto"/>
        </w:rPr>
        <w:t>646.677.1838</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Kamal Adawi, Chief Financial Officer</w:t>
      </w:r>
    </w:p>
    <w:p>
      <w:pPr>
        <w:spacing w:after="0"/>
        <w:rPr>
          <w:sz w:val="20"/>
          <w:szCs w:val="20"/>
          <w:color w:val="auto"/>
        </w:rPr>
      </w:pPr>
      <w:r>
        <w:rPr>
          <w:rFonts w:ascii="Arial" w:cs="Arial" w:eastAsia="Arial" w:hAnsi="Arial"/>
          <w:sz w:val="20"/>
          <w:szCs w:val="20"/>
          <w:color w:val="0563C1"/>
        </w:rPr>
        <w:t>kadawi@exagen.com</w:t>
      </w: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1220"/>
          </w:cols>
          <w:pgMar w:left="320" w:top="1440" w:right="359" w:bottom="1440" w:gutter="0" w:footer="0" w:header="0"/>
        </w:sectPr>
      </w:pPr>
    </w:p>
    <w:bookmarkStart w:id="6" w:name="page7"/>
    <w:bookmarkEnd w:id="6"/>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8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4"/>
        </w:trPr>
        <w:tc>
          <w:tcPr>
            <w:tcW w:w="8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9,584</w:t>
            </w:r>
          </w:p>
        </w:tc>
        <w:tc>
          <w:tcPr>
            <w:tcW w:w="120" w:type="dxa"/>
            <w:vAlign w:val="bottom"/>
          </w:tcPr>
          <w:p>
            <w:pPr>
              <w:spacing w:after="0"/>
              <w:rPr>
                <w:sz w:val="18"/>
                <w:szCs w:val="18"/>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9,260</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20"/>
              <w:spacing w:after="0"/>
              <w:rPr>
                <w:sz w:val="20"/>
                <w:szCs w:val="20"/>
                <w:color w:val="auto"/>
              </w:rPr>
            </w:pPr>
            <w:r>
              <w:rPr>
                <w:rFonts w:ascii="Arial" w:cs="Arial" w:eastAsia="Arial" w:hAnsi="Arial"/>
                <w:sz w:val="14"/>
                <w:szCs w:val="14"/>
                <w:color w:val="auto"/>
              </w:rPr>
              <w:t>Costs of revenue</w:t>
            </w:r>
          </w:p>
        </w:tc>
        <w:tc>
          <w:tcPr>
            <w:tcW w:w="30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4,545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216"/>
        </w:trPr>
        <w:tc>
          <w:tcPr>
            <w:tcW w:w="8080" w:type="dxa"/>
            <w:vAlign w:val="bottom"/>
          </w:tcPr>
          <w:p>
            <w:pPr>
              <w:ind w:left="3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9,626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6,179</w:t>
            </w:r>
          </w:p>
        </w:tc>
        <w:tc>
          <w:tcPr>
            <w:tcW w:w="0" w:type="dxa"/>
            <w:vAlign w:val="bottom"/>
          </w:tcPr>
          <w:p>
            <w:pPr>
              <w:spacing w:after="0"/>
              <w:rPr>
                <w:sz w:val="1"/>
                <w:szCs w:val="1"/>
                <w:color w:val="auto"/>
              </w:rPr>
            </w:pPr>
          </w:p>
        </w:tc>
      </w:tr>
      <w:tr>
        <w:trPr>
          <w:trHeight w:val="222"/>
        </w:trPr>
        <w:tc>
          <w:tcPr>
            <w:tcW w:w="8080" w:type="dxa"/>
            <w:vAlign w:val="bottom"/>
          </w:tcPr>
          <w:p>
            <w:pPr>
              <w:ind w:left="32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09"/>
        </w:trPr>
        <w:tc>
          <w:tcPr>
            <w:tcW w:w="8080" w:type="dxa"/>
            <w:vAlign w:val="bottom"/>
          </w:tcPr>
          <w:p>
            <w:pPr>
              <w:ind w:left="6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14,805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11,134</w:t>
            </w:r>
          </w:p>
        </w:tc>
        <w:tc>
          <w:tcPr>
            <w:tcW w:w="0" w:type="dxa"/>
            <w:vAlign w:val="bottom"/>
          </w:tcPr>
          <w:p>
            <w:pPr>
              <w:spacing w:after="0"/>
              <w:rPr>
                <w:sz w:val="1"/>
                <w:szCs w:val="1"/>
                <w:color w:val="auto"/>
              </w:rPr>
            </w:pPr>
          </w:p>
        </w:tc>
      </w:tr>
      <w:tr>
        <w:trPr>
          <w:trHeight w:val="204"/>
        </w:trPr>
        <w:tc>
          <w:tcPr>
            <w:tcW w:w="8080" w:type="dxa"/>
            <w:vAlign w:val="bottom"/>
          </w:tcPr>
          <w:p>
            <w:pPr>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(5,221)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4"/>
        </w:trPr>
        <w:tc>
          <w:tcPr>
            <w:tcW w:w="808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30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(5,681)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4"/>
                <w:szCs w:val="14"/>
                <w:color w:val="auto"/>
              </w:rPr>
              <w:t>Income tax benefit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8080" w:type="dxa"/>
            <w:vAlign w:val="bottom"/>
          </w:tcPr>
          <w:p>
            <w:pPr>
              <w:spacing w:after="0"/>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(5,563)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4"/>
                <w:szCs w:val="14"/>
                <w:color w:val="auto"/>
              </w:rPr>
              <w:t>Accretion of redeemable convertible preferred stock</w:t>
            </w: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9"/>
                <w:szCs w:val="19"/>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209"/>
        </w:trPr>
        <w:tc>
          <w:tcPr>
            <w:tcW w:w="808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(5,563)</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(4,818)</w:t>
            </w:r>
          </w:p>
        </w:tc>
        <w:tc>
          <w:tcPr>
            <w:tcW w:w="0" w:type="dxa"/>
            <w:vAlign w:val="bottom"/>
          </w:tcPr>
          <w:p>
            <w:pPr>
              <w:spacing w:after="0"/>
              <w:rPr>
                <w:sz w:val="1"/>
                <w:szCs w:val="1"/>
                <w:color w:val="auto"/>
              </w:rPr>
            </w:pPr>
          </w:p>
        </w:tc>
      </w:tr>
      <w:tr>
        <w:trPr>
          <w:trHeight w:val="27"/>
        </w:trPr>
        <w:tc>
          <w:tcPr>
            <w:tcW w:w="808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27"/>
        </w:trPr>
        <w:tc>
          <w:tcPr>
            <w:tcW w:w="808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12,595,715</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63,016</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4"/>
        </w:trPr>
        <w:tc>
          <w:tcPr>
            <w:tcW w:w="83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68,648</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72,084</w:t>
            </w: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5,843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222"/>
        </w:trPr>
        <w:tc>
          <w:tcPr>
            <w:tcW w:w="8320" w:type="dxa"/>
            <w:vAlign w:val="bottom"/>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3,084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204"/>
        </w:trPr>
        <w:tc>
          <w:tcPr>
            <w:tcW w:w="8320" w:type="dxa"/>
            <w:vAlign w:val="bottom"/>
          </w:tcPr>
          <w:p>
            <w:pPr>
              <w:ind w:left="64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77,575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81,250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9"/>
        </w:trPr>
        <w:tc>
          <w:tcPr>
            <w:tcW w:w="8320" w:type="dxa"/>
            <w:vAlign w:val="bottom"/>
          </w:tcPr>
          <w:p>
            <w:pPr>
              <w:ind w:left="64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84,644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7"/>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2,566</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222"/>
        </w:trPr>
        <w:tc>
          <w:tcPr>
            <w:tcW w:w="8320" w:type="dxa"/>
            <w:vAlign w:val="bottom"/>
          </w:tcPr>
          <w:p>
            <w:pPr>
              <w:ind w:left="32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4,763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04"/>
        </w:trPr>
        <w:tc>
          <w:tcPr>
            <w:tcW w:w="8320" w:type="dxa"/>
            <w:vAlign w:val="bottom"/>
          </w:tcPr>
          <w:p>
            <w:pPr>
              <w:ind w:left="64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7,329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4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26,050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4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04"/>
        </w:trPr>
        <w:tc>
          <w:tcPr>
            <w:tcW w:w="8320" w:type="dxa"/>
            <w:vAlign w:val="bottom"/>
          </w:tcPr>
          <w:p>
            <w:pPr>
              <w:ind w:left="64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34,107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32,651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320" w:type="dxa"/>
            <w:vAlign w:val="bottom"/>
          </w:tcPr>
          <w:p>
            <w:pPr>
              <w:ind w:left="340"/>
              <w:spacing w:after="0"/>
              <w:rPr>
                <w:sz w:val="20"/>
                <w:szCs w:val="20"/>
                <w:color w:val="auto"/>
              </w:rPr>
            </w:pPr>
            <w:r>
              <w:rPr>
                <w:rFonts w:ascii="Arial" w:cs="Arial" w:eastAsia="Arial" w:hAnsi="Arial"/>
                <w:sz w:val="14"/>
                <w:szCs w:val="14"/>
                <w:color w:val="auto"/>
              </w:rPr>
              <w:t>Preferred stock, $0.001 par value; 10,000,000 shares authorized, no shares issued or outstanding at March 31, 2020 and</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December 31, 2019</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Common stock, $0.001 par value; 200,000,000 shares authorized at March 31, 2020 and December 31, 2019, respectively;</w:t>
            </w:r>
          </w:p>
        </w:tc>
        <w:tc>
          <w:tcPr>
            <w:tcW w:w="140" w:type="dxa"/>
            <w:vAlign w:val="bottom"/>
          </w:tcPr>
          <w:p>
            <w:pPr>
              <w:spacing w:after="0"/>
              <w:rPr>
                <w:sz w:val="13"/>
                <w:szCs w:val="13"/>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12,627,056 and 12,560,990 shares issued and outstanding at March 31, 2020 and December 31, 2019, respectively</w:t>
            </w: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220,689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220,248</w:t>
            </w:r>
          </w:p>
        </w:tc>
        <w:tc>
          <w:tcPr>
            <w:tcW w:w="0" w:type="dxa"/>
            <w:vAlign w:val="bottom"/>
          </w:tcPr>
          <w:p>
            <w:pPr>
              <w:spacing w:after="0"/>
              <w:rPr>
                <w:sz w:val="1"/>
                <w:szCs w:val="1"/>
                <w:color w:val="auto"/>
              </w:rPr>
            </w:pPr>
          </w:p>
        </w:tc>
      </w:tr>
      <w:tr>
        <w:trPr>
          <w:trHeight w:val="208"/>
        </w:trPr>
        <w:tc>
          <w:tcPr>
            <w:tcW w:w="8320" w:type="dxa"/>
            <w:vAlign w:val="bottom"/>
          </w:tcPr>
          <w:p>
            <w:pPr>
              <w:ind w:left="320"/>
              <w:spacing w:after="0"/>
              <w:rPr>
                <w:sz w:val="20"/>
                <w:szCs w:val="20"/>
                <w:color w:val="auto"/>
              </w:rPr>
            </w:pPr>
            <w:r>
              <w:rPr>
                <w:rFonts w:ascii="Arial" w:cs="Arial" w:eastAsia="Arial" w:hAnsi="Arial"/>
                <w:sz w:val="14"/>
                <w:szCs w:val="14"/>
                <w:color w:val="auto"/>
              </w:rPr>
              <w:t>Accumulated deficit</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(170,165)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(164,602)</w:t>
            </w:r>
          </w:p>
        </w:tc>
        <w:tc>
          <w:tcPr>
            <w:tcW w:w="0" w:type="dxa"/>
            <w:vAlign w:val="bottom"/>
          </w:tcPr>
          <w:p>
            <w:pPr>
              <w:spacing w:after="0"/>
              <w:rPr>
                <w:sz w:val="1"/>
                <w:szCs w:val="1"/>
                <w:color w:val="auto"/>
              </w:rPr>
            </w:pPr>
          </w:p>
        </w:tc>
      </w:tr>
      <w:tr>
        <w:trPr>
          <w:trHeight w:val="210"/>
        </w:trPr>
        <w:tc>
          <w:tcPr>
            <w:tcW w:w="8320" w:type="dxa"/>
            <w:vAlign w:val="bottom"/>
          </w:tcPr>
          <w:p>
            <w:pPr>
              <w:ind w:left="64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50,537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84,644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2020-05-11T15:25:07Z</dcterms:created>
  <dcterms:modified xsi:type="dcterms:W3CDTF">2020-05-11T15:25:07Z</dcterms:modified>
</cp:coreProperties>
</file>