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18"/>
          <w:szCs w:val="18"/>
          <w:b w:val="1"/>
          <w:bCs w:val="1"/>
          <w:color w:val="auto"/>
        </w:rPr>
        <w:t>Exagen Inc.</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1261 Liberty Way, Suite C</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Vista, CA 92081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September 16, 2019</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John Reynolds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12" w:lineRule="exact"/>
        <w:rPr>
          <w:sz w:val="24"/>
          <w:szCs w:val="24"/>
          <w:color w:val="auto"/>
        </w:rPr>
      </w:pPr>
    </w:p>
    <w:p>
      <w:pPr>
        <w:ind w:left="420"/>
        <w:spacing w:after="0"/>
        <w:tabs>
          <w:tab w:leader="none" w:pos="940" w:val="left"/>
        </w:tabs>
        <w:rPr>
          <w:sz w:val="20"/>
          <w:szCs w:val="20"/>
          <w:color w:val="auto"/>
        </w:rPr>
      </w:pPr>
      <w:r>
        <w:rPr>
          <w:rFonts w:ascii="Arial" w:cs="Arial" w:eastAsia="Arial" w:hAnsi="Arial"/>
          <w:sz w:val="18"/>
          <w:szCs w:val="18"/>
          <w:b w:val="1"/>
          <w:bCs w:val="1"/>
          <w:color w:val="auto"/>
        </w:rPr>
        <w:t>Re:</w:t>
        <w:tab/>
        <w:t>Exagen Inc.</w:t>
      </w:r>
    </w:p>
    <w:p>
      <w:pPr>
        <w:spacing w:after="0" w:line="27"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File No. 333-233446</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Lopez:</w:t>
      </w:r>
    </w:p>
    <w:p>
      <w:pPr>
        <w:spacing w:after="0" w:line="117" w:lineRule="exact"/>
        <w:rPr>
          <w:sz w:val="24"/>
          <w:szCs w:val="24"/>
          <w:color w:val="auto"/>
        </w:rPr>
      </w:pPr>
    </w:p>
    <w:p>
      <w:pPr>
        <w:ind w:firstLine="440"/>
        <w:spacing w:after="0" w:line="311" w:lineRule="auto"/>
        <w:rPr>
          <w:sz w:val="20"/>
          <w:szCs w:val="20"/>
          <w:color w:val="auto"/>
        </w:rPr>
      </w:pPr>
      <w:r>
        <w:rPr>
          <w:rFonts w:ascii="Arial" w:cs="Arial" w:eastAsia="Arial" w:hAnsi="Arial"/>
          <w:sz w:val="16"/>
          <w:szCs w:val="16"/>
          <w:color w:val="auto"/>
        </w:rPr>
        <w:t>Pursuant to Rule 461 of Regulation C of the General Rules and Regulations under the Securities Act of 1933, as amended, the undersigned, on behalf of Exagen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respectfully requests that the effective date of the Registration Statement on Form S-1 referred to above be accelerated so that it will become effective at 4:00 P.M. Eastern Time on September 18, 2019, or as soon as practicable thereafter.</w:t>
      </w:r>
    </w:p>
    <w:p>
      <w:pPr>
        <w:spacing w:after="0" w:line="14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The undersigned, on behalf of the Company, acknowledges the following:</w:t>
      </w:r>
    </w:p>
    <w:p>
      <w:pPr>
        <w:spacing w:after="0" w:line="131" w:lineRule="exact"/>
        <w:rPr>
          <w:sz w:val="24"/>
          <w:szCs w:val="24"/>
          <w:color w:val="auto"/>
        </w:rPr>
      </w:pPr>
    </w:p>
    <w:p>
      <w:pPr>
        <w:ind w:left="1080" w:right="500" w:hanging="315"/>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filing effective, it does not foreclose the Commission from taking any action with respect to the filing;</w:t>
      </w:r>
    </w:p>
    <w:p>
      <w:pPr>
        <w:spacing w:after="0" w:line="75" w:lineRule="exact"/>
        <w:rPr>
          <w:rFonts w:ascii="Arial" w:cs="Arial" w:eastAsia="Arial" w:hAnsi="Arial"/>
          <w:sz w:val="18"/>
          <w:szCs w:val="18"/>
          <w:color w:val="auto"/>
        </w:rPr>
      </w:pPr>
    </w:p>
    <w:p>
      <w:pPr>
        <w:ind w:left="1080" w:right="60" w:hanging="315"/>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75" w:lineRule="exact"/>
        <w:rPr>
          <w:rFonts w:ascii="Arial" w:cs="Arial" w:eastAsia="Arial" w:hAnsi="Arial"/>
          <w:sz w:val="18"/>
          <w:szCs w:val="18"/>
          <w:color w:val="auto"/>
        </w:rPr>
      </w:pPr>
    </w:p>
    <w:p>
      <w:pPr>
        <w:ind w:left="1080" w:right="460" w:hanging="315"/>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ectPr>
          <w:pgSz w:w="11900" w:h="16838" w:orient="portrait"/>
          <w:cols w:equalWidth="0" w:num="1">
            <w:col w:w="10700"/>
          </w:cols>
          <w:pgMar w:left="440" w:top="229" w:right="759" w:bottom="1440" w:gutter="0" w:footer="0" w:header="0"/>
        </w:sectPr>
      </w:pPr>
    </w:p>
    <w:bookmarkStart w:id="1" w:name="page2"/>
    <w:bookmarkEnd w:id="1"/>
    <w:p>
      <w:pPr>
        <w:ind w:left="44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Please contact Jeffrey Woodley of Latham &amp; Watkins LLP, counsel to the Company, at (858) 523-5464, or in his absence, Matthew T. Bush at</w:t>
      </w:r>
    </w:p>
    <w:p>
      <w:pPr>
        <w:spacing w:after="0" w:line="46" w:lineRule="exact"/>
        <w:rPr>
          <w:sz w:val="20"/>
          <w:szCs w:val="20"/>
          <w:color w:val="auto"/>
        </w:rPr>
      </w:pPr>
    </w:p>
    <w:p>
      <w:pPr>
        <w:ind w:left="4" w:hanging="4"/>
        <w:spacing w:after="0" w:line="260" w:lineRule="auto"/>
        <w:tabs>
          <w:tab w:leader="none" w:pos="439" w:val="left"/>
        </w:tabs>
        <w:numPr>
          <w:ilvl w:val="0"/>
          <w:numId w:val="2"/>
        </w:numPr>
        <w:rPr>
          <w:rFonts w:ascii="Arial" w:cs="Arial" w:eastAsia="Arial" w:hAnsi="Arial"/>
          <w:sz w:val="18"/>
          <w:szCs w:val="18"/>
          <w:color w:val="auto"/>
        </w:rPr>
      </w:pPr>
      <w:r>
        <w:rPr>
          <w:rFonts w:ascii="Arial" w:cs="Arial" w:eastAsia="Arial" w:hAnsi="Arial"/>
          <w:sz w:val="18"/>
          <w:szCs w:val="18"/>
          <w:color w:val="auto"/>
        </w:rPr>
        <w:t>523-3962, to provide notice of effectiveness, or if you have any questions or require additional information regarding this matter. Thank you for your assistance and cooperation in this matter.</w:t>
      </w:r>
    </w:p>
    <w:p>
      <w:pPr>
        <w:spacing w:after="0" w:line="21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EXAGEN INC.</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  /s/ Fortunato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62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Fortunato Ron Rocca</w:t>
      </w:r>
    </w:p>
    <w:p>
      <w:pPr>
        <w:spacing w:after="0" w:line="2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and Director</w:t>
      </w:r>
    </w:p>
    <w:p>
      <w:pPr>
        <w:spacing w:after="0" w:line="200" w:lineRule="exact"/>
        <w:rPr>
          <w:sz w:val="20"/>
          <w:szCs w:val="20"/>
          <w:color w:val="auto"/>
        </w:rPr>
      </w:pPr>
    </w:p>
    <w:p>
      <w:pPr>
        <w:spacing w:after="0" w:line="389" w:lineRule="exact"/>
        <w:rPr>
          <w:sz w:val="20"/>
          <w:szCs w:val="20"/>
          <w:color w:val="auto"/>
        </w:rPr>
      </w:pPr>
    </w:p>
    <w:p>
      <w:pPr>
        <w:ind w:left="444" w:right="6320" w:hanging="444"/>
        <w:spacing w:after="0" w:line="268" w:lineRule="auto"/>
        <w:tabs>
          <w:tab w:leader="none" w:pos="436"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Ruairi Regan, </w:t>
      </w:r>
      <w:r>
        <w:rPr>
          <w:rFonts w:ascii="Arial" w:cs="Arial" w:eastAsia="Arial" w:hAnsi="Arial"/>
          <w:sz w:val="17"/>
          <w:szCs w:val="17"/>
          <w:i w:val="1"/>
          <w:iCs w:val="1"/>
          <w:color w:val="auto"/>
        </w:rPr>
        <w:t>Securities and Exchange Commission</w:t>
      </w:r>
      <w:r>
        <w:rPr>
          <w:rFonts w:ascii="Arial" w:cs="Arial" w:eastAsia="Arial" w:hAnsi="Arial"/>
          <w:sz w:val="17"/>
          <w:szCs w:val="17"/>
          <w:color w:val="auto"/>
        </w:rPr>
        <w:t xml:space="preserve"> Joanna Lam</w:t>
      </w:r>
      <w:r>
        <w:rPr>
          <w:rFonts w:ascii="Arial" w:cs="Arial" w:eastAsia="Arial" w:hAnsi="Arial"/>
          <w:sz w:val="17"/>
          <w:szCs w:val="17"/>
          <w:i w:val="1"/>
          <w:iCs w:val="1"/>
          <w:color w:val="auto"/>
        </w:rPr>
        <w:t>, Securities and Exchange Commission</w:t>
      </w:r>
      <w:r>
        <w:rPr>
          <w:rFonts w:ascii="Arial" w:cs="Arial" w:eastAsia="Arial" w:hAnsi="Arial"/>
          <w:sz w:val="17"/>
          <w:szCs w:val="17"/>
          <w:color w:val="auto"/>
        </w:rPr>
        <w:t xml:space="preserve"> Raj Rajan</w:t>
      </w:r>
      <w:r>
        <w:rPr>
          <w:rFonts w:ascii="Arial" w:cs="Arial" w:eastAsia="Arial" w:hAnsi="Arial"/>
          <w:sz w:val="17"/>
          <w:szCs w:val="17"/>
          <w:i w:val="1"/>
          <w:iCs w:val="1"/>
          <w:color w:val="auto"/>
        </w:rPr>
        <w:t>, Securities and Exchange Commission</w:t>
      </w:r>
      <w:r>
        <w:rPr>
          <w:rFonts w:ascii="Arial" w:cs="Arial" w:eastAsia="Arial" w:hAnsi="Arial"/>
          <w:sz w:val="17"/>
          <w:szCs w:val="17"/>
          <w:color w:val="auto"/>
        </w:rPr>
        <w:t xml:space="preserve"> Brigitte Lippman</w:t>
      </w:r>
      <w:r>
        <w:rPr>
          <w:rFonts w:ascii="Arial" w:cs="Arial" w:eastAsia="Arial" w:hAnsi="Arial"/>
          <w:sz w:val="17"/>
          <w:szCs w:val="17"/>
          <w:i w:val="1"/>
          <w:iCs w:val="1"/>
          <w:color w:val="auto"/>
        </w:rPr>
        <w:t>, Securities and Exchange Commission</w:t>
      </w:r>
      <w:r>
        <w:rPr>
          <w:rFonts w:ascii="Arial" w:cs="Arial" w:eastAsia="Arial" w:hAnsi="Arial"/>
          <w:sz w:val="17"/>
          <w:szCs w:val="17"/>
          <w:color w:val="auto"/>
        </w:rPr>
        <w:t xml:space="preserve"> Pam Howell</w:t>
      </w:r>
      <w:r>
        <w:rPr>
          <w:rFonts w:ascii="Arial" w:cs="Arial" w:eastAsia="Arial" w:hAnsi="Arial"/>
          <w:sz w:val="17"/>
          <w:szCs w:val="17"/>
          <w:i w:val="1"/>
          <w:iCs w:val="1"/>
          <w:color w:val="auto"/>
        </w:rPr>
        <w:t>, Securities and Exchange Commission</w:t>
      </w:r>
      <w:r>
        <w:rPr>
          <w:rFonts w:ascii="Arial" w:cs="Arial" w:eastAsia="Arial" w:hAnsi="Arial"/>
          <w:sz w:val="17"/>
          <w:szCs w:val="17"/>
          <w:color w:val="auto"/>
        </w:rPr>
        <w:t xml:space="preserve"> Fortunato Ron Rocca, </w:t>
      </w:r>
      <w:r>
        <w:rPr>
          <w:rFonts w:ascii="Arial" w:cs="Arial" w:eastAsia="Arial" w:hAnsi="Arial"/>
          <w:sz w:val="17"/>
          <w:szCs w:val="17"/>
          <w:i w:val="1"/>
          <w:iCs w:val="1"/>
          <w:color w:val="auto"/>
        </w:rPr>
        <w:t>Exagen Inc.</w:t>
      </w:r>
    </w:p>
    <w:p>
      <w:pPr>
        <w:jc w:val="both"/>
        <w:ind w:left="444" w:right="7280"/>
        <w:spacing w:after="0" w:line="323" w:lineRule="auto"/>
        <w:rPr>
          <w:rFonts w:ascii="Arial" w:cs="Arial" w:eastAsia="Arial" w:hAnsi="Arial"/>
          <w:sz w:val="17"/>
          <w:szCs w:val="17"/>
          <w:color w:val="auto"/>
        </w:rPr>
      </w:pPr>
      <w:r>
        <w:rPr>
          <w:rFonts w:ascii="Arial" w:cs="Arial" w:eastAsia="Arial" w:hAnsi="Arial"/>
          <w:sz w:val="16"/>
          <w:szCs w:val="16"/>
          <w:color w:val="auto"/>
        </w:rPr>
        <w:t xml:space="preserve">Cheston J. Larson, </w:t>
      </w:r>
      <w:r>
        <w:rPr>
          <w:rFonts w:ascii="Arial" w:cs="Arial" w:eastAsia="Arial" w:hAnsi="Arial"/>
          <w:sz w:val="16"/>
          <w:szCs w:val="16"/>
          <w:i w:val="1"/>
          <w:iCs w:val="1"/>
          <w:color w:val="auto"/>
        </w:rPr>
        <w:t>Latham &amp; Watkins LLP</w:t>
      </w:r>
      <w:r>
        <w:rPr>
          <w:rFonts w:ascii="Arial" w:cs="Arial" w:eastAsia="Arial" w:hAnsi="Arial"/>
          <w:sz w:val="16"/>
          <w:szCs w:val="16"/>
          <w:color w:val="auto"/>
        </w:rPr>
        <w:t xml:space="preserve"> Matthew T. Bush, </w:t>
      </w:r>
      <w:r>
        <w:rPr>
          <w:rFonts w:ascii="Arial" w:cs="Arial" w:eastAsia="Arial" w:hAnsi="Arial"/>
          <w:sz w:val="16"/>
          <w:szCs w:val="16"/>
          <w:i w:val="1"/>
          <w:iCs w:val="1"/>
          <w:color w:val="auto"/>
        </w:rPr>
        <w:t>Latham &amp; Watkins LLP</w:t>
      </w:r>
    </w:p>
    <w:sectPr>
      <w:pgSz w:w="11900" w:h="16838" w:orient="portrait"/>
      <w:cols w:equalWidth="0" w:num="1">
        <w:col w:w="10804"/>
      </w:cols>
      <w:pgMar w:left="436" w:top="274"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858"/>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2020-10-08T00:04:11Z</dcterms:created>
  <dcterms:modified xsi:type="dcterms:W3CDTF">2020-10-08T00:04:11Z</dcterms:modified>
</cp:coreProperties>
</file>