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30068X103</w:t>
            </w:r>
          </w:p>
        </w:tc>
        <w:tc>
          <w:tcPr>
            <w:tcW w:w="8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900" w:type="dxa"/>
            <w:vAlign w:val="bottom"/>
            <w:tcBorders>
              <w:bottom w:val="single" w:sz="8" w:color="auto"/>
            </w:tcBorders>
            <w:gridSpan w:val="3"/>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1</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NMSIC Co-Investment Fund, L.P.</w:t>
            </w: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900" w:type="dxa"/>
            <w:vAlign w:val="bottom"/>
            <w:tcBorders>
              <w:bottom w:val="single" w:sz="8" w:color="auto"/>
            </w:tcBorders>
            <w:gridSpan w:val="3"/>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2</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8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BFBFBF"/>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3</w:t>
            </w:r>
          </w:p>
        </w:tc>
        <w:tc>
          <w:tcPr>
            <w:tcW w:w="140" w:type="dxa"/>
            <w:vAlign w:val="bottom"/>
            <w:tcBorders>
              <w:right w:val="single" w:sz="8" w:color="auto"/>
            </w:tcBorders>
          </w:tcPr>
          <w:p>
            <w:pPr>
              <w:spacing w:after="0"/>
              <w:rPr>
                <w:sz w:val="20"/>
                <w:szCs w:val="20"/>
                <w:color w:val="auto"/>
              </w:rPr>
            </w:pPr>
          </w:p>
        </w:tc>
        <w:tc>
          <w:tcPr>
            <w:tcW w:w="934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4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4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4</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Delaware</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2,308,958</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20" w:type="dxa"/>
            <w:vAlign w:val="bottom"/>
            <w:tcBorders>
              <w:left w:val="single" w:sz="8" w:color="auto"/>
            </w:tcBorders>
          </w:tcPr>
          <w:p>
            <w:pPr>
              <w:jc w:val="center"/>
              <w:ind w:left="14"/>
              <w:spacing w:after="0"/>
              <w:rPr>
                <w:sz w:val="20"/>
                <w:szCs w:val="20"/>
                <w:color w:val="auto"/>
              </w:rPr>
            </w:pPr>
            <w:r>
              <w:rPr>
                <w:rFonts w:ascii="Arial" w:cs="Arial" w:eastAsia="Arial" w:hAnsi="Arial"/>
                <w:sz w:val="18"/>
                <w:szCs w:val="18"/>
                <w:b w:val="1"/>
                <w:bCs w:val="1"/>
                <w:color w:val="auto"/>
              </w:rPr>
              <w:t>NUMBER OF</w:t>
            </w:r>
          </w:p>
        </w:tc>
        <w:tc>
          <w:tcPr>
            <w:tcW w:w="14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tcPr>
          <w:p>
            <w:pPr>
              <w:jc w:val="center"/>
              <w:ind w:left="34"/>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18"/>
                <w:szCs w:val="18"/>
                <w:b w:val="1"/>
                <w:bCs w:val="1"/>
                <w:color w:val="auto"/>
                <w:w w:val="98"/>
              </w:rPr>
              <w:t>OWNED BY</w:t>
            </w:r>
          </w:p>
        </w:tc>
        <w:tc>
          <w:tcPr>
            <w:tcW w:w="140" w:type="dxa"/>
            <w:vAlign w:val="bottom"/>
            <w:tcBorders>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tcBorders>
              <w:left w:val="single" w:sz="8" w:color="auto"/>
            </w:tcBorders>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tcBorders>
              <w:left w:val="single" w:sz="8" w:color="auto"/>
            </w:tcBorders>
            <w:vMerge w:val="restart"/>
          </w:tcPr>
          <w:p>
            <w:pPr>
              <w:jc w:val="center"/>
              <w:ind w:left="34"/>
              <w:spacing w:after="0"/>
              <w:rPr>
                <w:sz w:val="20"/>
                <w:szCs w:val="20"/>
                <w:color w:val="auto"/>
              </w:rPr>
            </w:pPr>
            <w:r>
              <w:rPr>
                <w:rFonts w:ascii="Arial" w:cs="Arial" w:eastAsia="Arial" w:hAnsi="Arial"/>
                <w:sz w:val="18"/>
                <w:szCs w:val="18"/>
                <w:b w:val="1"/>
                <w:bCs w:val="1"/>
                <w:color w:val="auto"/>
              </w:rPr>
              <w:t>EACH</w:t>
            </w:r>
          </w:p>
        </w:tc>
        <w:tc>
          <w:tcPr>
            <w:tcW w:w="1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80" w:type="dxa"/>
            <w:vAlign w:val="bottom"/>
            <w:gridSpan w:val="2"/>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20" w:type="dxa"/>
            <w:vAlign w:val="bottom"/>
            <w:tcBorders>
              <w:left w:val="single" w:sz="8" w:color="auto"/>
            </w:tcBorders>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tcPr>
          <w:p>
            <w:pPr>
              <w:jc w:val="center"/>
              <w:ind w:left="14"/>
              <w:spacing w:after="0"/>
              <w:rPr>
                <w:sz w:val="20"/>
                <w:szCs w:val="20"/>
                <w:color w:val="auto"/>
              </w:rPr>
            </w:pPr>
            <w:r>
              <w:rPr>
                <w:rFonts w:ascii="Arial" w:cs="Arial" w:eastAsia="Arial" w:hAnsi="Arial"/>
                <w:sz w:val="18"/>
                <w:szCs w:val="18"/>
                <w:b w:val="1"/>
                <w:bCs w:val="1"/>
                <w:color w:val="auto"/>
              </w:rPr>
              <w:t>REPORTING</w:t>
            </w:r>
          </w:p>
        </w:tc>
        <w:tc>
          <w:tcPr>
            <w:tcW w:w="1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2,308,958</w:t>
            </w: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7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60" w:type="dxa"/>
            <w:vAlign w:val="bottom"/>
            <w:tcBorders>
              <w:left w:val="single" w:sz="8" w:color="auto"/>
              <w:right w:val="single" w:sz="8" w:color="auto"/>
            </w:tcBorders>
            <w:gridSpan w:val="2"/>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2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9</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2,308,958</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2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95"/>
              </w:rPr>
              <w:t>10</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INSTRUCTIONS)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20" w:type="dxa"/>
            <w:vAlign w:val="bottom"/>
            <w:tcBorders>
              <w:left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32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84"/>
              </w:rPr>
              <w:t>11</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18.25%(1)</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95"/>
              </w:rPr>
              <w:t>12</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calculated based on 12,652,138 shares of common stock outstanding as of November 6, 2020, as reported in the issuer’s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30068X103</w:t>
            </w:r>
          </w:p>
        </w:tc>
        <w:tc>
          <w:tcPr>
            <w:tcW w:w="8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900" w:type="dxa"/>
            <w:vAlign w:val="bottom"/>
            <w:tcBorders>
              <w:bottom w:val="single" w:sz="8" w:color="auto"/>
            </w:tcBorders>
            <w:gridSpan w:val="3"/>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1</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Sun Mountain Capital Partners, L.L.C.</w:t>
            </w: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8900" w:type="dxa"/>
            <w:vAlign w:val="bottom"/>
            <w:tcBorders>
              <w:bottom w:val="single" w:sz="8" w:color="auto"/>
            </w:tcBorders>
            <w:gridSpan w:val="3"/>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2</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8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BFBFBF"/>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3</w:t>
            </w:r>
          </w:p>
        </w:tc>
        <w:tc>
          <w:tcPr>
            <w:tcW w:w="140" w:type="dxa"/>
            <w:vAlign w:val="bottom"/>
            <w:tcBorders>
              <w:right w:val="single" w:sz="8" w:color="auto"/>
            </w:tcBorders>
          </w:tcPr>
          <w:p>
            <w:pPr>
              <w:spacing w:after="0"/>
              <w:rPr>
                <w:sz w:val="20"/>
                <w:szCs w:val="20"/>
                <w:color w:val="auto"/>
              </w:rPr>
            </w:pPr>
          </w:p>
        </w:tc>
        <w:tc>
          <w:tcPr>
            <w:tcW w:w="934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4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440" w:type="dxa"/>
            <w:vAlign w:val="bottom"/>
            <w:shd w:val="clear" w:color="auto" w:fill="BFBFBF"/>
          </w:tcPr>
          <w:p>
            <w:pPr>
              <w:spacing w:after="0"/>
              <w:rPr>
                <w:sz w:val="24"/>
                <w:szCs w:val="24"/>
                <w:color w:val="auto"/>
              </w:rPr>
            </w:pPr>
          </w:p>
        </w:tc>
        <w:tc>
          <w:tcPr>
            <w:tcW w:w="4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4</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Delaware</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2,308,958</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20" w:type="dxa"/>
            <w:vAlign w:val="bottom"/>
            <w:tcBorders>
              <w:left w:val="single" w:sz="8" w:color="auto"/>
            </w:tcBorders>
          </w:tcPr>
          <w:p>
            <w:pPr>
              <w:jc w:val="center"/>
              <w:ind w:left="14"/>
              <w:spacing w:after="0"/>
              <w:rPr>
                <w:sz w:val="20"/>
                <w:szCs w:val="20"/>
                <w:color w:val="auto"/>
              </w:rPr>
            </w:pPr>
            <w:r>
              <w:rPr>
                <w:rFonts w:ascii="Arial" w:cs="Arial" w:eastAsia="Arial" w:hAnsi="Arial"/>
                <w:sz w:val="18"/>
                <w:szCs w:val="18"/>
                <w:b w:val="1"/>
                <w:bCs w:val="1"/>
                <w:color w:val="auto"/>
              </w:rPr>
              <w:t>NUMBER OF</w:t>
            </w:r>
          </w:p>
        </w:tc>
        <w:tc>
          <w:tcPr>
            <w:tcW w:w="140" w:type="dxa"/>
            <w:vAlign w:val="bottom"/>
            <w:tcBorders>
              <w:right w:val="single" w:sz="8" w:color="auto"/>
            </w:tcBorders>
          </w:tcPr>
          <w:p>
            <w:pPr>
              <w:spacing w:after="0"/>
              <w:rPr>
                <w:sz w:val="21"/>
                <w:szCs w:val="21"/>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tcPr>
          <w:p>
            <w:pPr>
              <w:jc w:val="center"/>
              <w:ind w:left="34"/>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18"/>
                <w:szCs w:val="18"/>
                <w:b w:val="1"/>
                <w:bCs w:val="1"/>
                <w:color w:val="auto"/>
                <w:w w:val="98"/>
              </w:rPr>
              <w:t>OWNED BY</w:t>
            </w:r>
          </w:p>
        </w:tc>
        <w:tc>
          <w:tcPr>
            <w:tcW w:w="140" w:type="dxa"/>
            <w:vAlign w:val="bottom"/>
            <w:tcBorders>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20" w:type="dxa"/>
            <w:vAlign w:val="bottom"/>
            <w:tcBorders>
              <w:left w:val="single" w:sz="8" w:color="auto"/>
            </w:tcBorders>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320" w:type="dxa"/>
            <w:vAlign w:val="bottom"/>
            <w:tcBorders>
              <w:left w:val="single" w:sz="8" w:color="auto"/>
            </w:tcBorders>
            <w:vMerge w:val="restart"/>
          </w:tcPr>
          <w:p>
            <w:pPr>
              <w:jc w:val="center"/>
              <w:ind w:left="34"/>
              <w:spacing w:after="0"/>
              <w:rPr>
                <w:sz w:val="20"/>
                <w:szCs w:val="20"/>
                <w:color w:val="auto"/>
              </w:rPr>
            </w:pPr>
            <w:r>
              <w:rPr>
                <w:rFonts w:ascii="Arial" w:cs="Arial" w:eastAsia="Arial" w:hAnsi="Arial"/>
                <w:sz w:val="18"/>
                <w:szCs w:val="18"/>
                <w:b w:val="1"/>
                <w:bCs w:val="1"/>
                <w:color w:val="auto"/>
              </w:rPr>
              <w:t>EACH</w:t>
            </w:r>
          </w:p>
        </w:tc>
        <w:tc>
          <w:tcPr>
            <w:tcW w:w="1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80" w:type="dxa"/>
            <w:vAlign w:val="bottom"/>
            <w:gridSpan w:val="2"/>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20" w:type="dxa"/>
            <w:vAlign w:val="bottom"/>
            <w:tcBorders>
              <w:left w:val="single" w:sz="8" w:color="auto"/>
            </w:tcBorders>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tcPr>
          <w:p>
            <w:pPr>
              <w:jc w:val="center"/>
              <w:ind w:left="14"/>
              <w:spacing w:after="0"/>
              <w:rPr>
                <w:sz w:val="20"/>
                <w:szCs w:val="20"/>
                <w:color w:val="auto"/>
              </w:rPr>
            </w:pPr>
            <w:r>
              <w:rPr>
                <w:rFonts w:ascii="Arial" w:cs="Arial" w:eastAsia="Arial" w:hAnsi="Arial"/>
                <w:sz w:val="18"/>
                <w:szCs w:val="18"/>
                <w:b w:val="1"/>
                <w:bCs w:val="1"/>
                <w:color w:val="auto"/>
              </w:rPr>
              <w:t>REPORTING</w:t>
            </w:r>
          </w:p>
        </w:tc>
        <w:tc>
          <w:tcPr>
            <w:tcW w:w="1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2,308,958</w:t>
            </w: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7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60" w:type="dxa"/>
            <w:vAlign w:val="bottom"/>
            <w:tcBorders>
              <w:left w:val="single" w:sz="8" w:color="auto"/>
              <w:right w:val="single" w:sz="8" w:color="auto"/>
            </w:tcBorders>
            <w:gridSpan w:val="2"/>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2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rPr>
              <w:t>9</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2,308,958</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2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95"/>
              </w:rPr>
              <w:t>10</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INSTRUCTIONS)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320" w:type="dxa"/>
            <w:vAlign w:val="bottom"/>
            <w:tcBorders>
              <w:left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32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Borders>
              <w:left w:val="single" w:sz="8" w:color="auto"/>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84"/>
              </w:rPr>
              <w:t>11</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00" w:type="dxa"/>
            <w:vAlign w:val="bottom"/>
            <w:gridSpan w:val="3"/>
          </w:tcPr>
          <w:p>
            <w:pPr>
              <w:ind w:left="20"/>
              <w:spacing w:after="0"/>
              <w:rPr>
                <w:sz w:val="20"/>
                <w:szCs w:val="20"/>
                <w:color w:val="auto"/>
              </w:rPr>
            </w:pPr>
            <w:r>
              <w:rPr>
                <w:rFonts w:ascii="Arial" w:cs="Arial" w:eastAsia="Arial" w:hAnsi="Arial"/>
                <w:sz w:val="18"/>
                <w:szCs w:val="18"/>
                <w:b w:val="1"/>
                <w:bCs w:val="1"/>
                <w:color w:val="auto"/>
              </w:rPr>
              <w:t>18.25%(1)</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160" w:type="dxa"/>
            <w:vAlign w:val="bottom"/>
            <w:tcBorders>
              <w:bottom w:val="single" w:sz="8" w:color="auto"/>
            </w:tcBorders>
            <w:gridSpan w:val="2"/>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tcBorders>
            <w:vMerge w:val="restart"/>
          </w:tcPr>
          <w:p>
            <w:pPr>
              <w:jc w:val="center"/>
              <w:ind w:left="14"/>
              <w:spacing w:after="0"/>
              <w:rPr>
                <w:sz w:val="20"/>
                <w:szCs w:val="20"/>
                <w:color w:val="auto"/>
              </w:rPr>
            </w:pPr>
            <w:r>
              <w:rPr>
                <w:rFonts w:ascii="Arial" w:cs="Arial" w:eastAsia="Arial" w:hAnsi="Arial"/>
                <w:sz w:val="32"/>
                <w:szCs w:val="32"/>
                <w:b w:val="1"/>
                <w:bCs w:val="1"/>
                <w:color w:val="auto"/>
                <w:w w:val="95"/>
              </w:rPr>
              <w:t>12</w:t>
            </w:r>
          </w:p>
        </w:tc>
        <w:tc>
          <w:tcPr>
            <w:tcW w:w="140" w:type="dxa"/>
            <w:vAlign w:val="bottom"/>
            <w:tcBorders>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8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calculated based on 12,652,138 shares of common stock outstanding as of November 6, 2020, as reported in the issuer’s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Exagen Inc.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1261 Liberty Way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Vista, California 92081</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right="700" w:firstLine="324"/>
        <w:spacing w:after="0" w:line="250" w:lineRule="auto"/>
        <w:rPr>
          <w:sz w:val="20"/>
          <w:szCs w:val="20"/>
          <w:color w:val="auto"/>
        </w:rPr>
      </w:pPr>
      <w:r>
        <w:rPr>
          <w:rFonts w:ascii="Arial" w:cs="Arial" w:eastAsia="Arial" w:hAnsi="Arial"/>
          <w:sz w:val="22"/>
          <w:szCs w:val="22"/>
          <w:color w:val="auto"/>
        </w:rPr>
        <w:t>This statement is being filed on behalf of each of the following persons (each, a “Reporting Person” and together, the “Reporting Persons”):</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NMSIC Co-Investment Fund, L.P. (“NMSIC”);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Sun Mountain Capital Partners, L.L.C. (“Sun Mountain”), the general partner of NMSIC.</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address of the principal business office of each of the Reporting Persons is: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527 Don Gaspar Avenue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Santa Fe, New Mexico 87505</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row 4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Common Stock, par value $0.001 per share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30068X103</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Amount beneficially owned:</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row 9 of the cover page of each Reporting Person.</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As of December 31, 2020, NMSIC directly owns 2,308,958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w:t>
      </w:r>
    </w:p>
    <w:p>
      <w:pPr>
        <w:spacing w:after="0" w:line="212"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(b)  Percent of class:</w:t>
      </w:r>
    </w:p>
    <w:p>
      <w:pPr>
        <w:spacing w:after="0" w:line="245"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Each of the Reporting Persons may be deemed to be the beneficial owner of 18.25% of the outstanding shares of the Common Stock.</w:t>
      </w:r>
    </w:p>
    <w:p>
      <w:pPr>
        <w:spacing w:after="0" w:line="202" w:lineRule="exact"/>
        <w:rPr>
          <w:sz w:val="20"/>
          <w:szCs w:val="20"/>
          <w:color w:val="auto"/>
        </w:rPr>
      </w:pPr>
    </w:p>
    <w:p>
      <w:pPr>
        <w:jc w:val="both"/>
        <w:ind w:right="220" w:firstLine="648"/>
        <w:spacing w:after="0" w:line="257" w:lineRule="auto"/>
        <w:rPr>
          <w:sz w:val="20"/>
          <w:szCs w:val="20"/>
          <w:color w:val="auto"/>
        </w:rPr>
      </w:pPr>
      <w:r>
        <w:rPr>
          <w:rFonts w:ascii="Arial" w:cs="Arial" w:eastAsia="Arial" w:hAnsi="Arial"/>
          <w:sz w:val="21"/>
          <w:szCs w:val="21"/>
          <w:color w:val="auto"/>
        </w:rPr>
        <w:t>The calculation of beneficial ownership percentage is based on 12,652,138 shares of Common Stock outstanding as of November 6, 2020, as reported by the issuer in its Quarterly Report on Form 10-Q for the quarter ended September 30, 2020, filed with the Securities and Exchange Commission on November 10, 2020.</w:t>
      </w:r>
    </w:p>
    <w:p>
      <w:pPr>
        <w:spacing w:after="0" w:line="20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5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Shared power to vote or to direct the vote:</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6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7 of the cover page of each Reporting Person.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8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11,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NMSIC CO-INVESTMENT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Sun Mountain Capital Partners,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Birk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Lee Rand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MOUNTAIN CAPITAL PARTNERS,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Brian Birk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Lee Rand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2021-02-11T15:25:47Z</dcterms:created>
  <dcterms:modified xsi:type="dcterms:W3CDTF">2021-02-11T15:25:47Z</dcterms:modified>
</cp:coreProperties>
</file>