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560" w:hanging="323"/>
        <w:spacing w:after="0" w:line="208" w:lineRule="auto"/>
        <w:tabs>
          <w:tab w:leader="none" w:pos="5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163195</wp:posOffset>
            </wp:positionH>
            <wp:positionV relativeFrom="paragraph">
              <wp:posOffset>-112395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2019</w:t>
      </w:r>
    </w:p>
    <w:p>
      <w:pPr>
        <w:ind w:left="560" w:hanging="323"/>
        <w:spacing w:after="0" w:line="182" w:lineRule="auto"/>
        <w:tabs>
          <w:tab w:leader="none" w:pos="56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163195</wp:posOffset>
            </wp:positionH>
            <wp:positionV relativeFrom="paragraph">
              <wp:posOffset>-113030</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transition period from to .</w:t>
      </w:r>
    </w:p>
    <w:p>
      <w:pPr>
        <w:sectPr>
          <w:pgSz w:w="11900" w:h="16838" w:orient="portrait"/>
          <w:cols w:equalWidth="0" w:num="1">
            <w:col w:w="11240"/>
          </w:cols>
          <w:pgMar w:left="320" w:top="977" w:right="339" w:bottom="1440" w:gutter="0" w:footer="0" w:header="0"/>
        </w:sect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001-39049</w:t>
      </w:r>
    </w:p>
    <w:p>
      <w:pPr>
        <w:spacing w:after="0" w:line="206" w:lineRule="exact"/>
        <w:rPr>
          <w:sz w:val="24"/>
          <w:szCs w:val="24"/>
          <w:color w:val="auto"/>
        </w:rPr>
      </w:pPr>
    </w:p>
    <w:p>
      <w:pPr>
        <w:sectPr>
          <w:pgSz w:w="11900" w:h="16838" w:orient="portrait"/>
          <w:cols w:equalWidth="0" w:num="2">
            <w:col w:w="6180" w:space="40"/>
            <w:col w:w="5020"/>
          </w:cols>
          <w:pgMar w:left="320" w:top="977" w:right="339" w:bottom="1440" w:gutter="0" w:footer="0" w:header="0"/>
          <w:type w:val="continuous"/>
        </w:sectPr>
      </w:pP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EXAGEN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977" w:right="339" w:bottom="1440" w:gutter="0" w:footer="0" w:header="0"/>
          <w:type w:val="continuous"/>
        </w:sectPr>
      </w:pPr>
    </w:p>
    <w:p>
      <w:pPr>
        <w:spacing w:after="0" w:line="334"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Delaware</w:t>
      </w:r>
    </w:p>
    <w:p>
      <w:pPr>
        <w:spacing w:after="0" w:line="5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1640"/>
        <w:spacing w:after="0"/>
        <w:rPr>
          <w:sz w:val="20"/>
          <w:szCs w:val="20"/>
          <w:color w:val="auto"/>
        </w:rPr>
      </w:pPr>
      <w:r>
        <w:rPr>
          <w:rFonts w:ascii="Arial" w:cs="Arial" w:eastAsia="Arial" w:hAnsi="Arial"/>
          <w:sz w:val="14"/>
          <w:szCs w:val="14"/>
          <w:b w:val="1"/>
          <w:bCs w:val="1"/>
          <w:color w:val="auto"/>
        </w:rPr>
        <w:t>20-0434866</w:t>
      </w:r>
    </w:p>
    <w:p>
      <w:pPr>
        <w:spacing w:after="0" w:line="55" w:lineRule="exact"/>
        <w:rPr>
          <w:sz w:val="24"/>
          <w:szCs w:val="24"/>
          <w:color w:val="auto"/>
        </w:rPr>
      </w:pPr>
    </w:p>
    <w:p>
      <w:pPr>
        <w:jc w:val="center"/>
        <w:ind w:right="164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1640"/>
        <w:spacing w:after="0"/>
        <w:rPr>
          <w:sz w:val="20"/>
          <w:szCs w:val="20"/>
          <w:color w:val="auto"/>
        </w:rPr>
      </w:pPr>
      <w:r>
        <w:rPr>
          <w:rFonts w:ascii="Arial" w:cs="Arial" w:eastAsia="Arial" w:hAnsi="Arial"/>
          <w:sz w:val="14"/>
          <w:szCs w:val="14"/>
          <w:b w:val="1"/>
          <w:bCs w:val="1"/>
          <w:color w:val="auto"/>
        </w:rPr>
        <w:t>Identification No.)</w:t>
      </w:r>
    </w:p>
    <w:p>
      <w:pPr>
        <w:spacing w:after="0" w:line="145" w:lineRule="exact"/>
        <w:rPr>
          <w:sz w:val="24"/>
          <w:szCs w:val="24"/>
          <w:color w:val="auto"/>
        </w:rPr>
      </w:pPr>
    </w:p>
    <w:p>
      <w:pPr>
        <w:sectPr>
          <w:pgSz w:w="11900" w:h="16838" w:orient="portrait"/>
          <w:cols w:equalWidth="0" w:num="2">
            <w:col w:w="7660" w:space="720"/>
            <w:col w:w="2860"/>
          </w:cols>
          <w:pgMar w:left="320" w:top="977" w:right="339" w:bottom="1440" w:gutter="0" w:footer="0" w:header="0"/>
          <w:type w:val="continuous"/>
        </w:sectPr>
      </w:pPr>
    </w:p>
    <w:p>
      <w:pPr>
        <w:ind w:left="1340"/>
        <w:spacing w:after="0"/>
        <w:tabs>
          <w:tab w:leader="none" w:pos="3180" w:val="left"/>
        </w:tabs>
        <w:rPr>
          <w:sz w:val="20"/>
          <w:szCs w:val="20"/>
          <w:color w:val="auto"/>
        </w:rPr>
      </w:pPr>
      <w:r>
        <w:rPr>
          <w:rFonts w:ascii="Arial" w:cs="Arial" w:eastAsia="Arial" w:hAnsi="Arial"/>
          <w:sz w:val="14"/>
          <w:szCs w:val="14"/>
          <w:b w:val="1"/>
          <w:bCs w:val="1"/>
          <w:color w:val="auto"/>
        </w:rPr>
        <w:t>1261 Liberty Way,</w:t>
      </w:r>
      <w:r>
        <w:rPr>
          <w:sz w:val="20"/>
          <w:szCs w:val="20"/>
          <w:color w:val="auto"/>
        </w:rPr>
        <w:tab/>
      </w:r>
      <w:r>
        <w:rPr>
          <w:rFonts w:ascii="Arial" w:cs="Arial" w:eastAsia="Arial" w:hAnsi="Arial"/>
          <w:sz w:val="14"/>
          <w:szCs w:val="14"/>
          <w:b w:val="1"/>
          <w:bCs w:val="1"/>
          <w:color w:val="auto"/>
        </w:rPr>
        <w:t>Suite C</w:t>
      </w:r>
    </w:p>
    <w:p>
      <w:pPr>
        <w:spacing w:after="0" w:line="55" w:lineRule="exact"/>
        <w:rPr>
          <w:sz w:val="24"/>
          <w:szCs w:val="24"/>
          <w:color w:val="auto"/>
        </w:rPr>
      </w:pPr>
    </w:p>
    <w:p>
      <w:pPr>
        <w:ind w:left="1780"/>
        <w:spacing w:after="0"/>
        <w:tabs>
          <w:tab w:leader="none" w:pos="3100" w:val="left"/>
        </w:tabs>
        <w:rPr>
          <w:sz w:val="20"/>
          <w:szCs w:val="20"/>
          <w:color w:val="auto"/>
        </w:rPr>
      </w:pPr>
      <w:r>
        <w:rPr>
          <w:rFonts w:ascii="Arial" w:cs="Arial" w:eastAsia="Arial" w:hAnsi="Arial"/>
          <w:sz w:val="14"/>
          <w:szCs w:val="14"/>
          <w:b w:val="1"/>
          <w:bCs w:val="1"/>
          <w:color w:val="auto"/>
        </w:rPr>
        <w:t>Vista</w:t>
      </w:r>
      <w:r>
        <w:rPr>
          <w:sz w:val="20"/>
          <w:szCs w:val="20"/>
          <w:color w:val="auto"/>
        </w:rPr>
        <w:tab/>
      </w:r>
      <w:r>
        <w:rPr>
          <w:rFonts w:ascii="Arial" w:cs="Arial" w:eastAsia="Arial" w:hAnsi="Arial"/>
          <w:sz w:val="14"/>
          <w:szCs w:val="14"/>
          <w:b w:val="1"/>
          <w:bCs w:val="1"/>
          <w:color w:val="auto"/>
        </w:rPr>
        <w:t>California</w:t>
      </w:r>
    </w:p>
    <w:p>
      <w:pPr>
        <w:spacing w:after="0" w:line="55"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880"/>
        <w:spacing w:after="0"/>
        <w:rPr>
          <w:sz w:val="20"/>
          <w:szCs w:val="20"/>
          <w:color w:val="auto"/>
        </w:rPr>
      </w:pPr>
      <w:r>
        <w:rPr>
          <w:rFonts w:ascii="Arial" w:cs="Arial" w:eastAsia="Arial" w:hAnsi="Arial"/>
          <w:sz w:val="14"/>
          <w:szCs w:val="14"/>
          <w:b w:val="1"/>
          <w:bCs w:val="1"/>
          <w:color w:val="auto"/>
        </w:rPr>
        <w:t>92081</w:t>
      </w:r>
    </w:p>
    <w:p>
      <w:pPr>
        <w:spacing w:after="0" w:line="55"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7900" w:space="720"/>
            <w:col w:w="2620"/>
          </w:cols>
          <w:pgMar w:left="320" w:top="977" w:right="339" w:bottom="1440" w:gutter="0" w:footer="0" w:header="0"/>
          <w:type w:val="continuous"/>
        </w:sect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(760) 560-1501</w:t>
      </w:r>
    </w:p>
    <w:p>
      <w:pPr>
        <w:spacing w:after="0" w:line="55"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4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22"/>
        </w:trPr>
        <w:tc>
          <w:tcPr>
            <w:tcW w:w="500" w:type="dxa"/>
            <w:vAlign w:val="bottom"/>
          </w:tcPr>
          <w:p>
            <w:pPr>
              <w:spacing w:after="0"/>
              <w:rPr>
                <w:sz w:val="19"/>
                <w:szCs w:val="19"/>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9"/>
                <w:szCs w:val="19"/>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500" w:type="dxa"/>
            <w:vAlign w:val="bottom"/>
          </w:tcPr>
          <w:p>
            <w:pPr>
              <w:spacing w:after="0"/>
              <w:rPr>
                <w:sz w:val="17"/>
                <w:szCs w:val="17"/>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 Stock, par value $0.001 per share</w:t>
            </w:r>
          </w:p>
        </w:tc>
        <w:tc>
          <w:tcPr>
            <w:tcW w:w="2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XGN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Market</w:t>
            </w:r>
          </w:p>
        </w:tc>
      </w:tr>
      <w:tr>
        <w:trPr>
          <w:trHeight w:val="297"/>
        </w:trPr>
        <w:tc>
          <w:tcPr>
            <w:tcW w:w="44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60" w:lineRule="exact"/>
        <w:rPr>
          <w:sz w:val="24"/>
          <w:szCs w:val="24"/>
          <w:color w:val="auto"/>
        </w:rPr>
      </w:pPr>
    </w:p>
    <w:p>
      <w:pPr>
        <w:ind w:right="2880"/>
        <w:spacing w:after="0" w:line="24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320" w:type="dxa"/>
            <w:vAlign w:val="bottom"/>
          </w:tcPr>
          <w:p>
            <w:pPr>
              <w:ind w:left="480"/>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31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r>
      <w:tr>
        <w:trPr>
          <w:trHeight w:val="338"/>
        </w:trPr>
        <w:tc>
          <w:tcPr>
            <w:tcW w:w="2320" w:type="dxa"/>
            <w:vAlign w:val="bottom"/>
          </w:tcPr>
          <w:p>
            <w:pPr>
              <w:ind w:left="480"/>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31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r>
      <w:tr>
        <w:trPr>
          <w:trHeight w:val="337"/>
        </w:trPr>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31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r>
      <w:tr>
        <w:trPr>
          <w:trHeight w:val="1245"/>
        </w:trPr>
        <w:tc>
          <w:tcPr>
            <w:tcW w:w="2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1" w:name="page2"/>
    <w:bookmarkEnd w:id="1"/>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As of September 30, 2019, the aggregate market value of the registrant's common stock held by non-affiliates of the registrant was approximately $104.9 million, based on the closing price of the registrant's common stock on the Nasdaq Global Select Market of $15.49 per share. The registrant has elected to use September 30, 2019 as the calculation date, as of June 30, 2019 (the last business day of the registrant's most recently completed second fiscal quarter) the registrant was a privately-held concern.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20, 2020 was 12,627,056.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6"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2020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7A.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9A.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9B.</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14.</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16.</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 w:type="dxa"/>
            <w:vAlign w:val="bottom"/>
            <w:tcBorders>
              <w:bottom w:val="single" w:sz="8" w:color="0000FF"/>
            </w:tcBorders>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Business</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Risk Factors</w:t>
              </w:r>
            </w:hyperlink>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00" w:type="dxa"/>
            <w:vAlign w:val="bottom"/>
            <w:tcBorders>
              <w:bottom w:val="single" w:sz="8" w:color="0000FF"/>
            </w:tcBorders>
            <w:gridSpan w:val="5"/>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2240" w:type="dxa"/>
            <w:vAlign w:val="bottom"/>
            <w:gridSpan w:val="13"/>
            <w:vMerge w:val="restart"/>
          </w:tcPr>
          <w:p>
            <w:pPr>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Unresolved Staff Comments</w:t>
              </w:r>
            </w:hyperlink>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tcBorders>
              <w:bottom w:val="single" w:sz="8" w:color="0000FF"/>
            </w:tcBorders>
            <w:gridSpan w:val="13"/>
            <w:vMerge w:val="continue"/>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820" w:type="dxa"/>
            <w:vAlign w:val="bottom"/>
            <w:gridSpan w:val="3"/>
            <w:vMerge w:val="restart"/>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Properties</w:t>
              </w:r>
            </w:hyperlink>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0" w:type="dxa"/>
            <w:vAlign w:val="bottom"/>
            <w:tcBorders>
              <w:bottom w:val="single" w:sz="8" w:color="0000FF"/>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1480" w:type="dxa"/>
            <w:vAlign w:val="bottom"/>
            <w:gridSpan w:val="7"/>
            <w:vMerge w:val="restart"/>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Legal Proceedings</w:t>
              </w:r>
            </w:hyperlink>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80" w:type="dxa"/>
            <w:vAlign w:val="bottom"/>
            <w:tcBorders>
              <w:bottom w:val="single" w:sz="8" w:color="0000FF"/>
            </w:tcBorders>
            <w:gridSpan w:val="7"/>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1920" w:type="dxa"/>
            <w:vAlign w:val="bottom"/>
            <w:gridSpan w:val="10"/>
            <w:vMerge w:val="restart"/>
          </w:tcPr>
          <w:p>
            <w:pPr>
              <w:spacing w:after="0"/>
              <w:rPr>
                <w:rFonts w:ascii="Arial" w:cs="Arial" w:eastAsia="Arial" w:hAnsi="Arial"/>
                <w:sz w:val="18"/>
                <w:szCs w:val="18"/>
                <w:color w:val="0000FF"/>
                <w:w w:val="98"/>
              </w:rPr>
            </w:pPr>
            <w:hyperlink w:anchor="page73">
              <w:r>
                <w:rPr>
                  <w:rFonts w:ascii="Arial" w:cs="Arial" w:eastAsia="Arial" w:hAnsi="Arial"/>
                  <w:sz w:val="18"/>
                  <w:szCs w:val="18"/>
                  <w:color w:val="0000FF"/>
                  <w:w w:val="98"/>
                </w:rPr>
                <w:t>Mine Safety Disclosures</w:t>
              </w:r>
            </w:hyperlink>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20" w:type="dxa"/>
            <w:vAlign w:val="bottom"/>
            <w:tcBorders>
              <w:bottom w:val="single" w:sz="8" w:color="0000FF"/>
            </w:tcBorders>
            <w:gridSpan w:val="10"/>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8640" w:type="dxa"/>
            <w:vAlign w:val="bottom"/>
            <w:gridSpan w:val="24"/>
            <w:vMerge w:val="restart"/>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Market for Registrant's Common Equity, Related Stockholder Matters and Issuer Purchases of Equity</w:t>
              </w:r>
            </w:hyperlink>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4"/>
            <w:vMerge w:val="continue"/>
          </w:tcPr>
          <w:p>
            <w:pPr>
              <w:spacing w:after="0"/>
              <w:rPr>
                <w:sz w:val="24"/>
                <w:szCs w:val="24"/>
                <w:color w:val="auto"/>
              </w:rPr>
            </w:pPr>
          </w:p>
        </w:tc>
        <w:tc>
          <w:tcPr>
            <w:tcW w:w="300" w:type="dxa"/>
            <w:vAlign w:val="bottom"/>
            <w:gridSpan w:val="3"/>
            <w:vMerge w:val="restart"/>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155"/>
        </w:trPr>
        <w:tc>
          <w:tcPr>
            <w:tcW w:w="80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Securities</w:t>
              </w:r>
            </w:hyperlink>
          </w:p>
        </w:tc>
        <w:tc>
          <w:tcPr>
            <w:tcW w:w="620" w:type="dxa"/>
            <w:vAlign w:val="bottom"/>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tcBorders>
              <w:bottom w:val="single" w:sz="8" w:color="0000FF"/>
            </w:tcBorders>
            <w:gridSpan w:val="9"/>
          </w:tcPr>
          <w:p>
            <w:pPr>
              <w:spacing w:after="0" w:line="196" w:lineRule="exact"/>
              <w:rPr>
                <w:rFonts w:ascii="Arial" w:cs="Arial" w:eastAsia="Arial" w:hAnsi="Arial"/>
                <w:sz w:val="18"/>
                <w:szCs w:val="18"/>
                <w:color w:val="0000FF"/>
                <w:w w:val="98"/>
              </w:rPr>
            </w:pPr>
            <w:hyperlink w:anchor="page75">
              <w:r>
                <w:rPr>
                  <w:rFonts w:ascii="Arial" w:cs="Arial" w:eastAsia="Arial" w:hAnsi="Arial"/>
                  <w:sz w:val="18"/>
                  <w:szCs w:val="18"/>
                  <w:color w:val="0000FF"/>
                  <w:w w:val="98"/>
                </w:rPr>
                <w:t>Selected Financial Data</w:t>
              </w:r>
            </w:hyperlink>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300" w:type="dxa"/>
            <w:vAlign w:val="bottom"/>
            <w:gridSpan w:val="3"/>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7080" w:type="dxa"/>
            <w:vAlign w:val="bottom"/>
            <w:gridSpan w:val="20"/>
            <w:vMerge w:val="restart"/>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Management's Discussion and Analysis of Financial Condition and Results of Operations</w:t>
              </w:r>
            </w:hyperlink>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080" w:type="dxa"/>
            <w:vAlign w:val="bottom"/>
            <w:tcBorders>
              <w:bottom w:val="single" w:sz="8" w:color="0000FF"/>
            </w:tcBorders>
            <w:gridSpan w:val="20"/>
            <w:vMerge w:val="continue"/>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4700" w:type="dxa"/>
            <w:vAlign w:val="bottom"/>
            <w:gridSpan w:val="18"/>
            <w:vMerge w:val="restart"/>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Quantitative and Qualitative Disclosures About Market Risk</w:t>
              </w:r>
            </w:hyperlink>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00" w:type="dxa"/>
            <w:vAlign w:val="bottom"/>
            <w:tcBorders>
              <w:bottom w:val="single" w:sz="8" w:color="0000FF"/>
            </w:tcBorders>
            <w:gridSpan w:val="18"/>
            <w:vMerge w:val="continue"/>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
        </w:trPr>
        <w:tc>
          <w:tcPr>
            <w:tcW w:w="3720" w:type="dxa"/>
            <w:vAlign w:val="bottom"/>
            <w:gridSpan w:val="16"/>
            <w:vMerge w:val="restart"/>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Financial Statements and Supplementary Data</w:t>
              </w:r>
            </w:hyperlink>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20" w:type="dxa"/>
            <w:vAlign w:val="bottom"/>
            <w:tcBorders>
              <w:bottom w:val="single" w:sz="8" w:color="0000FF"/>
            </w:tcBorders>
            <w:gridSpan w:val="16"/>
            <w:vMerge w:val="continue"/>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
        </w:trPr>
        <w:tc>
          <w:tcPr>
            <w:tcW w:w="7120" w:type="dxa"/>
            <w:vAlign w:val="bottom"/>
            <w:gridSpan w:val="21"/>
            <w:vMerge w:val="restart"/>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Changes in and Disagreements with Accountants on Accounting and Financial Disclosure</w:t>
              </w:r>
            </w:hyperlink>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20" w:type="dxa"/>
            <w:vAlign w:val="bottom"/>
            <w:tcBorders>
              <w:bottom w:val="single" w:sz="8" w:color="0000FF"/>
            </w:tcBorders>
            <w:gridSpan w:val="21"/>
            <w:vMerge w:val="continue"/>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
        </w:trPr>
        <w:tc>
          <w:tcPr>
            <w:tcW w:w="1980" w:type="dxa"/>
            <w:vAlign w:val="bottom"/>
            <w:gridSpan w:val="11"/>
            <w:vMerge w:val="restart"/>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Controls and Procedures</w:t>
              </w:r>
            </w:hyperlink>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80" w:type="dxa"/>
            <w:vAlign w:val="bottom"/>
            <w:tcBorders>
              <w:bottom w:val="single" w:sz="8" w:color="0000FF"/>
            </w:tcBorders>
            <w:gridSpan w:val="11"/>
            <w:vMerge w:val="continue"/>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194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
        </w:trPr>
        <w:tc>
          <w:tcPr>
            <w:tcW w:w="1400" w:type="dxa"/>
            <w:vAlign w:val="bottom"/>
            <w:gridSpan w:val="6"/>
            <w:vMerge w:val="restart"/>
          </w:tcPr>
          <w:p>
            <w:pPr>
              <w:spacing w:after="0"/>
              <w:rPr>
                <w:rFonts w:ascii="Arial" w:cs="Arial" w:eastAsia="Arial" w:hAnsi="Arial"/>
                <w:sz w:val="18"/>
                <w:szCs w:val="18"/>
                <w:color w:val="0000FF"/>
                <w:w w:val="98"/>
              </w:rPr>
            </w:pPr>
            <w:hyperlink w:anchor="page90">
              <w:r>
                <w:rPr>
                  <w:rFonts w:ascii="Arial" w:cs="Arial" w:eastAsia="Arial" w:hAnsi="Arial"/>
                  <w:sz w:val="18"/>
                  <w:szCs w:val="18"/>
                  <w:color w:val="0000FF"/>
                  <w:w w:val="98"/>
                </w:rPr>
                <w:t>Other Information</w:t>
              </w:r>
            </w:hyperlink>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400" w:type="dxa"/>
            <w:vAlign w:val="bottom"/>
            <w:tcBorders>
              <w:bottom w:val="single" w:sz="8" w:color="0000FF"/>
            </w:tcBorders>
            <w:gridSpan w:val="6"/>
            <w:vMerge w:val="continue"/>
          </w:tcPr>
          <w:p>
            <w:pPr>
              <w:spacing w:after="0"/>
              <w:rPr>
                <w:sz w:val="17"/>
                <w:szCs w:val="17"/>
                <w:color w:val="auto"/>
              </w:rPr>
            </w:pPr>
          </w:p>
        </w:tc>
        <w:tc>
          <w:tcPr>
            <w:tcW w:w="260" w:type="dxa"/>
            <w:vAlign w:val="bottom"/>
            <w:gridSpan w:val="2"/>
          </w:tcPr>
          <w:p>
            <w:pPr>
              <w:spacing w:after="0"/>
              <w:rPr>
                <w:sz w:val="17"/>
                <w:szCs w:val="17"/>
                <w:color w:val="auto"/>
              </w:rPr>
            </w:pPr>
          </w:p>
        </w:tc>
        <w:tc>
          <w:tcPr>
            <w:tcW w:w="340" w:type="dxa"/>
            <w:vAlign w:val="bottom"/>
            <w:gridSpan w:val="4"/>
          </w:tcPr>
          <w:p>
            <w:pPr>
              <w:spacing w:after="0"/>
              <w:rPr>
                <w:sz w:val="17"/>
                <w:szCs w:val="17"/>
                <w:color w:val="auto"/>
              </w:rPr>
            </w:pPr>
          </w:p>
        </w:tc>
        <w:tc>
          <w:tcPr>
            <w:tcW w:w="1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194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0"/>
        </w:trPr>
        <w:tc>
          <w:tcPr>
            <w:tcW w:w="4500" w:type="dxa"/>
            <w:vAlign w:val="bottom"/>
            <w:gridSpan w:val="17"/>
            <w:vMerge w:val="restart"/>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Directors, Executive Officers and Corporate Governance</w:t>
              </w:r>
            </w:hyperlink>
          </w:p>
        </w:tc>
        <w:tc>
          <w:tcPr>
            <w:tcW w:w="15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500" w:type="dxa"/>
            <w:vAlign w:val="bottom"/>
            <w:tcBorders>
              <w:bottom w:val="single" w:sz="8" w:color="0000FF"/>
            </w:tcBorders>
            <w:gridSpan w:val="17"/>
            <w:vMerge w:val="continue"/>
          </w:tcPr>
          <w:p>
            <w:pPr>
              <w:spacing w:after="0"/>
              <w:rPr>
                <w:sz w:val="24"/>
                <w:szCs w:val="24"/>
                <w:color w:val="auto"/>
              </w:rPr>
            </w:pPr>
          </w:p>
        </w:tc>
        <w:tc>
          <w:tcPr>
            <w:tcW w:w="1560" w:type="dxa"/>
            <w:vAlign w:val="bottom"/>
            <w:gridSpan w:val="2"/>
          </w:tcPr>
          <w:p>
            <w:pPr>
              <w:spacing w:after="0"/>
              <w:rPr>
                <w:sz w:val="24"/>
                <w:szCs w:val="24"/>
                <w:color w:val="auto"/>
              </w:rPr>
            </w:pPr>
          </w:p>
        </w:tc>
        <w:tc>
          <w:tcPr>
            <w:tcW w:w="1940" w:type="dxa"/>
            <w:vAlign w:val="bottom"/>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300" w:type="dxa"/>
            <w:vAlign w:val="bottom"/>
            <w:gridSpan w:val="3"/>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
        </w:trPr>
        <w:tc>
          <w:tcPr>
            <w:tcW w:w="2000" w:type="dxa"/>
            <w:vAlign w:val="bottom"/>
            <w:gridSpan w:val="12"/>
            <w:vMerge w:val="restart"/>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Executive Compensation</w:t>
              </w:r>
            </w:hyperlink>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00" w:type="dxa"/>
            <w:vAlign w:val="bottom"/>
            <w:tcBorders>
              <w:bottom w:val="single" w:sz="8" w:color="0000FF"/>
            </w:tcBorders>
            <w:gridSpan w:val="12"/>
            <w:vMerge w:val="continue"/>
          </w:tcPr>
          <w:p>
            <w:pPr>
              <w:spacing w:after="0"/>
              <w:rPr>
                <w:sz w:val="17"/>
                <w:szCs w:val="17"/>
                <w:color w:val="auto"/>
              </w:rPr>
            </w:pPr>
          </w:p>
        </w:tc>
        <w:tc>
          <w:tcPr>
            <w:tcW w:w="11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spacing w:after="0"/>
              <w:rPr>
                <w:sz w:val="17"/>
                <w:szCs w:val="17"/>
                <w:color w:val="auto"/>
              </w:rPr>
            </w:pPr>
          </w:p>
        </w:tc>
        <w:tc>
          <w:tcPr>
            <w:tcW w:w="194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
        </w:trPr>
        <w:tc>
          <w:tcPr>
            <w:tcW w:w="8000" w:type="dxa"/>
            <w:vAlign w:val="bottom"/>
            <w:gridSpan w:val="22"/>
            <w:vMerge w:val="restart"/>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Security Ownership of Certain Beneficial Owners and Management and Related Stockholder Matters</w:t>
              </w:r>
            </w:hyperlink>
          </w:p>
        </w:tc>
        <w:tc>
          <w:tcPr>
            <w:tcW w:w="6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000" w:type="dxa"/>
            <w:vAlign w:val="bottom"/>
            <w:tcBorders>
              <w:bottom w:val="single" w:sz="8" w:color="0000FF"/>
            </w:tcBorders>
            <w:gridSpan w:val="22"/>
            <w:vMerge w:val="continue"/>
          </w:tcPr>
          <w:p>
            <w:pPr>
              <w:spacing w:after="0"/>
              <w:rPr>
                <w:sz w:val="17"/>
                <w:szCs w:val="17"/>
                <w:color w:val="auto"/>
              </w:rPr>
            </w:pPr>
          </w:p>
        </w:tc>
        <w:tc>
          <w:tcPr>
            <w:tcW w:w="640" w:type="dxa"/>
            <w:vAlign w:val="bottom"/>
            <w:gridSpan w:val="2"/>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
        </w:trPr>
        <w:tc>
          <w:tcPr>
            <w:tcW w:w="6060" w:type="dxa"/>
            <w:vAlign w:val="bottom"/>
            <w:gridSpan w:val="19"/>
            <w:vMerge w:val="restart"/>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Certain Relationships and Related Transactions, and Director Independence</w:t>
              </w:r>
            </w:hyperlink>
          </w:p>
        </w:tc>
        <w:tc>
          <w:tcPr>
            <w:tcW w:w="2580" w:type="dxa"/>
            <w:vAlign w:val="bottom"/>
            <w:gridSpan w:val="5"/>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tcBorders>
              <w:bottom w:val="single" w:sz="8" w:color="0000FF"/>
            </w:tcBorders>
            <w:gridSpan w:val="19"/>
            <w:vMerge w:val="continue"/>
          </w:tcPr>
          <w:p>
            <w:pPr>
              <w:spacing w:after="0"/>
              <w:rPr>
                <w:sz w:val="17"/>
                <w:szCs w:val="17"/>
                <w:color w:val="auto"/>
              </w:rPr>
            </w:pPr>
          </w:p>
        </w:tc>
        <w:tc>
          <w:tcPr>
            <w:tcW w:w="2580" w:type="dxa"/>
            <w:vAlign w:val="bottom"/>
            <w:gridSpan w:val="5"/>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
        </w:trPr>
        <w:tc>
          <w:tcPr>
            <w:tcW w:w="3180" w:type="dxa"/>
            <w:vAlign w:val="bottom"/>
            <w:gridSpan w:val="14"/>
            <w:vMerge w:val="restart"/>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Principal Accountant Fees and Services</w:t>
              </w:r>
            </w:hyperlink>
          </w:p>
        </w:tc>
        <w:tc>
          <w:tcPr>
            <w:tcW w:w="320" w:type="dxa"/>
            <w:vAlign w:val="bottom"/>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80" w:type="dxa"/>
            <w:vAlign w:val="bottom"/>
            <w:tcBorders>
              <w:bottom w:val="single" w:sz="8" w:color="0000FF"/>
            </w:tcBorders>
            <w:gridSpan w:val="14"/>
            <w:vMerge w:val="continue"/>
          </w:tcPr>
          <w:p>
            <w:pPr>
              <w:spacing w:after="0"/>
              <w:rPr>
                <w:sz w:val="17"/>
                <w:szCs w:val="17"/>
                <w:color w:val="auto"/>
              </w:rPr>
            </w:pPr>
          </w:p>
        </w:tc>
        <w:tc>
          <w:tcPr>
            <w:tcW w:w="320" w:type="dxa"/>
            <w:vAlign w:val="bottom"/>
          </w:tcPr>
          <w:p>
            <w:pPr>
              <w:spacing w:after="0"/>
              <w:rPr>
                <w:sz w:val="17"/>
                <w:szCs w:val="17"/>
                <w:color w:val="auto"/>
              </w:rPr>
            </w:pPr>
          </w:p>
        </w:tc>
        <w:tc>
          <w:tcPr>
            <w:tcW w:w="5140" w:type="dxa"/>
            <w:vAlign w:val="bottom"/>
            <w:gridSpan w:val="9"/>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
        </w:trPr>
        <w:tc>
          <w:tcPr>
            <w:tcW w:w="3500" w:type="dxa"/>
            <w:vAlign w:val="bottom"/>
            <w:gridSpan w:val="15"/>
            <w:vMerge w:val="restart"/>
          </w:tcPr>
          <w:p>
            <w:pPr>
              <w:spacing w:after="0"/>
              <w:rPr>
                <w:rFonts w:ascii="Arial" w:cs="Arial" w:eastAsia="Arial" w:hAnsi="Arial"/>
                <w:sz w:val="18"/>
                <w:szCs w:val="18"/>
                <w:color w:val="0000FF"/>
                <w:w w:val="99"/>
              </w:rPr>
            </w:pPr>
            <w:hyperlink w:anchor="page92">
              <w:r>
                <w:rPr>
                  <w:rFonts w:ascii="Arial" w:cs="Arial" w:eastAsia="Arial" w:hAnsi="Arial"/>
                  <w:sz w:val="18"/>
                  <w:szCs w:val="18"/>
                  <w:color w:val="0000FF"/>
                  <w:w w:val="99"/>
                </w:rPr>
                <w:t>Exhibits and Financial Statement Schedules</w:t>
              </w:r>
            </w:hyperlink>
          </w:p>
        </w:tc>
        <w:tc>
          <w:tcPr>
            <w:tcW w:w="5140" w:type="dxa"/>
            <w:vAlign w:val="bottom"/>
            <w:gridSpan w:val="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500" w:type="dxa"/>
            <w:vAlign w:val="bottom"/>
            <w:tcBorders>
              <w:bottom w:val="single" w:sz="8" w:color="0000FF"/>
            </w:tcBorders>
            <w:gridSpan w:val="15"/>
            <w:vMerge w:val="continue"/>
          </w:tcPr>
          <w:p>
            <w:pPr>
              <w:spacing w:after="0"/>
              <w:rPr>
                <w:sz w:val="24"/>
                <w:szCs w:val="24"/>
                <w:color w:val="auto"/>
              </w:rPr>
            </w:pPr>
          </w:p>
        </w:tc>
        <w:tc>
          <w:tcPr>
            <w:tcW w:w="5140" w:type="dxa"/>
            <w:vAlign w:val="bottom"/>
            <w:gridSpan w:val="9"/>
          </w:tcPr>
          <w:p>
            <w:pPr>
              <w:spacing w:after="0"/>
              <w:rPr>
                <w:sz w:val="24"/>
                <w:szCs w:val="24"/>
                <w:color w:val="auto"/>
              </w:rPr>
            </w:pPr>
          </w:p>
        </w:tc>
        <w:tc>
          <w:tcPr>
            <w:tcW w:w="300" w:type="dxa"/>
            <w:vAlign w:val="bottom"/>
            <w:gridSpan w:val="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1660" w:type="dxa"/>
            <w:vAlign w:val="bottom"/>
            <w:gridSpan w:val="8"/>
            <w:vMerge w:val="restart"/>
          </w:tcPr>
          <w:p>
            <w:pPr>
              <w:spacing w:after="0"/>
              <w:rPr>
                <w:rFonts w:ascii="Arial" w:cs="Arial" w:eastAsia="Arial" w:hAnsi="Arial"/>
                <w:sz w:val="18"/>
                <w:szCs w:val="18"/>
                <w:color w:val="0000FF"/>
                <w:w w:val="98"/>
              </w:rPr>
            </w:pPr>
            <w:hyperlink w:anchor="page92">
              <w:r>
                <w:rPr>
                  <w:rFonts w:ascii="Arial" w:cs="Arial" w:eastAsia="Arial" w:hAnsi="Arial"/>
                  <w:sz w:val="18"/>
                  <w:szCs w:val="18"/>
                  <w:color w:val="0000FF"/>
                  <w:w w:val="98"/>
                </w:rPr>
                <w:t>Form 10-K Summary</w:t>
              </w:r>
            </w:hyperlink>
          </w:p>
        </w:tc>
        <w:tc>
          <w:tcPr>
            <w:tcW w:w="6980" w:type="dxa"/>
            <w:vAlign w:val="bottom"/>
            <w:gridSpan w:val="16"/>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60" w:type="dxa"/>
            <w:vAlign w:val="bottom"/>
            <w:tcBorders>
              <w:bottom w:val="single" w:sz="8" w:color="0000FF"/>
            </w:tcBorders>
            <w:gridSpan w:val="8"/>
            <w:vMerge w:val="continue"/>
          </w:tcPr>
          <w:p>
            <w:pPr>
              <w:spacing w:after="0"/>
              <w:rPr>
                <w:sz w:val="17"/>
                <w:szCs w:val="17"/>
                <w:color w:val="auto"/>
              </w:rPr>
            </w:pPr>
          </w:p>
        </w:tc>
        <w:tc>
          <w:tcPr>
            <w:tcW w:w="6980" w:type="dxa"/>
            <w:vAlign w:val="bottom"/>
            <w:gridSpan w:val="16"/>
          </w:tcPr>
          <w:p>
            <w:pPr>
              <w:spacing w:after="0"/>
              <w:rPr>
                <w:sz w:val="17"/>
                <w:szCs w:val="17"/>
                <w:color w:val="auto"/>
              </w:rPr>
            </w:pPr>
          </w:p>
        </w:tc>
        <w:tc>
          <w:tcPr>
            <w:tcW w:w="300" w:type="dxa"/>
            <w:vAlign w:val="bottom"/>
            <w:gridSpan w:val="3"/>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860" w:type="dxa"/>
            <w:vAlign w:val="bottom"/>
            <w:gridSpan w:val="4"/>
          </w:tcPr>
          <w:p>
            <w:pPr>
              <w:spacing w:after="0" w:line="20" w:lineRule="exact"/>
              <w:rPr>
                <w:sz w:val="1"/>
                <w:szCs w:val="1"/>
                <w:color w:val="auto"/>
              </w:rPr>
            </w:pPr>
          </w:p>
        </w:tc>
        <w:tc>
          <w:tcPr>
            <w:tcW w:w="7780" w:type="dxa"/>
            <w:vAlign w:val="bottom"/>
            <w:gridSpan w:val="20"/>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123">
              <w:r>
                <w:rPr>
                  <w:rFonts w:ascii="Arial" w:cs="Arial" w:eastAsia="Arial" w:hAnsi="Arial"/>
                  <w:sz w:val="18"/>
                  <w:szCs w:val="18"/>
                  <w:color w:val="0000FF"/>
                  <w:w w:val="97"/>
                </w:rPr>
                <w:t>Signatures</w:t>
              </w:r>
            </w:hyperlink>
          </w:p>
        </w:tc>
        <w:tc>
          <w:tcPr>
            <w:tcW w:w="7780" w:type="dxa"/>
            <w:vAlign w:val="bottom"/>
            <w:gridSpan w:val="20"/>
          </w:tcPr>
          <w:p>
            <w:pPr>
              <w:spacing w:after="0"/>
              <w:rPr>
                <w:sz w:val="24"/>
                <w:szCs w:val="24"/>
                <w:color w:val="auto"/>
              </w:rPr>
            </w:pPr>
          </w:p>
        </w:tc>
        <w:tc>
          <w:tcPr>
            <w:tcW w:w="30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23">
              <w:r>
                <w:rPr>
                  <w:rFonts w:ascii="Arial" w:cs="Arial" w:eastAsia="Arial" w:hAnsi="Arial"/>
                  <w:sz w:val="18"/>
                  <w:szCs w:val="18"/>
                  <w:color w:val="0000FF"/>
                  <w:w w:val="93"/>
                </w:rPr>
                <w:t>121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1491615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640"/>
            <w:col w:w="9480"/>
          </w:cols>
          <w:pgMar w:left="340" w:top="886" w:right="7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Annual Report on Form 10-K, or this Annual Report,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23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"potentially," "estimate," "continue," "anticipate," "intend," "could," "would," "project," "plan," "expect," "seek," and similar expressions that convey uncertainty of future events or outcomes, are intended to identify forward-looking statements.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use our trademarks in this Annual Report as well as trademarks, tradenames and service marks that are the property of other organizations. Solely for convenience, certain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45" w:lineRule="exact"/>
        <w:rPr>
          <w:sz w:val="20"/>
          <w:szCs w:val="20"/>
          <w:color w:val="auto"/>
        </w:rPr>
      </w:pPr>
    </w:p>
    <w:p>
      <w:pPr>
        <w:ind w:right="40"/>
        <w:spacing w:after="0" w:line="190"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SIMPONI ARIA</w:t>
      </w:r>
      <w:r>
        <w:rPr>
          <w:rFonts w:ascii="Arial" w:cs="Arial" w:eastAsia="Arial" w:hAnsi="Arial"/>
          <w:sz w:val="28"/>
          <w:szCs w:val="28"/>
          <w:color w:val="auto"/>
          <w:vertAlign w:val="superscript"/>
        </w:rPr>
        <w:t>®</w:t>
      </w:r>
      <w:r>
        <w:rPr>
          <w:rFonts w:ascii="Arial" w:cs="Arial" w:eastAsia="Arial" w:hAnsi="Arial"/>
          <w:sz w:val="18"/>
          <w:szCs w:val="18"/>
          <w:color w:val="auto"/>
        </w:rPr>
        <w:t>, an intravenous formulation, were approximately $1.2 billion in 2019, of which we estimate approximately 50% was from sales of SIMPONI</w:t>
      </w:r>
      <w:r>
        <w:rPr>
          <w:rFonts w:ascii="Arial" w:cs="Arial" w:eastAsia="Arial" w:hAnsi="Arial"/>
          <w:sz w:val="28"/>
          <w:szCs w:val="28"/>
          <w:color w:val="auto"/>
          <w:vertAlign w:val="superscript"/>
        </w:rPr>
        <w:t>®</w:t>
      </w:r>
      <w:r>
        <w:rPr>
          <w:rFonts w:ascii="Arial" w:cs="Arial" w:eastAsia="Arial" w:hAnsi="Arial"/>
          <w:sz w:val="18"/>
          <w:szCs w:val="18"/>
          <w:color w:val="auto"/>
        </w:rPr>
        <w:t>. We began direct 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January 2019 and expanded our salesforce from 31 representatives as of December 31, 2018 to 50 representatives as of December 31,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28"/>
          <w:szCs w:val="28"/>
          <w:color w:val="auto"/>
          <w:vertAlign w:val="superscript"/>
        </w:rPr>
        <w:t>®</w:t>
      </w:r>
      <w:r>
        <w:rPr>
          <w:rFonts w:ascii="Arial" w:cs="Arial" w:eastAsia="Arial" w:hAnsi="Arial"/>
          <w:sz w:val="18"/>
          <w:szCs w:val="18"/>
          <w:color w:val="auto"/>
        </w:rPr>
        <w:t>’s U.S. market share. Our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promotion efforts contributed approximately $1.5 million in incremental revenue in 2019 with our quarterly tiered promotion fee based on the incremental increase in total prescribed units above a predetermined average baseline of approximately 29,000 prescribed units per quarter.</w:t>
      </w:r>
    </w:p>
    <w:p>
      <w:pPr>
        <w:spacing w:after="0" w:line="161"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146" w:lineRule="exact"/>
        <w:rPr>
          <w:sz w:val="20"/>
          <w:szCs w:val="20"/>
          <w:color w:val="auto"/>
        </w:rPr>
      </w:pPr>
    </w:p>
    <w:p>
      <w:pPr>
        <w:spacing w:after="0" w:line="19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5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1176655</wp:posOffset>
            </wp:positionH>
            <wp:positionV relativeFrom="page">
              <wp:posOffset>680085</wp:posOffset>
            </wp:positionV>
            <wp:extent cx="5194935" cy="2940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19493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188"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leverages our proprietary CB-CAPs technology to enable the differential diagnosis SLE.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allows rheumatologists to accurately diagnose other overlapping autoimmune and autoimmune-related diseases, including RA, with the same blood sample.</w:t>
      </w:r>
    </w:p>
    <w:p>
      <w:pPr>
        <w:spacing w:after="0" w:line="143" w:lineRule="exact"/>
        <w:rPr>
          <w:sz w:val="20"/>
          <w:szCs w:val="20"/>
          <w:color w:val="auto"/>
        </w:rPr>
      </w:pPr>
    </w:p>
    <w:p>
      <w:pPr>
        <w:ind w:right="20"/>
        <w:spacing w:after="0" w:line="188" w:lineRule="auto"/>
        <w:rPr>
          <w:sz w:val="20"/>
          <w:szCs w:val="20"/>
          <w:color w:val="auto"/>
        </w:rPr>
      </w:pPr>
      <w:r>
        <w:rPr>
          <w:rFonts w:ascii="Arial" w:cs="Arial" w:eastAsia="Arial" w:hAnsi="Arial"/>
          <w:sz w:val="18"/>
          <w:szCs w:val="18"/>
          <w:color w:val="auto"/>
        </w:rPr>
        <w:t>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SLE Monitor may be utilized by patients multiple times a year throughout their lives.</w:t>
      </w:r>
    </w:p>
    <w:p>
      <w:pPr>
        <w:spacing w:after="0" w:line="143" w:lineRule="exact"/>
        <w:rPr>
          <w:sz w:val="20"/>
          <w:szCs w:val="20"/>
          <w:color w:val="auto"/>
        </w:rPr>
      </w:pPr>
    </w:p>
    <w:p>
      <w:pPr>
        <w:spacing w:after="0" w:line="190"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and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Anti-CarP.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is compatible with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Anti-CarP, which measures anti-carbamylated protein antibody, or anti-CarP, was developed by the Leiden University Medical Center, and we introduced it as a biomarker-driven RA prognostic test through a distribution agreement with Inova Diagnostics, Inc. with the goal of identifying patients prone to more severe disease.</w:t>
      </w:r>
    </w:p>
    <w:p>
      <w:pPr>
        <w:spacing w:after="0" w:line="146"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We market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in 2012 through December 31, 2019, we have delivered over 387,000 of these tests, representing a compound annual growth rate of 81%, with limited incremental investment in our commercial infrastructure. Over 105,000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tests were delivered in 2019, representing 26% growth over 2018, and the number of ordering healthcare providers in the fourth quarter of 2019 reached 1,707, representing 34% growth over the same period in 2018. In the fourth quarter of 2019, we reached 572 adopting healthcare providers, which we classify as those who had previously prescribed at least 11 diagnostic tests in the corresponding period, compared to 506 in the same period in 2018. A high percentage of adopting healthcare providers continue to order tests in subsequent quarters, including a retention rate of approximately 98% among adopting healthcare providers in the fourth quarter of 2019.</w:t>
      </w:r>
    </w:p>
    <w:p>
      <w:pPr>
        <w:spacing w:after="0" w:line="15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In addition, we continue to populate a growing proprietary database of over 384,000 de-identified patient test results. We believe the insight emerging from these results has the potential to unlock value for pharmaceutical and biotechnology companies in the commercialization of therapeutics. We believe we also have the ability to further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60"/>
        <w:spacing w:after="0"/>
        <w:rPr>
          <w:sz w:val="20"/>
          <w:szCs w:val="20"/>
          <w:color w:val="auto"/>
        </w:rPr>
      </w:pPr>
      <w:r>
        <w:rPr>
          <w:rFonts w:ascii="Arial" w:cs="Arial" w:eastAsia="Arial" w:hAnsi="Arial"/>
          <w:sz w:val="18"/>
          <w:szCs w:val="18"/>
          <w:color w:val="auto"/>
        </w:rPr>
        <w:t>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who have a history using our portfolio of testing products.</w:t>
      </w:r>
    </w:p>
    <w:p>
      <w:pPr>
        <w:spacing w:after="0" w:line="144" w:lineRule="exact"/>
        <w:rPr>
          <w:sz w:val="20"/>
          <w:szCs w:val="20"/>
          <w:color w:val="auto"/>
        </w:rPr>
      </w:pPr>
    </w:p>
    <w:p>
      <w:pPr>
        <w:ind w:right="60"/>
        <w:spacing w:after="0" w:line="190" w:lineRule="auto"/>
        <w:rPr>
          <w:sz w:val="20"/>
          <w:szCs w:val="20"/>
          <w:color w:val="auto"/>
        </w:rPr>
      </w:pPr>
      <w:r>
        <w:rPr>
          <w:rFonts w:ascii="Arial" w:cs="Arial" w:eastAsia="Arial" w:hAnsi="Arial"/>
          <w:sz w:val="18"/>
          <w:szCs w:val="18"/>
          <w:color w:val="auto"/>
        </w:rPr>
        <w:t>In December 2018, we entered into the Janssen agreement for the 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 rheumatologists, we expanded our salesforce from 31 representatives as of December 31, 2018 to 50 representatives as of December 31, 2019 and expect to continue to expand our salesforce in 2020. We also have agreements with other leading pharmaceutical companies, including GlaxoSmithKline LLC, or GSK, and Horizon Pharma USA, Inc., or Horizon Therapeutics, that leverage our testing products and the data generated from such tests. We provide GSK, a leader in lupus therapeutics, our test result data to provide market insight into and help increase awareness of the benefits of an early and accurate diagnosis of SLE. Our agreement with Horizon Therapeutics entails utilizing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an ongoing Phase 4 clinical trial. We plan to pursue additional partnerships with a focus on integrating therapeutics that are synergistic with our evolving portfolio of testing products.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a few were previously involved with successfully building Prometheus Laboratories Inc., or Prometheus, which was focused on integrating diagnostics and therapeutics, prior to its acquisition by Nestlé Health Science S.A. in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continuum of care for patients suffering from debilitating and chronic autoimmune diseases. The key tenets of our business strategy include:</w:t>
      </w:r>
    </w:p>
    <w:p>
      <w:pPr>
        <w:spacing w:after="0" w:line="13" w:lineRule="exact"/>
        <w:rPr>
          <w:sz w:val="20"/>
          <w:szCs w:val="20"/>
          <w:color w:val="auto"/>
        </w:rPr>
      </w:pPr>
    </w:p>
    <w:p>
      <w:pPr>
        <w:ind w:left="660" w:right="140" w:hanging="328"/>
        <w:spacing w:after="0" w:line="239"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additional market penetration for our testing products. </w:t>
      </w:r>
      <w:r>
        <w:rPr>
          <w:rFonts w:ascii="Arial" w:cs="Arial" w:eastAsia="Arial" w:hAnsi="Arial"/>
          <w:sz w:val="18"/>
          <w:szCs w:val="18"/>
          <w:color w:val="auto"/>
        </w:rPr>
        <w:t>Our portfolio of testing products enables the differential diagnosis,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prognosis and monitoring of complex autoimmune and autoimmune-related diseases. We have demonstrated a strong track record of commercial growth from our testing products, leveraging our specialized salesforce and expansive network of relationships with rheumatologists across the United States. We believe we are uniquely positioned to continue expanding our commercial presence within the autoimmune disease market and plan to continue to invest in our salesforce in order to achieve the optimal reach and frequency with rheumatologists. This will support our strategy of integrating the promotion of testing products and therapeutics. In addition, we will continue to expand our efforts in the targeted promotion and education of rheumatologists and payers as to the clinical and cost benefits of our testing products. We believe these efforts will position us to capture additional market share for our portfolio of testing products.</w:t>
      </w:r>
    </w:p>
    <w:p>
      <w:pPr>
        <w:spacing w:after="0" w:line="21" w:lineRule="exact"/>
        <w:rPr>
          <w:rFonts w:ascii="Arial" w:cs="Arial" w:eastAsia="Arial" w:hAnsi="Arial"/>
          <w:sz w:val="18"/>
          <w:szCs w:val="18"/>
          <w:color w:val="auto"/>
        </w:rPr>
      </w:pPr>
    </w:p>
    <w:p>
      <w:pPr>
        <w:ind w:left="660" w:right="60" w:hanging="328"/>
        <w:spacing w:after="0" w:line="233" w:lineRule="auto"/>
        <w:tabs>
          <w:tab w:leader="none" w:pos="656"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 the promotion of testing products and therapeutics for autoimmune and autoimmune-related diseases.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testing and therapeutics strategy leverages our sales and marketing efforts, targeting rheumatologists for the commercialization of our testing products to promote therapeutics. This establishes a compelling synergy compared to traditional pharmaceutical sales resulting in greater access to rheumatologists and positions us to potentially create value for pharmaceutical partners. In January 2019, we began our exclusive promotion of SIMPONI</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the United States, leveraging our integrated testing and therapeutics strategy, for the treatment of adult patients with moderate to severe RA and for other indicated rheumatic diseases.</w:t>
      </w:r>
    </w:p>
    <w:p>
      <w:pPr>
        <w:spacing w:after="0" w:line="18" w:lineRule="exact"/>
        <w:rPr>
          <w:rFonts w:ascii="Arial" w:cs="Arial" w:eastAsia="Arial" w:hAnsi="Arial"/>
          <w:sz w:val="17"/>
          <w:szCs w:val="17"/>
          <w:color w:val="auto"/>
        </w:rPr>
      </w:pPr>
    </w:p>
    <w:p>
      <w:pPr>
        <w:ind w:left="660" w:right="180" w:hanging="328"/>
        <w:spacing w:after="0" w:line="266" w:lineRule="auto"/>
        <w:tabs>
          <w:tab w:leader="none" w:pos="656"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our track record of developing innovative testing products. </w:t>
      </w:r>
      <w:r>
        <w:rPr>
          <w:rFonts w:ascii="Arial" w:cs="Arial" w:eastAsia="Arial" w:hAnsi="Arial"/>
          <w:sz w:val="17"/>
          <w:szCs w:val="17"/>
          <w:color w:val="auto"/>
        </w:rPr>
        <w:t>Since inception, we have demonstrated a strong 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of developing testing products that address the challenges in the differential diagnosis, prognosis and monitoring of patients with autoimmune and autoimmune-related diseases. We are leveraging our proprietary CB-CAPs and MTXPG technologies to develop additional testing products designed to have superior clinical utility for CTDs. We believe our commitment to</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 w:name="page8"/>
    <w:bookmarkEnd w:id="7"/>
    <w:p>
      <w:pPr>
        <w:ind w:left="660" w:right="100"/>
        <w:spacing w:after="0" w:line="246" w:lineRule="auto"/>
        <w:rPr>
          <w:sz w:val="20"/>
          <w:szCs w:val="20"/>
          <w:color w:val="auto"/>
        </w:rPr>
      </w:pPr>
      <w:r>
        <w:rPr>
          <w:rFonts w:ascii="Arial" w:cs="Arial" w:eastAsia="Arial" w:hAnsi="Arial"/>
          <w:sz w:val="18"/>
          <w:szCs w:val="18"/>
          <w:color w:val="auto"/>
        </w:rPr>
        <w:t>innovating our portfolio of testing products will further strengthen our relationships with rheumatologists and our value proposition to our existing and future pharmaceutical and biotechnology partners.</w:t>
      </w:r>
    </w:p>
    <w:p>
      <w:pPr>
        <w:spacing w:after="0" w:line="13" w:lineRule="exact"/>
        <w:rPr>
          <w:sz w:val="20"/>
          <w:szCs w:val="20"/>
          <w:color w:val="auto"/>
        </w:rPr>
      </w:pPr>
    </w:p>
    <w:p>
      <w:pPr>
        <w:ind w:left="660" w:hanging="328"/>
        <w:spacing w:after="0" w:line="244"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additional therapeutic partnerships. </w:t>
      </w:r>
      <w:r>
        <w:rPr>
          <w:rFonts w:ascii="Arial" w:cs="Arial" w:eastAsia="Arial" w:hAnsi="Arial"/>
          <w:sz w:val="18"/>
          <w:szCs w:val="18"/>
          <w:color w:val="auto"/>
        </w:rPr>
        <w:t>We believe our agreements with Janssen, and other leading 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validate our unique value proposition to pharmaceutical companies seeking a competitive edge for commercializing therapeutics for autoimmune and autoimmune-related diseases. We intend to leverage our integrated testing and therapeutics strategy to establish additional partnerships with a focus on the commercialization of therapeutics that are synergistic with our testing products.</w:t>
      </w:r>
    </w:p>
    <w:p>
      <w:pPr>
        <w:spacing w:after="0" w:line="14" w:lineRule="exact"/>
        <w:rPr>
          <w:rFonts w:ascii="Arial" w:cs="Arial" w:eastAsia="Arial" w:hAnsi="Arial"/>
          <w:sz w:val="18"/>
          <w:szCs w:val="18"/>
          <w:color w:val="auto"/>
        </w:rPr>
      </w:pPr>
    </w:p>
    <w:p>
      <w:pPr>
        <w:ind w:left="660" w:right="40" w:hanging="328"/>
        <w:spacing w:after="0"/>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Achieve meaningful margin expansion. </w:t>
      </w:r>
      <w:r>
        <w:rPr>
          <w:rFonts w:ascii="Arial" w:cs="Arial" w:eastAsia="Arial" w:hAnsi="Arial"/>
          <w:sz w:val="18"/>
          <w:szCs w:val="18"/>
          <w:color w:val="auto"/>
        </w:rPr>
        <w:t>We believe growth from the promotion of therapeutics will meaningfully improve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profile and further support our goal of achieving profitability. We also expect an increase to our gross margins in the first quarter of 2020 following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5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test, representing a total addressable market of approximately $3.7 billion, based on the current Medicare allowable reimbursement rate. We estimate the total addressable market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54"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or ANA, anti-double stranded DNA, or anti-dsDNA, and other autoantibody tests. ANA are a group of autoantibodies produced by a person’s immune system when it fails to adequately distinguish between self and non-self. The ANA test detects these autoantibodies in the blood and is a useful screening tool for SLE and other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18"/>
          <w:szCs w:val="18"/>
          <w:color w:val="auto"/>
        </w:rPr>
        <w:t>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or 32 million people, indicating a significant need for a highly-specific test for this disease.</w:t>
      </w:r>
    </w:p>
    <w:p>
      <w:pPr>
        <w:spacing w:after="0" w:line="15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150"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In March 2011, the first new biologic drug targeting treatment of SLE in over 50 years, GSK’s Benlysta</w:t>
      </w:r>
      <w:r>
        <w:rPr>
          <w:rFonts w:ascii="Arial" w:cs="Arial" w:eastAsia="Arial" w:hAnsi="Arial"/>
          <w:sz w:val="15"/>
          <w:szCs w:val="15"/>
          <w:color w:val="auto"/>
          <w:vertAlign w:val="superscript"/>
        </w:rPr>
        <w:t>®</w:t>
      </w:r>
      <w:r>
        <w:rPr>
          <w:rFonts w:ascii="Arial" w:cs="Arial" w:eastAsia="Arial" w:hAnsi="Arial"/>
          <w:sz w:val="18"/>
          <w:szCs w:val="18"/>
          <w:color w:val="auto"/>
        </w:rPr>
        <w:t>, was approved by the U.S. Food and Drug Administration, or the FDA. It is the only approved biologic for the treatment of SLE. Since its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in order to better identify sub-populations of SLE patients for targeted therapies.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18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75,000 and 1.75 million, respectively. Patients suffering from RA develop joint damage that is associated with painful inflammation which often progresses to irreversible damage of 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15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 w:name="page10"/>
    <w:bookmarkEnd w:id="9"/>
    <w:p>
      <w:pPr>
        <w:ind w:right="160"/>
        <w:spacing w:after="0" w:line="214"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15"/>
          <w:szCs w:val="15"/>
          <w:color w:val="auto"/>
          <w:vertAlign w:val="superscript"/>
        </w:rPr>
        <w:t>®</w:t>
      </w:r>
      <w:r>
        <w:rPr>
          <w:rFonts w:ascii="Arial" w:cs="Arial" w:eastAsia="Arial" w:hAnsi="Arial"/>
          <w:sz w:val="18"/>
          <w:szCs w:val="18"/>
          <w:color w:val="auto"/>
        </w:rPr>
        <w:t xml:space="preserve"> was approved for RA in 1998 and the latest, SIMPONI</w:t>
      </w:r>
      <w:r>
        <w:rPr>
          <w:rFonts w:ascii="Arial" w:cs="Arial" w:eastAsia="Arial" w:hAnsi="Arial"/>
          <w:sz w:val="28"/>
          <w:szCs w:val="28"/>
          <w:color w:val="auto"/>
          <w:vertAlign w:val="superscript"/>
        </w:rPr>
        <w:t>®</w:t>
      </w:r>
      <w:r>
        <w:rPr>
          <w:rFonts w:ascii="Arial" w:cs="Arial" w:eastAsia="Arial" w:hAnsi="Arial"/>
          <w:sz w:val="18"/>
          <w:szCs w:val="18"/>
          <w:color w:val="auto"/>
        </w:rPr>
        <w:t>, was approved in 2009. The anti-TNFs dominate the therapy for RA and generally are the first biologics chosen to augment methotrexate when patients are not achieving a satisfactory response.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right="40"/>
        <w:spacing w:after="0" w:line="192"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focus on leveraging our portfolio of testing products to promote therapeutics through our sales channel targeting the approximately 5,000 rheumatologists across the United States. In December 2018, we entered into the Janssen agreement to exclusively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In January 2019, we began direct 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with our specialized salesforce.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hematopoietic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MTXPGs</w:t>
      </w:r>
    </w:p>
    <w:p>
      <w:pPr>
        <w:spacing w:after="0" w:line="1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Products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spacing w:after="0" w:line="209" w:lineRule="auto"/>
        <w:rPr>
          <w:sz w:val="20"/>
          <w:szCs w:val="20"/>
          <w:color w:val="auto"/>
        </w:rPr>
      </w:pPr>
      <w:r>
        <w:rPr>
          <w:rFonts w:ascii="Arial" w:cs="Arial" w:eastAsia="Arial" w:hAnsi="Arial"/>
          <w:sz w:val="18"/>
          <w:szCs w:val="18"/>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to be approximately $5 billion, based on estimated patient populations, the current Medicare allowable reimbursement rate and testing frequencies.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CTD</w:t>
      </w:r>
    </w:p>
    <w:p>
      <w:pPr>
        <w:spacing w:after="0" w:line="43"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enables testing for a series of biomarkers (21 as of December 31, 2019)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evaluation process more efficient and accurate. The clinical performance of our proprietary biomarkers and the convenience of a single blood draw make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an attractive choice among rheumatologists.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Lupus</w:t>
      </w:r>
    </w:p>
    <w:p>
      <w:pPr>
        <w:spacing w:after="0" w:line="43" w:lineRule="exact"/>
        <w:rPr>
          <w:sz w:val="20"/>
          <w:szCs w:val="20"/>
          <w:color w:val="auto"/>
        </w:rPr>
      </w:pPr>
    </w:p>
    <w:p>
      <w:pPr>
        <w:ind w:right="40"/>
        <w:spacing w:after="0" w:line="182" w:lineRule="auto"/>
        <w:rPr>
          <w:sz w:val="20"/>
          <w:szCs w:val="20"/>
          <w:color w:val="auto"/>
        </w:rPr>
      </w:pPr>
      <w:r>
        <w:rPr>
          <w:rFonts w:ascii="Arial" w:cs="Arial" w:eastAsia="Arial" w:hAnsi="Arial"/>
          <w:sz w:val="17"/>
          <w:szCs w:val="17"/>
          <w:color w:val="auto"/>
        </w:rPr>
        <w:t>The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Lupus test employs our proprietary CB-CAPs technology and is the cornerstone of the SLE assessment within our more comprehensive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CTD testing product.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CTD test or the more focused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Lupus test based on medical necessity, which is determined by each patient’s symptoms and medical history.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APS</w:t>
      </w:r>
    </w:p>
    <w:p>
      <w:pPr>
        <w:spacing w:after="0" w:line="43" w:lineRule="exact"/>
        <w:rPr>
          <w:sz w:val="20"/>
          <w:szCs w:val="20"/>
          <w:color w:val="auto"/>
        </w:rPr>
      </w:pPr>
    </w:p>
    <w:p>
      <w:pPr>
        <w:ind w:right="20"/>
        <w:spacing w:after="0" w:line="188"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APS consists of a specialized panel of eight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or in the management of patients experiencing a high-risk pregnancy.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Prognosis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SLE Prognostic</w:t>
      </w:r>
    </w:p>
    <w:p>
      <w:pPr>
        <w:spacing w:after="0" w:line="43" w:lineRule="exact"/>
        <w:rPr>
          <w:sz w:val="20"/>
          <w:szCs w:val="20"/>
          <w:color w:val="auto"/>
        </w:rPr>
      </w:pPr>
    </w:p>
    <w:p>
      <w:pPr>
        <w:jc w:val="both"/>
        <w:ind w:right="360"/>
        <w:spacing w:after="0" w:line="215"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SLE Prognostic is a ten-biomarker panel of autoantibodies that have established predictive value for assessing the potential for complications affecting the kidney, brain and cardiovascular system, including lupus nephritis, lupus psychosis, strokes and heart attacks related to lupus. Rheumatologists rely on insights from the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SLE Prognostic test to help tailor their treatment approach.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-88900</wp:posOffset>
            </wp:positionV>
            <wp:extent cx="527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23" w:lineRule="exact"/>
        <w:rPr>
          <w:sz w:val="20"/>
          <w:szCs w:val="20"/>
          <w:color w:val="auto"/>
        </w:rPr>
      </w:pPr>
    </w:p>
    <w:p>
      <w:pPr>
        <w:ind w:right="160"/>
        <w:spacing w:after="0" w:line="222" w:lineRule="auto"/>
        <w:rPr>
          <w:sz w:val="20"/>
          <w:szCs w:val="20"/>
          <w:color w:val="auto"/>
        </w:rPr>
      </w:pPr>
      <w:r>
        <w:rPr>
          <w:rFonts w:ascii="Arial" w:cs="Arial" w:eastAsia="Arial" w:hAnsi="Arial"/>
          <w:sz w:val="17"/>
          <w:szCs w:val="17"/>
          <w:color w:val="auto"/>
        </w:rPr>
        <w:t>We were the first commercial laboratory to make testing for anti-CarP available in the United States with the introduction of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permanent joint damage</w:t>
      </w:r>
      <w:r>
        <w:rPr>
          <w:rFonts w:ascii="Arial" w:cs="Arial" w:eastAsia="Arial" w:hAnsi="Arial"/>
          <w:sz w:val="21"/>
          <w:szCs w:val="21"/>
          <w:b w:val="1"/>
          <w:bCs w:val="1"/>
          <w:i w:val="1"/>
          <w:iCs w:val="1"/>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PC4d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1" w:name="page12"/>
    <w:bookmarkEnd w:id="11"/>
    <w:p>
      <w:pPr>
        <w:ind w:right="80"/>
        <w:spacing w:after="0" w:line="195"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PC4d is one of our newest offerings, which reflects over 10 years of research efforts and employs our proprietary CB-CAPs technology. This proprietary CB-CAP biomarker measures platelet- 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PC4d promises to be a valuable tool for SLE disease monitoring.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SLE Monitor</w:t>
      </w:r>
    </w:p>
    <w:p>
      <w:pPr>
        <w:spacing w:after="0" w:line="43" w:lineRule="exact"/>
        <w:rPr>
          <w:sz w:val="20"/>
          <w:szCs w:val="20"/>
          <w:color w:val="auto"/>
        </w:rPr>
      </w:pPr>
    </w:p>
    <w:p>
      <w:pPr>
        <w:spacing w:after="0" w:line="201" w:lineRule="auto"/>
        <w:rPr>
          <w:sz w:val="20"/>
          <w:szCs w:val="20"/>
          <w:color w:val="auto"/>
        </w:rPr>
      </w:pPr>
      <w:r>
        <w:rPr>
          <w:rFonts w:ascii="Arial" w:cs="Arial" w:eastAsia="Arial" w:hAnsi="Arial"/>
          <w:sz w:val="17"/>
          <w:szCs w:val="17"/>
          <w:color w:val="auto"/>
        </w:rPr>
        <w:t>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SLE Monitor is a six-biomarker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over 70% of healthcare providers are unaware of this bias.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SLE Monitor demonstrates correlation to SLE disease activity and is therefore designed to enable rheumatologists to effectively assess and optimize therapeutic intervention in patients diagnosed with SLE. Depending on disease severity, our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SLE Monitor testing product may be utilized by patients multiple times a year and throughout their lives. We believe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SLE Monitor will play an increasingly important role in the management of SLE patients and further solidify the role and relationship of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testing products for these patients.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MTX</w:t>
      </w:r>
    </w:p>
    <w:p>
      <w:pPr>
        <w:spacing w:after="0" w:line="43"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is a patented and validated blood test that precisely measures levels of MTXPG, the active form of methotrexate, in the patient’s blood. There is large variability in the way patients absorb and metabolize methotrexate, leaving rheumatologists unsure of what steps to take when a patient has an inadequate response. Methotrexate is the most widely prescribed drug by rheumatologists in the treatment of RA.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The rheumatologists can then make informed therapeutic decisions to optimize methotrexate therapy and give patients their best chance at achieving an optimal response.</w:t>
      </w:r>
    </w:p>
    <w:p>
      <w:pPr>
        <w:spacing w:after="0" w:line="148" w:lineRule="exact"/>
        <w:rPr>
          <w:sz w:val="20"/>
          <w:szCs w:val="20"/>
          <w:color w:val="auto"/>
        </w:rPr>
      </w:pPr>
    </w:p>
    <w:p>
      <w:pPr>
        <w:spacing w:after="0" w:line="188"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is compatible with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28"/>
          <w:szCs w:val="28"/>
          <w:u w:val="single" w:color="auto"/>
          <w:color w:val="auto"/>
          <w:vertAlign w:val="superscript"/>
        </w:rPr>
        <w:t>®</w:t>
      </w:r>
      <w:r>
        <w:rPr>
          <w:rFonts w:ascii="Arial" w:cs="Arial" w:eastAsia="Arial" w:hAnsi="Arial"/>
          <w:sz w:val="18"/>
          <w:szCs w:val="18"/>
          <w:u w:val="single" w:color="auto"/>
          <w:color w:val="auto"/>
        </w:rPr>
        <w:t xml:space="preserve"> HCQ</w:t>
      </w:r>
    </w:p>
    <w:p>
      <w:pPr>
        <w:spacing w:after="0" w:line="4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payers, to adopt an approach that optimizes a generic drug before advancing to a costlier alternative.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HCQ is also compatible with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Touch.</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Reports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bookmarkStart w:id="12" w:name="page13"/>
    <w:bookmarkEnd w:id="12"/>
    <w:p>
      <w:pPr>
        <w:spacing w:after="0" w:line="206" w:lineRule="auto"/>
        <w:rPr>
          <w:sz w:val="20"/>
          <w:szCs w:val="20"/>
          <w:color w:val="auto"/>
        </w:rPr>
      </w:pPr>
      <w:r>
        <w:rPr>
          <w:rFonts w:ascii="Arial" w:cs="Arial" w:eastAsia="Arial" w:hAnsi="Arial"/>
          <w:sz w:val="17"/>
          <w:szCs w:val="17"/>
          <w:color w:val="auto"/>
        </w:rPr>
        <w:t>We provide the results of our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portion of the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CTD report displays a gradient illustrating the likelihood of the presence of lupus, which facilitates interpretation and discussion of the result with the patient versus only reporting a numerical value. In addition, all biomarker results for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CTD are reported and organized by disease state, providing clarity and convenience for the rheumatologists. A sample of the full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CTD report is shown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28"/>
          <w:szCs w:val="28"/>
          <w:b w:val="1"/>
          <w:bCs w:val="1"/>
          <w:color w:val="auto"/>
          <w:vertAlign w:val="superscript"/>
        </w:rPr>
        <w:t>®</w:t>
      </w:r>
      <w:r>
        <w:rPr>
          <w:rFonts w:ascii="Arial" w:cs="Arial" w:eastAsia="Arial" w:hAnsi="Arial"/>
          <w:sz w:val="18"/>
          <w:szCs w:val="18"/>
          <w:b w:val="1"/>
          <w:bCs w:val="1"/>
          <w:color w:val="auto"/>
        </w:rPr>
        <w:t xml:space="preserve"> CTD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5"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962660</wp:posOffset>
            </wp:positionH>
            <wp:positionV relativeFrom="page">
              <wp:posOffset>680720</wp:posOffset>
            </wp:positionV>
            <wp:extent cx="5623560" cy="7260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623560" cy="726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Therapeutics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5" w:name="page16"/>
    <w:bookmarkEnd w:id="15"/>
    <w:p>
      <w:pPr>
        <w:ind w:right="120"/>
        <w:spacing w:after="0" w:line="189" w:lineRule="auto"/>
        <w:rPr>
          <w:sz w:val="20"/>
          <w:szCs w:val="20"/>
          <w:color w:val="auto"/>
        </w:rPr>
      </w:pPr>
      <w:r>
        <w:rPr>
          <w:rFonts w:ascii="Arial" w:cs="Arial" w:eastAsia="Arial" w:hAnsi="Arial"/>
          <w:sz w:val="18"/>
          <w:szCs w:val="18"/>
          <w:color w:val="auto"/>
        </w:rPr>
        <w:t>In December 2018, we entered into the Janssen agreement to exclusively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Combined U.S. sales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SIMPONI 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were approximately $1.2 billion in 2019, of which we estimate approximately 50% was from sales of SIMPONI</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9" w:lineRule="exact"/>
        <w:rPr>
          <w:sz w:val="20"/>
          <w:szCs w:val="20"/>
          <w:color w:val="auto"/>
        </w:rPr>
      </w:pPr>
    </w:p>
    <w:p>
      <w:pPr>
        <w:ind w:right="260"/>
        <w:spacing w:after="0" w:line="229" w:lineRule="auto"/>
        <w:rPr>
          <w:sz w:val="20"/>
          <w:szCs w:val="20"/>
          <w:color w:val="auto"/>
        </w:rPr>
      </w:pPr>
      <w:r>
        <w:rPr>
          <w:rFonts w:ascii="Arial" w:cs="Arial" w:eastAsia="Arial" w:hAnsi="Arial"/>
          <w:sz w:val="17"/>
          <w:szCs w:val="17"/>
          <w:color w:val="auto"/>
        </w:rPr>
        <w:t>We began direct promotion of SIMPONI</w:t>
      </w:r>
      <w:r>
        <w:rPr>
          <w:rFonts w:ascii="Arial" w:cs="Arial" w:eastAsia="Arial" w:hAnsi="Arial"/>
          <w:sz w:val="27"/>
          <w:szCs w:val="27"/>
          <w:color w:val="auto"/>
          <w:vertAlign w:val="superscript"/>
        </w:rPr>
        <w:t>®</w:t>
      </w:r>
      <w:r>
        <w:rPr>
          <w:rFonts w:ascii="Arial" w:cs="Arial" w:eastAsia="Arial" w:hAnsi="Arial"/>
          <w:sz w:val="17"/>
          <w:szCs w:val="17"/>
          <w:color w:val="auto"/>
        </w:rPr>
        <w:t xml:space="preserve"> to rheumatologists with our specialized salesforce in January 2019 and expanded our salesforce from 31 representatives as of December 31, 2018 to 50 representatives as of December 31, 2019 and expect to continue to expand our salesforce in 2020. We believe our salesforce allows us to reach our target of the top 5,000 rheumatologists in the United States. Additionally, we believe that educating providers regarding SIMPONI</w:t>
      </w:r>
      <w:r>
        <w:rPr>
          <w:rFonts w:ascii="Arial" w:cs="Arial" w:eastAsia="Arial" w:hAnsi="Arial"/>
          <w:sz w:val="27"/>
          <w:szCs w:val="27"/>
          <w:color w:val="auto"/>
          <w:vertAlign w:val="superscript"/>
        </w:rPr>
        <w:t>®</w:t>
      </w:r>
      <w:r>
        <w:rPr>
          <w:rFonts w:ascii="Arial" w:cs="Arial" w:eastAsia="Arial" w:hAnsi="Arial"/>
          <w:sz w:val="17"/>
          <w:szCs w:val="17"/>
          <w:color w:val="auto"/>
        </w:rPr>
        <w:t xml:space="preserve"> has and will continue to facilitate greater acceptance of SIMPONI</w:t>
      </w:r>
      <w:r>
        <w:rPr>
          <w:rFonts w:ascii="Arial" w:cs="Arial" w:eastAsia="Arial" w:hAnsi="Arial"/>
          <w:sz w:val="27"/>
          <w:szCs w:val="27"/>
          <w:color w:val="auto"/>
          <w:vertAlign w:val="superscript"/>
        </w:rPr>
        <w:t>®</w:t>
      </w:r>
      <w:r>
        <w:rPr>
          <w:rFonts w:ascii="Arial" w:cs="Arial" w:eastAsia="Arial" w:hAnsi="Arial"/>
          <w:sz w:val="17"/>
          <w:szCs w:val="17"/>
          <w:color w:val="auto"/>
        </w:rPr>
        <w:t>.</w:t>
      </w:r>
    </w:p>
    <w:p>
      <w:pPr>
        <w:spacing w:after="0" w:line="6" w:lineRule="exact"/>
        <w:rPr>
          <w:sz w:val="20"/>
          <w:szCs w:val="20"/>
          <w:color w:val="auto"/>
        </w:rPr>
      </w:pPr>
    </w:p>
    <w:p>
      <w:pPr>
        <w:ind w:right="20"/>
        <w:spacing w:after="0" w:line="183" w:lineRule="auto"/>
        <w:rPr>
          <w:sz w:val="20"/>
          <w:szCs w:val="20"/>
          <w:color w:val="auto"/>
        </w:rPr>
      </w:pPr>
      <w:r>
        <w:rPr>
          <w:rFonts w:ascii="Arial" w:cs="Arial" w:eastAsia="Arial" w:hAnsi="Arial"/>
          <w:sz w:val="18"/>
          <w:szCs w:val="18"/>
          <w:color w:val="auto"/>
        </w:rPr>
        <w:t>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 can identify methotrexate patients with inadequate methotrexate exposure who are potential candidates for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therapy.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Anti-CarP test can identify RA patients with more severe disease requiring more aggressive therapy, such as anti-TNF biologics like SIMPONI</w:t>
      </w:r>
      <w:r>
        <w:rPr>
          <w:rFonts w:ascii="Arial" w:cs="Arial" w:eastAsia="Arial" w:hAnsi="Arial"/>
          <w:sz w:val="28"/>
          <w:szCs w:val="28"/>
          <w:color w:val="auto"/>
          <w:vertAlign w:val="superscript"/>
        </w:rPr>
        <w:t>®</w:t>
      </w:r>
      <w:r>
        <w:rPr>
          <w:rFonts w:ascii="Arial" w:cs="Arial" w:eastAsia="Arial" w:hAnsi="Arial"/>
          <w:sz w:val="18"/>
          <w:szCs w:val="18"/>
          <w:color w:val="auto"/>
        </w:rPr>
        <w:t>. We believe our strategy of integrating the promotion of testing products and therapeutics, combined with our specialized salesforce, uniquely position us to expand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’s U.S. market share. We will receive a quarterly tiered promotion fee ranging from $ 750 to $1,250 per prescription based on incremental total prescribed units above a predetermined average baseline of approximately 29,000 prescribed units per quarter for an initial term of 18 months. We estimate the total U.S. addressable market for SIMPONI’s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approved indications, including RA, psoriatic arthritis and ankylosing spondylitis, to be approximately $28 billion. Based on this estimated market size, each incremental 1% of U.S. market share we are able to capture for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above the predetermined baseline of 29,000 prescribed units per quarter could result in incremental revenue to us of up to $84 million. We recognized co-promotional revenue of approximately $1.5 million during the year ended December 31, 2019 and expect to continue to recognize revenue as we perform co-promotional services based on the number of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over the predetermined baseline. For more information regarding the Janssen agreement, see “—Agreements with Pharmaceutical Companies.”</w:t>
      </w:r>
    </w:p>
    <w:p>
      <w:pPr>
        <w:spacing w:after="0" w:line="15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recent years, advancements in the understanding of the autoimmune and autoimmune-related disease process have led to a significant number of novel biologic drugs and drug development initiatives, especially in RA and SLE, and we intend to leverage our integrated testing and therapeutics strategy to establish additional partnerships with a focus on the commercialization of therapeutics that are synergistic with our testing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8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December 2019, we formed a Scientific Advisory Board consisting of national experts in the clinical management of rheumatic autoimmune diseases including RA and lupus to help guide the organization’s leadership team on the design and execution of research projects as well as weigh-in on known and anticipated advances in technologies affecting clinical management of autoimmune diseases. 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We plan to initiate proof of concept studies to develop alternatives to biopsy in the monitoring of transplant rejection and the differential diagnosis of fibromyalgia in the primary care physician setting. In addition, we are developing a panel of assays that we believe may have high prognostic value in patients with RA, Sjögren’s, fibromyalgia and autoimmune thyroid, and we continue to evaluate the use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Touch and microfluidics for our broader portfolio of testing products to increase convenience and cost-effectiveness.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specialized salesforce is focused on targeting the approximately 5,000 rheumatologists across the United States. Our sales representatives generally have extensive experience in healthcare sales 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6" w:name="page17"/>
    <w:bookmarkEnd w:id="16"/>
    <w:p>
      <w:pPr>
        <w:ind w:right="260"/>
        <w:spacing w:after="0" w:line="236" w:lineRule="auto"/>
        <w:rPr>
          <w:sz w:val="20"/>
          <w:szCs w:val="20"/>
          <w:color w:val="auto"/>
        </w:rPr>
      </w:pPr>
      <w:r>
        <w:rPr>
          <w:rFonts w:ascii="Arial" w:cs="Arial" w:eastAsia="Arial" w:hAnsi="Arial"/>
          <w:sz w:val="18"/>
          <w:szCs w:val="18"/>
          <w:color w:val="auto"/>
        </w:rPr>
        <w:t>Our sales model involves integrating the promotion of testing products and therapeutics in a unique approach that will enable our sales representatives to gain greater access and time with rheumatologists. The test information available to our sales representatives creates a different dynamic as compared to a traditional drug sales representative’s product detail. It enables a timely, extended, patient-focused discussion that naturally transitions to a therapeutic discussion during the same sales call. Our goal is for our sales representative to be viewed as a collaborative consultant versus a traditional drug sales representative. We intend to capitalize on our established reputation, market presence and expertise to sell additional products and services into the autoimmune and autoimmune-related disease market. We believe that a collaborative relationship with rheumatologists helps build a lasting sales channel through which additional products and services can be introduced.</w:t>
      </w:r>
    </w:p>
    <w:p>
      <w:pPr>
        <w:spacing w:after="0" w:line="15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As of December 31, 2019, our overall sales team consisted of approximately 60 members, including 50 sales representatives, six regional sales directors, one vice president, one senior vice president and two managed care professionals. In connection with the 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we expanded the number of sales representatives from 31 representatives as of December 31, 2018 to 50 representatives as of December 31, 2019, who are managed by a team of six regional sales directors. We expect to continue to expand our salesforce by up to approximately 25 additional representatives in 2020. Our increased salesforce allows for expansion into markets not previously covered by us. In addition, this salesforce expansion is expected to significantly increase the number of sales calls made per year, helping us to cultivate a strong collaborative relationship with rheumatologists through increased interactions. To further support our promotional efforts, we have a centralized, dedicated client services department with a high level of technical training that augments our specialized salesforce and marketing activities and enhances sales efficiency and customer satisfaction by providing personalized customer support. We believe our salesforce allows us to reach our target of the top 5,000 rheumatologists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Doctor, Right Message, Right Frequency</w:t>
      </w:r>
    </w:p>
    <w:p>
      <w:pPr>
        <w:spacing w:after="0" w:line="17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 xml:space="preserve">We believe our sales model of integrating the promotion of testing products and therapeutics will be complemented by our focused “high-touch” selling approach that emphasizes execution in three core areas: </w:t>
      </w:r>
      <w:r>
        <w:rPr>
          <w:rFonts w:ascii="Arial" w:cs="Arial" w:eastAsia="Arial" w:hAnsi="Arial"/>
          <w:sz w:val="18"/>
          <w:szCs w:val="18"/>
          <w:i w:val="1"/>
          <w:iCs w:val="1"/>
          <w:color w:val="auto"/>
        </w:rPr>
        <w:t>targeting, messaging and call frequency</w:t>
      </w:r>
      <w:r>
        <w:rPr>
          <w:rFonts w:ascii="Arial" w:cs="Arial" w:eastAsia="Arial" w:hAnsi="Arial"/>
          <w:sz w:val="18"/>
          <w:szCs w:val="18"/>
          <w:color w:val="auto"/>
        </w:rPr>
        <w:t xml:space="preserve">. We strategically </w:t>
      </w:r>
      <w:r>
        <w:rPr>
          <w:rFonts w:ascii="Arial" w:cs="Arial" w:eastAsia="Arial" w:hAnsi="Arial"/>
          <w:sz w:val="18"/>
          <w:szCs w:val="18"/>
          <w:i w:val="1"/>
          <w:iCs w:val="1"/>
          <w:color w:val="auto"/>
        </w:rPr>
        <w:t>target</w:t>
      </w:r>
      <w:r>
        <w:rPr>
          <w:rFonts w:ascii="Arial" w:cs="Arial" w:eastAsia="Arial" w:hAnsi="Arial"/>
          <w:sz w:val="18"/>
          <w:szCs w:val="18"/>
          <w:color w:val="auto"/>
        </w:rPr>
        <w:t xml:space="preserve"> the highest-potential practices by utilizing various data sources (e.g., market analytics, demographic data, historical biologic and diagnostic product usage trends). Furthermore, we believe the increased access afforded by our testing products will allow for patient-focused </w:t>
      </w:r>
      <w:r>
        <w:rPr>
          <w:rFonts w:ascii="Arial" w:cs="Arial" w:eastAsia="Arial" w:hAnsi="Arial"/>
          <w:sz w:val="18"/>
          <w:szCs w:val="18"/>
          <w:i w:val="1"/>
          <w:iCs w:val="1"/>
          <w:color w:val="auto"/>
        </w:rPr>
        <w:t xml:space="preserve">messaging, </w:t>
      </w:r>
      <w:r>
        <w:rPr>
          <w:rFonts w:ascii="Arial" w:cs="Arial" w:eastAsia="Arial" w:hAnsi="Arial"/>
          <w:sz w:val="18"/>
          <w:szCs w:val="18"/>
          <w:color w:val="auto"/>
        </w:rPr>
        <w:t>including safety and efficacy data for SIMPONI</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increased accuracy of our testing products over current standard of care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methodologies. Finally, we execute a high-</w:t>
      </w:r>
      <w:r>
        <w:rPr>
          <w:rFonts w:ascii="Arial" w:cs="Arial" w:eastAsia="Arial" w:hAnsi="Arial"/>
          <w:sz w:val="18"/>
          <w:szCs w:val="18"/>
          <w:i w:val="1"/>
          <w:iCs w:val="1"/>
          <w:color w:val="auto"/>
        </w:rPr>
        <w:t>frequency</w:t>
      </w:r>
      <w:r>
        <w:rPr>
          <w:rFonts w:ascii="Arial" w:cs="Arial" w:eastAsia="Arial" w:hAnsi="Arial"/>
          <w:sz w:val="18"/>
          <w:szCs w:val="18"/>
          <w:color w:val="auto"/>
        </w:rPr>
        <w:t xml:space="preserve"> promotional strategy for our top targeted rheumatologists and their office personnel to build knowledge, understanding and retention of the benefits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testing products.</w:t>
      </w:r>
    </w:p>
    <w:p>
      <w:pPr>
        <w:spacing w:after="0" w:line="8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7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seek reimbursement for our testing products from several sources, including commercial third-party payers, government payers and patients. Payment from commercial third-party payers differs depending on whether we have entered into a contract with the payer as a participating provider or do not have a contract and are considered to be an out-of-network provider. When we contract to serve as a participating provider, reimbursements are made pursuant to a percentage of our charges or a negotiated fee schedule amount. Currently, we are reimbursed on an out-of-network basis, at various rates that can be higher or lower than participating providers. Where we are not reimbursed in full, we may elect to appeal the insurer’s underpayment or denial of payment or seek payment from the patient. We continue to focus on expanding coverage among existing contracted providers and achieving coverage with commercial payers, laboratory benefit managers and evidence review organizations. We employ a multi-pronged strategy designed to achieve broad coverage and reimbursement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w:t>
      </w:r>
    </w:p>
    <w:p>
      <w:pPr>
        <w:spacing w:after="0" w:line="6" w:lineRule="exact"/>
        <w:rPr>
          <w:sz w:val="20"/>
          <w:szCs w:val="20"/>
          <w:color w:val="auto"/>
        </w:rPr>
      </w:pPr>
    </w:p>
    <w:p>
      <w:pPr>
        <w:ind w:left="660" w:right="500" w:hanging="328"/>
        <w:spacing w:after="0" w:line="246"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payers’ coverage decisions. In order to change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ind w:left="660" w:right="20"/>
        <w:spacing w:after="0" w:line="181" w:lineRule="auto"/>
        <w:rPr>
          <w:sz w:val="20"/>
          <w:szCs w:val="20"/>
          <w:color w:val="auto"/>
        </w:rPr>
      </w:pPr>
      <w:r>
        <w:rPr>
          <w:rFonts w:ascii="Arial" w:cs="Arial" w:eastAsia="Arial" w:hAnsi="Arial"/>
          <w:sz w:val="18"/>
          <w:szCs w:val="18"/>
          <w:color w:val="auto"/>
        </w:rPr>
        <w:t>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which helped us secure favorable coverage for that testing product from the MolDx Program, Noridian and various commercial Medicare Advantage plans. The two largest rheumatology super groups have included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in their respective RA patient pathway guidelines for physician adoption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In addition, UpToDate, a leading evidence-based clinical decision support resource for healthcare providers and payers, recommends the measurement of polyglutamate levels as done by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We have conducted, and continue to conduct, clinical validation and clinical utility studies for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which we believe will provide a basis for the ACR and/or UpToDate to consider inclusion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in their respective guidelines. In the future, we also intend to conduct similar studies in order to develop similar supporting literature with respect to our other testing products.</w:t>
      </w:r>
    </w:p>
    <w:p>
      <w:pPr>
        <w:spacing w:after="0" w:line="26" w:lineRule="exact"/>
        <w:rPr>
          <w:sz w:val="20"/>
          <w:szCs w:val="20"/>
          <w:color w:val="auto"/>
        </w:rPr>
      </w:pPr>
    </w:p>
    <w:p>
      <w:pPr>
        <w:ind w:left="660" w:right="380" w:hanging="328"/>
        <w:spacing w:after="0" w:line="242"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rheumatologists to navigate the claims process.</w:t>
      </w:r>
    </w:p>
    <w:p>
      <w:pPr>
        <w:spacing w:after="0" w:line="22" w:lineRule="exact"/>
        <w:rPr>
          <w:rFonts w:ascii="Arial" w:cs="Arial" w:eastAsia="Arial" w:hAnsi="Arial"/>
          <w:sz w:val="18"/>
          <w:szCs w:val="18"/>
          <w:color w:val="auto"/>
        </w:rPr>
      </w:pPr>
    </w:p>
    <w:p>
      <w:pPr>
        <w:ind w:left="660" w:right="40" w:hanging="328"/>
        <w:spacing w:after="0" w:line="245"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71" w:lineRule="exact"/>
        <w:rPr>
          <w:sz w:val="20"/>
          <w:szCs w:val="20"/>
          <w:color w:val="auto"/>
        </w:rPr>
      </w:pPr>
    </w:p>
    <w:p>
      <w:pPr>
        <w:ind w:right="320"/>
        <w:spacing w:after="0" w:line="187" w:lineRule="auto"/>
        <w:rPr>
          <w:sz w:val="20"/>
          <w:szCs w:val="20"/>
          <w:color w:val="auto"/>
        </w:rPr>
      </w:pPr>
      <w:r>
        <w:rPr>
          <w:rFonts w:ascii="Arial" w:cs="Arial" w:eastAsia="Arial" w:hAnsi="Arial"/>
          <w:sz w:val="17"/>
          <w:szCs w:val="17"/>
          <w:color w:val="auto"/>
        </w:rPr>
        <w:t>We demonstrated the clinical validity of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compared to common autoantibodies used to diagnose SLE and other CTDs, such as ANA and anti-dsDNA. The final results of this study showed that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44" w:lineRule="exact"/>
        <w:rPr>
          <w:sz w:val="20"/>
          <w:szCs w:val="20"/>
          <w:color w:val="auto"/>
        </w:rPr>
      </w:pPr>
    </w:p>
    <w:p>
      <w:pPr>
        <w:spacing w:after="0" w:line="183" w:lineRule="auto"/>
        <w:rPr>
          <w:sz w:val="20"/>
          <w:szCs w:val="20"/>
          <w:color w:val="auto"/>
        </w:rPr>
      </w:pPr>
      <w:r>
        <w:rPr>
          <w:rFonts w:ascii="Arial" w:cs="Arial" w:eastAsia="Arial" w:hAnsi="Arial"/>
          <w:sz w:val="17"/>
          <w:szCs w:val="17"/>
          <w:color w:val="auto"/>
        </w:rPr>
        <w:t>We further demonstrated the clinical validity of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Lupus for detection of probable SLE, or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Lupus and CB-CAPs as a marker of complement activation in patients with pSLE and the usefulness of</w:t>
      </w:r>
    </w:p>
    <w:p>
      <w:pPr>
        <w:spacing w:after="0" w:line="2" w:lineRule="exact"/>
        <w:rPr>
          <w:sz w:val="20"/>
          <w:szCs w:val="20"/>
          <w:color w:val="auto"/>
        </w:rPr>
      </w:pPr>
    </w:p>
    <w:p>
      <w:pPr>
        <w:ind w:right="100"/>
        <w:spacing w:after="0" w:line="187" w:lineRule="auto"/>
        <w:rPr>
          <w:sz w:val="20"/>
          <w:szCs w:val="20"/>
          <w:color w:val="auto"/>
        </w:rPr>
      </w:pPr>
      <w:r>
        <w:rPr>
          <w:rFonts w:ascii="Arial" w:cs="Arial" w:eastAsia="Arial" w:hAnsi="Arial"/>
          <w:sz w:val="17"/>
          <w:szCs w:val="17"/>
          <w:color w:val="auto"/>
        </w:rPr>
        <w:t>the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test as a predictor of the evolution of pSLE into classified SLE by the ACR criteria. Of the 92 pSLE patients, more pSLE were positive for CB-CAPs (28%) or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(40%) than for low complement (9%) at the enrollment visit (p=0.0001, for each) and an</w:t>
      </w:r>
    </w:p>
    <w:p>
      <w:pPr>
        <w:spacing w:after="0" w:line="2" w:lineRule="exact"/>
        <w:rPr>
          <w:sz w:val="20"/>
          <w:szCs w:val="20"/>
          <w:color w:val="auto"/>
        </w:rPr>
      </w:pPr>
    </w:p>
    <w:p>
      <w:pPr>
        <w:ind w:right="200"/>
        <w:spacing w:after="0" w:line="210" w:lineRule="auto"/>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71" w:lineRule="exact"/>
        <w:rPr>
          <w:sz w:val="20"/>
          <w:szCs w:val="20"/>
          <w:color w:val="auto"/>
        </w:rPr>
      </w:pPr>
    </w:p>
    <w:p>
      <w:pPr>
        <w:ind w:right="480"/>
        <w:spacing w:after="0" w:line="201" w:lineRule="auto"/>
        <w:rPr>
          <w:sz w:val="20"/>
          <w:szCs w:val="20"/>
          <w:color w:val="auto"/>
        </w:rPr>
      </w:pPr>
      <w:r>
        <w:rPr>
          <w:rFonts w:ascii="Arial" w:cs="Arial" w:eastAsia="Arial" w:hAnsi="Arial"/>
          <w:sz w:val="17"/>
          <w:szCs w:val="17"/>
          <w:color w:val="auto"/>
        </w:rPr>
        <w:t>We have collaborated with both academic and community clinicians to demonstrate the clinical utility of AVISE</w:t>
      </w:r>
      <w:r>
        <w:rPr>
          <w:rFonts w:ascii="Arial" w:cs="Arial" w:eastAsia="Arial" w:hAnsi="Arial"/>
          <w:sz w:val="27"/>
          <w:szCs w:val="27"/>
          <w:color w:val="auto"/>
          <w:vertAlign w:val="superscript"/>
        </w:rPr>
        <w:t>®</w:t>
      </w:r>
      <w:r>
        <w:rPr>
          <w:rFonts w:ascii="Arial" w:cs="Arial" w:eastAsia="Arial" w:hAnsi="Arial"/>
          <w:sz w:val="17"/>
          <w:szCs w:val="17"/>
          <w:color w:val="auto"/>
        </w:rPr>
        <w:t xml:space="preserve"> Lupus versus standard diagnostic tests in physician diagnosis, impact on patient management decisions, patient reported outcomes and health economics.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8"/>
          <w:szCs w:val="28"/>
          <w:color w:val="auto"/>
          <w:vertAlign w:val="superscript"/>
        </w:rPr>
        <w:t>®</w:t>
      </w:r>
    </w:p>
    <w:p>
      <w:pPr>
        <w:spacing w:after="0" w:line="234" w:lineRule="auto"/>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38" w:lineRule="exact"/>
        <w:rPr>
          <w:sz w:val="20"/>
          <w:szCs w:val="20"/>
          <w:color w:val="auto"/>
        </w:rPr>
      </w:pPr>
    </w:p>
    <w:p>
      <w:pPr>
        <w:jc w:val="both"/>
        <w:ind w:right="120"/>
        <w:spacing w:after="0" w:line="204"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versus standard diagnostic laboratory tests, or SDLT. A total of 145 patients were enrolled across 32 sites between July 2017 and December 2018, with 73 patients enrolled in the SDLT group and 72 patients in the</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18" w:name="page19"/>
    <w:bookmarkEnd w:id="18"/>
    <w:p>
      <w:pPr>
        <w:ind w:right="80"/>
        <w:spacing w:after="0" w:line="183" w:lineRule="auto"/>
        <w:rPr>
          <w:sz w:val="20"/>
          <w:szCs w:val="20"/>
          <w:color w:val="auto"/>
        </w:rPr>
      </w:pPr>
      <w:r>
        <w:rPr>
          <w:rFonts w:ascii="Arial" w:cs="Arial" w:eastAsia="Arial" w:hAnsi="Arial"/>
          <w:sz w:val="15"/>
          <w:szCs w:val="15"/>
          <w:color w:val="auto"/>
        </w:rPr>
        <w:t>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Lupus group. The CARE study was published in September 2019 in Lupus Science &amp; Medicine. Results showed among patients who tested positive for 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Lupus (n=9), 44% in the 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Lupus group had a higher likelihood of SLE, compared with 9% in the SDLT group (p=0.127), whereas among patients who tested negative for 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Lupus group had a lower</w:t>
      </w:r>
    </w:p>
    <w:p>
      <w:pPr>
        <w:spacing w:after="0" w:line="3" w:lineRule="exact"/>
        <w:rPr>
          <w:sz w:val="20"/>
          <w:szCs w:val="20"/>
          <w:color w:val="auto"/>
        </w:rPr>
      </w:pPr>
    </w:p>
    <w:p>
      <w:pPr>
        <w:ind w:right="20"/>
        <w:spacing w:after="0" w:line="192" w:lineRule="auto"/>
        <w:rPr>
          <w:sz w:val="20"/>
          <w:szCs w:val="20"/>
          <w:color w:val="auto"/>
        </w:rPr>
      </w:pPr>
      <w:r>
        <w:rPr>
          <w:rFonts w:ascii="Arial" w:cs="Arial" w:eastAsia="Arial" w:hAnsi="Arial"/>
          <w:sz w:val="18"/>
          <w:szCs w:val="18"/>
          <w:color w:val="auto"/>
        </w:rPr>
        <w:t>likelihood of SLE, compared with 37% in the SDLT group (p=0.012). In the group of patients randomized to the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or EQ5D-5L index score, from enrollment to visit 2 (p=0.028), and greater improvements were detectable when compared to the group of patients positive for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and randomized to the SDLT arm (p=0.049).</w:t>
      </w:r>
    </w:p>
    <w:p>
      <w:pPr>
        <w:spacing w:after="0" w:line="153" w:lineRule="exact"/>
        <w:rPr>
          <w:sz w:val="20"/>
          <w:szCs w:val="20"/>
          <w:color w:val="auto"/>
        </w:rPr>
      </w:pPr>
    </w:p>
    <w:p>
      <w:pPr>
        <w:ind w:right="280"/>
        <w:spacing w:after="0" w:line="214" w:lineRule="auto"/>
        <w:rPr>
          <w:sz w:val="20"/>
          <w:szCs w:val="20"/>
          <w:color w:val="auto"/>
        </w:rPr>
      </w:pPr>
      <w:r>
        <w:rPr>
          <w:rFonts w:ascii="Arial" w:cs="Arial" w:eastAsia="Arial" w:hAnsi="Arial"/>
          <w:sz w:val="18"/>
          <w:szCs w:val="18"/>
          <w:color w:val="auto"/>
        </w:rPr>
        <w:t>In addition, we collaborated with leading health economic experts and clinicians to conduct a health economics study. The results of that health economics study were presented at the ACR conference in 2018, and demonstrated the cost savings to a payer associated with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over a one to four year time horizon. The above referenced studies are included in the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Dossier. We recently announced in March 2020 coverage and in-network contract with three California Medical Groups and anticipate additional coverage determinations and in-network contracting announcements in the second half of 2020.</w:t>
      </w:r>
    </w:p>
    <w:p>
      <w:pPr>
        <w:spacing w:after="0" w:line="14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believe our reimbursement strategy, including establishing the clinical validation, clinical utility and health economics of our testing products will continue to allow us to drive an expansion in reimbursement coverage for our testing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75" w:lineRule="exact"/>
        <w:rPr>
          <w:sz w:val="20"/>
          <w:szCs w:val="20"/>
          <w:color w:val="auto"/>
        </w:rPr>
      </w:pPr>
    </w:p>
    <w:p>
      <w:pPr>
        <w:ind w:right="280"/>
        <w:spacing w:after="0" w:line="201"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tests in our approximately 8,000 square foot clinical laboratory, which is certified by the Clinical Laboratory Improvement Amendments of 1988, or CLIA, and accredited by the College of American Pathologists, or CAP, and located in Vista, California. Our laboratory is certified for the performance of high-complexity testing by the Centers for Medicare and Medicaid Services, or CMS, in accordance with CLIA. We are approved to offer our products in all 50 states. Our clinical laboratory reports all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 results within five business days. We believe that our existing laboratory facilities are adequate to meet our business needs for at least the next 12 months and that additional laboratory space will be available on commercially reasonable terms, if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is traditional methods used by healthcare providers to test patients with CTD like symptoms. Such traditional methods include testing for a broad range of diagnostic, 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Oncimmune plc, DxTerity Diagnostics Inc., HealthTell, Inc. and Immunovia AB. In the future, we may also face competition from companies developing new products or technologies.</w:t>
      </w:r>
    </w:p>
    <w:p>
      <w:pPr>
        <w:spacing w:after="0" w:line="141" w:lineRule="exact"/>
        <w:rPr>
          <w:sz w:val="20"/>
          <w:szCs w:val="20"/>
          <w:color w:val="auto"/>
        </w:rPr>
      </w:pPr>
    </w:p>
    <w:p>
      <w:pPr>
        <w:ind w:right="680"/>
        <w:spacing w:after="0" w:line="227"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Abbvie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9" w:name="page20"/>
    <w:bookmarkEnd w:id="19"/>
    <w:p>
      <w:pPr>
        <w:ind w:right="60"/>
        <w:spacing w:after="0" w:line="192" w:lineRule="auto"/>
        <w:rPr>
          <w:sz w:val="20"/>
          <w:szCs w:val="20"/>
          <w:color w:val="auto"/>
        </w:rPr>
      </w:pPr>
      <w:r>
        <w:rPr>
          <w:rFonts w:ascii="Arial" w:cs="Arial" w:eastAsia="Arial" w:hAnsi="Arial"/>
          <w:sz w:val="18"/>
          <w:szCs w:val="18"/>
          <w:color w:val="auto"/>
        </w:rPr>
        <w:t>Inc., ENBREL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Amgen Inc., CIMZIA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UCB, INFLECTRA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Pfizer Inc., or Pfizer, (biosimilar REMICADE</w:t>
      </w:r>
      <w:r>
        <w:rPr>
          <w:rFonts w:ascii="Arial" w:cs="Arial" w:eastAsia="Arial" w:hAnsi="Arial"/>
          <w:sz w:val="23"/>
          <w:szCs w:val="23"/>
          <w:color w:val="auto"/>
          <w:vertAlign w:val="superscript"/>
        </w:rPr>
        <w:t>®</w:t>
      </w:r>
      <w:r>
        <w:rPr>
          <w:rFonts w:ascii="Arial" w:cs="Arial" w:eastAsia="Arial" w:hAnsi="Arial"/>
          <w:sz w:val="18"/>
          <w:szCs w:val="18"/>
          <w:color w:val="auto"/>
        </w:rPr>
        <w:t>) and RENFLEXIS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Merck &amp; Co. (biosimilar REMICADE</w:t>
      </w:r>
      <w:r>
        <w:rPr>
          <w:rFonts w:ascii="Arial" w:cs="Arial" w:eastAsia="Arial" w:hAnsi="Arial"/>
          <w:sz w:val="23"/>
          <w:szCs w:val="23"/>
          <w:color w:val="auto"/>
          <w:vertAlign w:val="superscript"/>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Bristol-Myers Squibb Company, ACTEMRA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Roche Holding AG, or Roche, RITUXAN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Roche, XELJANZ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Pfizer, KEVZARA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Sanofi S.A., RINVOQ</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from Abbvie Inc. and OLUMIANT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such as psoriatic arthritis and ankylosing spondylitis.</w:t>
      </w:r>
    </w:p>
    <w:p>
      <w:pPr>
        <w:spacing w:after="0" w:line="15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Agreement</w:t>
      </w:r>
    </w:p>
    <w:p>
      <w:pPr>
        <w:spacing w:after="0" w:line="171" w:lineRule="exact"/>
        <w:rPr>
          <w:sz w:val="20"/>
          <w:szCs w:val="20"/>
          <w:color w:val="auto"/>
        </w:rPr>
      </w:pPr>
    </w:p>
    <w:p>
      <w:pPr>
        <w:ind w:right="80"/>
        <w:spacing w:after="0" w:line="186" w:lineRule="auto"/>
        <w:rPr>
          <w:sz w:val="20"/>
          <w:szCs w:val="20"/>
          <w:color w:val="auto"/>
        </w:rPr>
      </w:pPr>
      <w:r>
        <w:rPr>
          <w:rFonts w:ascii="Arial" w:cs="Arial" w:eastAsia="Arial" w:hAnsi="Arial"/>
          <w:sz w:val="18"/>
          <w:szCs w:val="18"/>
          <w:color w:val="auto"/>
        </w:rPr>
        <w:t>In December 2018, we and Janssen entered into the Janssen agreement to co-promote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the United States. We are responsible for the costs associated with our salesforce over the course of such co-promotion. Janssen is responsible for all other aspects of the commercialization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15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September 2019 we exercised our option to extend the term of the Janssen agreement to December 31, 2021.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with GSK</w:t>
      </w:r>
    </w:p>
    <w:p>
      <w:pPr>
        <w:spacing w:after="0" w:line="176"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Prognostic and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HCQ testing products and extend the term of the agreement through December 31, 2019. The agreement was further amended in November 2019 to, among other things, extend the term of the agreement through December 31, 2020.</w:t>
      </w:r>
    </w:p>
    <w:p>
      <w:pPr>
        <w:spacing w:after="0" w:line="149" w:lineRule="exact"/>
        <w:rPr>
          <w:sz w:val="20"/>
          <w:szCs w:val="20"/>
          <w:color w:val="auto"/>
        </w:rPr>
      </w:pPr>
    </w:p>
    <w:p>
      <w:pPr>
        <w:ind w:right="140"/>
        <w:spacing w:after="0" w:line="207" w:lineRule="auto"/>
        <w:rPr>
          <w:sz w:val="20"/>
          <w:szCs w:val="20"/>
          <w:color w:val="auto"/>
        </w:rPr>
      </w:pPr>
      <w:r>
        <w:rPr>
          <w:rFonts w:ascii="Arial" w:cs="Arial" w:eastAsia="Arial" w:hAnsi="Arial"/>
          <w:sz w:val="18"/>
          <w:szCs w:val="18"/>
          <w:color w:val="auto"/>
        </w:rPr>
        <w:t>Under the agreement, we are required to deliver weekly de-identified data files to GSK covering all data obtained from the performance of certain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subject to applicable requirements under the Federal Health Insurance Portability and Accountability Act of 1996, or HIPAA, internal policy requirements and other applicable laws. During the term of the agreement, the data we provide to GSK may not be provided, directly or through a third party, to any other pharmaceutical company that is marketing or developing a product for the treatment of SLE.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0" w:name="page21"/>
    <w:bookmarkEnd w:id="20"/>
    <w:p>
      <w:pPr>
        <w:jc w:val="both"/>
        <w:spacing w:after="0" w:line="238" w:lineRule="auto"/>
        <w:rPr>
          <w:sz w:val="20"/>
          <w:szCs w:val="20"/>
          <w:color w:val="auto"/>
        </w:rPr>
      </w:pPr>
      <w:r>
        <w:rPr>
          <w:rFonts w:ascii="Arial" w:cs="Arial" w:eastAsia="Arial" w:hAnsi="Arial"/>
          <w:sz w:val="18"/>
          <w:szCs w:val="18"/>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Services Agreement with Horizon Therapeutics</w:t>
      </w:r>
    </w:p>
    <w:p>
      <w:pPr>
        <w:spacing w:after="0" w:line="176" w:lineRule="exact"/>
        <w:rPr>
          <w:sz w:val="20"/>
          <w:szCs w:val="20"/>
          <w:color w:val="auto"/>
        </w:rPr>
      </w:pPr>
    </w:p>
    <w:p>
      <w:pPr>
        <w:spacing w:after="0" w:line="200" w:lineRule="auto"/>
        <w:rPr>
          <w:sz w:val="20"/>
          <w:szCs w:val="20"/>
          <w:color w:val="auto"/>
        </w:rPr>
      </w:pPr>
      <w:r>
        <w:rPr>
          <w:rFonts w:ascii="Arial" w:cs="Arial" w:eastAsia="Arial" w:hAnsi="Arial"/>
          <w:sz w:val="18"/>
          <w:szCs w:val="18"/>
          <w:color w:val="auto"/>
        </w:rPr>
        <w:t>In August 2018, we entered into a master services agreement with Horizon Therapeutics, pursuant to which Horizon Therapeutics utilizes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an ongoing Phase 4 clinical trial. Under the agreement, Horizon Therapeutics paid an initial one time set-up cost and now pays an incremental fee for each specimen processed. We provide, among other things, specimen collection kits, customized test requisition, pre-paid shipping, specimen storage and individual reports for each study subject. Either party can terminate the agreement for convenience upon 30 days’ prior written notice to the other party. Absent early termination, the agreement will run through August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49"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8"/>
          <w:szCs w:val="28"/>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60" w:lineRule="exact"/>
        <w:rPr>
          <w:sz w:val="20"/>
          <w:szCs w:val="20"/>
          <w:color w:val="auto"/>
        </w:rPr>
      </w:pPr>
    </w:p>
    <w:p>
      <w:pPr>
        <w:ind w:right="60"/>
        <w:spacing w:after="0" w:line="188"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are summarized below in the section entitled “—License Agreements.” As of December 31, 2019, our portfolio primarily consisted of the following: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CB-CAPs</w:t>
      </w:r>
    </w:p>
    <w:p>
      <w:pPr>
        <w:spacing w:after="0" w:line="176"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As of December 31, 2019, 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and two pending patent application families that relate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Lupus products. Foreign patents corresponding to US 10,132,813 have issued in Europe (EP 2,673,644) and Japan (JP 5,990,542) and Hong Kong (HK112316).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2,214,014; EP 2,216,650, and certain of their corresponding family members</w:t>
      </w:r>
      <w:r>
        <w:rPr>
          <w:rFonts w:ascii="Arial" w:cs="Arial" w:eastAsia="Arial" w:hAnsi="Arial"/>
          <w:sz w:val="21"/>
          <w:szCs w:val="21"/>
          <w:b w:val="1"/>
          <w:bCs w:val="1"/>
          <w:i w:val="1"/>
          <w:iCs w:val="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1" w:name="page22"/>
    <w:bookmarkEnd w:id="21"/>
    <w:p>
      <w:pPr>
        <w:spacing w:after="0" w:line="221" w:lineRule="auto"/>
        <w:rPr>
          <w:sz w:val="20"/>
          <w:szCs w:val="20"/>
          <w:color w:val="auto"/>
        </w:rPr>
      </w:pPr>
      <w:r>
        <w:rPr>
          <w:rFonts w:ascii="Arial" w:cs="Arial" w:eastAsia="Arial" w:hAnsi="Arial"/>
          <w:sz w:val="18"/>
          <w:szCs w:val="18"/>
          <w:color w:val="auto"/>
        </w:rPr>
        <w:t>We are the exclusive licensee of four patents that relate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and patent applications are owned by Prometheus and are exclusively licensed to us for all uses except for use in gastrointestinal diseases. These patents include U.S. Patent Nos. 6,921,667; 7,563,590; 7,582,282 and 7,695,908, which are expected to expire between 2023 and 2027. We also are the exclusive licensee of two issued US patents (US 9,261,509 and US 9,822,391) that relate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product.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7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 (1) 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15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14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4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22" w:name="page23"/>
    <w:bookmarkEnd w:id="22"/>
    <w:p>
      <w:pPr>
        <w:ind w:right="200"/>
        <w:spacing w:after="0"/>
        <w:rPr>
          <w:sz w:val="20"/>
          <w:szCs w:val="20"/>
          <w:color w:val="auto"/>
        </w:rPr>
      </w:pPr>
      <w:r>
        <w:rPr>
          <w:rFonts w:ascii="Arial" w:cs="Arial" w:eastAsia="Arial" w:hAnsi="Arial"/>
          <w:sz w:val="18"/>
          <w:szCs w:val="18"/>
          <w:color w:val="auto"/>
        </w:rPr>
        <w:t>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w:t>
      </w:r>
    </w:p>
    <w:p>
      <w:pPr>
        <w:spacing w:after="0" w:line="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15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151"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14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Prometheus Laboratories, Inc.</w:t>
      </w:r>
    </w:p>
    <w:p>
      <w:pPr>
        <w:spacing w:after="0" w:line="176"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services. This agreement was subsequently amended in October 2013.</w:t>
      </w:r>
    </w:p>
    <w:p>
      <w:pPr>
        <w:spacing w:after="0" w:line="14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Prometheus Patent Rights and to sublicense such rights; provided, however, that 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 Pursuant to the agreement, we are obligated to use reasonable commercial efforts to undertake certain development activities with respect to products utilizing the Prometheus Patent Rights, including the completion of certain clinical studies. In addition, in the event that we do not timely complete these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studies or approved substitute studies, we will become obligated to pay to Prometheus a one-time payment of $50,000.</w:t>
      </w:r>
    </w:p>
    <w:p>
      <w:pPr>
        <w:spacing w:after="0" w:line="15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licensed-product-by-licensed-product and country-by-country basis until the expiration, lapse or invalidation of the last valid claim in a licensed patent covering the applicable licensed product in such country.</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we sublicense any of the Prometheus Patent Rights, we are obligated to pay to Prometheus a fee based on a percentage of sublicense fees received by us, which percentage is in the mid-twenties. In addition, we 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unilaterally terminate the agreement for any reason upon 60-days’ written notice to Prometheus. Either party may terminate the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Cypress (Royalty Pharma) and Proprius</w:t>
      </w:r>
    </w:p>
    <w:p>
      <w:pPr>
        <w:spacing w:after="0" w:line="17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5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 wide net sales of CB-CAPs products and a low double-digit royalty on the net sales of certain new products in each case, for a period of eight years, which eight year period expired in January 2020.</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nets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With Cellatope</w:t>
      </w:r>
    </w:p>
    <w:p>
      <w:pPr>
        <w:spacing w:after="0" w:line="176"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In connection with the Cypress Purchase, we acquired an asset purchase agreement, dated February 2009 and amended December 2012 and again in January 2017, between Cypress and Cellatope Corporation, or Cellatope. Pursuant to the amended agreement, we obtained assets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In connection with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4" w:name="page25"/>
    <w:bookmarkEnd w:id="24"/>
    <w:p>
      <w:pPr>
        <w:ind w:right="20"/>
        <w:spacing w:after="0" w:line="192" w:lineRule="auto"/>
        <w:rPr>
          <w:sz w:val="20"/>
          <w:szCs w:val="20"/>
          <w:color w:val="auto"/>
        </w:rPr>
      </w:pPr>
      <w:r>
        <w:rPr>
          <w:rFonts w:ascii="Arial" w:cs="Arial" w:eastAsia="Arial" w:hAnsi="Arial"/>
          <w:sz w:val="18"/>
          <w:szCs w:val="18"/>
          <w:color w:val="auto"/>
        </w:rPr>
        <w:t>one launch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SLE Monitor testing product, we paid an upfront payment of $100,000 and we are required to pay Cellatope a low-single digit royalty on net sales up to a maximum of $3.0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17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September 2011, we entered into a license agreement with Dr. Thierry Dervieux, our former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services.</w:t>
      </w:r>
    </w:p>
    <w:p>
      <w:pPr>
        <w:spacing w:after="0" w:line="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considerations for the rights granted to us under the agreement, we are required to make milestone payments, up to an aggregate of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4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Penalties for non-compliance with CLIA requirements include suspension, limitation or revocation of the laboratory’s CLIA certificate, as well as directed plan of correction, state on-site monitoring, civil money penalties, civil injunctive suit or criminal penalties.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176"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5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Because we receive specimens from New York, our clinical reference laboratory is required to be licensed by New York, under New York laws and regulations, which establish standards for:</w:t>
      </w:r>
    </w:p>
    <w:p>
      <w:pPr>
        <w:spacing w:after="0" w:line="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day-to-day operation of a clinical laboratory, including training and skill levels required of laboratory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bookmarkStart w:id="25" w:name="page26"/>
    <w:bookmarkEnd w:id="25"/>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Department of Health, or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w:t>
      </w:r>
    </w:p>
    <w:p>
      <w:pPr>
        <w:spacing w:after="0" w:line="15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w:t>
      </w:r>
    </w:p>
    <w:p>
      <w:pPr>
        <w:spacing w:after="0" w:line="176"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Clinical laboratory tests like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SLE Prognostic and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are regulated under CLIA, as administered by CMS, as well as by applicable state laws. In addition,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testing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54"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designed, manufactured, and used within a single laboratory for use only in that laboratory. These tests are referred to as laboratory developed tests, or LDTs. We believe that the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and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are LDTs, as are our near-term pipeline candidate tests. As a result, we believe many of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recent years, FDA has stated its intention to modify its enforcement discretion policy with respect to LDTs. For example,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Framework Guidance states that FDA intends to modify its policy of enforcement discretion with respect to LDTs in a risk-based manner consistent with the classification of medical devices generally in Classes I through III. The FDA further states its intention in the Framework Guidance to publish general LDT classification guidance within 18 months of date on which the Framework Guidance is finalized. The Reporting Guidance would further enable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 On November 18, 2016, the FDA announced that it would not finalize either guidance document.</w:t>
      </w:r>
    </w:p>
    <w:p>
      <w:pPr>
        <w:spacing w:after="0" w:line="151"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On January 13, 2017, the FDA released a document titled "Discussion Paper on Laboratory Developed Tests," or the Discussion Paper, which stated that the agency had declined to finalize the LDT guidances to allow for additional discussion on appropriate regulatory oversight. The FDA has not issued any proposed rules or guidance documents relating to LDTs since January 2017.</w:t>
      </w:r>
    </w:p>
    <w:p>
      <w:pPr>
        <w:spacing w:after="0" w:line="14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However, the FDA could ultimately modify its current approach to LDTs in a way that would subject our products marketed as LDTs to the enforcement of regulatory requirements. Moreover, legislative measures have recently been proposed in Congress that, if ultimately enacted, could provide the FDA with additional authority to require premarket review of and regulate LDTs.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Medical Device Regulatory Framework</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we currently market our proprietary testing products as LDTs, which are currently subject to enforcement discretion, we could be subject to more onerous FDA compliance obligations in the future. Specifically, if the FDA begins to actively regulate LDTs, then, unless an exemption applies, each new or significantly modified medical device we seek to commercially distribute in the U.S. will require either a premarket notification to the FDA requesting permission for commercial distribution under Section 510(k) of the FDCA, also referred to as a 510(k) clearance, or approval from the FDA of a premarket approval, or PMA, application. Both the 510(k) clearance and PMA processes can be resource intensive, expensive, and lengthy, and require payment of significant user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Device Classification</w:t>
      </w:r>
    </w:p>
    <w:p>
      <w:pPr>
        <w:spacing w:after="0" w:line="176"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Under the FDCA, medical devices are classified into one of three classes-Class I, Class II or Class III depending on the degree of risk associated with each medical device and the extent of control needed to provide reasonable assurances with respect to safety and effectiveness.</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quality system regulation, or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5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w:t>
      </w:r>
    </w:p>
    <w:p>
      <w:pPr>
        <w:spacing w:after="0" w:line="15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time-consuming than the 510(k) process. Through the PMA application process,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Investigational Device Process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U.S.,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IRBs at the clinical trial sites. Submission of an IDE will note necessarily result in the ability to commence clinical trials, and although the FDA’s approval of an IDE allows clinical testing to go forward for a specified number of subjects, it does not bind the FDA to accept the results of the trial as sufficient to prove the product’s safety and efficacy, even if the trial meets its intended success criteria.</w:t>
      </w:r>
    </w:p>
    <w:p>
      <w:pPr>
        <w:spacing w:after="0" w:line="15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marketing approval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ind w:right="520"/>
        <w:spacing w:after="0" w:line="246" w:lineRule="auto"/>
        <w:rPr>
          <w:sz w:val="20"/>
          <w:szCs w:val="20"/>
          <w:color w:val="auto"/>
        </w:rPr>
      </w:pPr>
      <w:r>
        <w:rPr>
          <w:rFonts w:ascii="Arial" w:cs="Arial" w:eastAsia="Arial" w:hAnsi="Arial"/>
          <w:sz w:val="18"/>
          <w:szCs w:val="18"/>
          <w:color w:val="auto"/>
        </w:rPr>
        <w:t>or clearance of a product. The commencement or completion of any clinical trial may be delayed or halted, or be inadequate to support approval of a PMA application, for numerous reasons, including, but not limited to, the following:</w:t>
      </w:r>
    </w:p>
    <w:p>
      <w:pPr>
        <w:spacing w:after="0" w:line="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experience adverse events;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evaluated during the trial;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device malfunctions occur with unexpected frequency or potential adverse consequences;</w:t>
      </w:r>
    </w:p>
    <w:p>
      <w:pPr>
        <w:spacing w:after="0" w:line="49" w:lineRule="exact"/>
        <w:rPr>
          <w:rFonts w:ascii="Arial" w:cs="Arial" w:eastAsia="Arial" w:hAnsi="Arial"/>
          <w:sz w:val="18"/>
          <w:szCs w:val="18"/>
          <w:color w:val="auto"/>
        </w:rPr>
      </w:pPr>
    </w:p>
    <w:p>
      <w:pPr>
        <w:ind w:left="660" w:right="240" w:hanging="328"/>
        <w:spacing w:after="0" w:line="246"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49" w:lineRule="exact"/>
        <w:rPr>
          <w:rFonts w:ascii="Arial" w:cs="Arial" w:eastAsia="Arial" w:hAnsi="Arial"/>
          <w:sz w:val="18"/>
          <w:szCs w:val="18"/>
          <w:color w:val="auto"/>
        </w:rPr>
      </w:pPr>
    </w:p>
    <w:p>
      <w:pPr>
        <w:ind w:left="660" w:hanging="328"/>
        <w:spacing w:after="0"/>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investigators are disqualified by the FDA;</w:t>
      </w:r>
    </w:p>
    <w:p>
      <w:pPr>
        <w:spacing w:after="0" w:line="49" w:lineRule="exact"/>
        <w:rPr>
          <w:rFonts w:ascii="Arial" w:cs="Arial" w:eastAsia="Arial" w:hAnsi="Arial"/>
          <w:sz w:val="18"/>
          <w:szCs w:val="18"/>
          <w:color w:val="auto"/>
        </w:rPr>
      </w:pPr>
    </w:p>
    <w:p>
      <w:pPr>
        <w:ind w:left="660" w:right="200" w:hanging="328"/>
        <w:spacing w:after="0"/>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40" w:lineRule="exact"/>
        <w:rPr>
          <w:rFonts w:ascii="Arial" w:cs="Arial" w:eastAsia="Arial" w:hAnsi="Arial"/>
          <w:sz w:val="18"/>
          <w:szCs w:val="18"/>
          <w:color w:val="auto"/>
        </w:rPr>
      </w:pPr>
    </w:p>
    <w:p>
      <w:pPr>
        <w:ind w:left="660" w:right="480" w:hanging="328"/>
        <w:spacing w:after="0" w:line="246"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34" w:lineRule="exact"/>
        <w:rPr>
          <w:rFonts w:ascii="Arial" w:cs="Arial" w:eastAsia="Arial" w:hAnsi="Arial"/>
          <w:sz w:val="18"/>
          <w:szCs w:val="18"/>
          <w:color w:val="auto"/>
        </w:rPr>
      </w:pPr>
    </w:p>
    <w:p>
      <w:pPr>
        <w:ind w:left="660" w:right="680" w:hanging="328"/>
        <w:spacing w:after="0" w:line="246"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efficacy;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concludes that our trial designs are unreliable or inadequate to demonstrate safety and efficacy.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510(k) Clearance Process</w:t>
      </w:r>
    </w:p>
    <w:p>
      <w:pPr>
        <w:spacing w:after="0" w:line="1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149"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4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The de novo classification process is an alternate pathway to classify medical devices that are automatically classified into Class III but which are low to moderate risk. A manufacturer can submit a petition for direct de novo review if the manufacturer is unable to identify an appropriate predicate device and the new device or new use of the device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8" w:name="page29"/>
    <w:bookmarkEnd w:id="28"/>
    <w:p>
      <w:pPr>
        <w:ind w:right="200"/>
        <w:spacing w:after="0" w:line="246" w:lineRule="auto"/>
        <w:rPr>
          <w:sz w:val="20"/>
          <w:szCs w:val="20"/>
          <w:color w:val="auto"/>
        </w:rPr>
      </w:pPr>
      <w:r>
        <w:rPr>
          <w:rFonts w:ascii="Arial" w:cs="Arial" w:eastAsia="Arial" w:hAnsi="Arial"/>
          <w:sz w:val="18"/>
          <w:szCs w:val="18"/>
          <w:color w:val="auto"/>
        </w:rPr>
        <w:t>presents a moderate or low risk. De novo classification may also be available after receipt of a “not substantially equivalent” letter following submission of a 510(k) to FDA.</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determine whether the proposed change requires a new submission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to obtain clearance for such change. The FDA can always review these letters to file in an inspection. If the FDA disagrees with a manufacturer’s determination regarding whether a new premarket submission is required for the modification of an existing 510(k)-cleared device, the FDA can require the manufacturer to cease marketing and/or recall the modified device until 510(k) clearance or approval of a PMA application is obtained. In addition, in these circumstances, the FDA can impose significant regulatory fines or penalties for failure to submit the requisite application(s).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More recently, 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intends to develop and maintain a list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PMA Approval Process</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5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4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device may not be shown safe or effective to the FDA’s satisfaction;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from pre-clinical studies and/or clinical trials may be found unreliable or insufficient to support approval;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9" w:name="page30"/>
    <w:bookmarkEnd w:id="29"/>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 New PMA applications or PMA supplements may also be required for modifications to any approved diagnostic tests, including modifications to our manufacturing processes, device labeling and device design, based on the findings of post-approval studies.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or PORA, and other comparable state laws. Together these restrictions generally prohibit us from billing a patient or any governmental or private payer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5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49" w:lineRule="exact"/>
        <w:rPr>
          <w:rFonts w:ascii="Arial" w:cs="Arial" w:eastAsia="Arial" w:hAnsi="Arial"/>
          <w:sz w:val="18"/>
          <w:szCs w:val="18"/>
          <w:color w:val="auto"/>
        </w:rPr>
      </w:pPr>
    </w:p>
    <w:p>
      <w:pPr>
        <w:ind w:left="660" w:right="460" w:hanging="328"/>
        <w:spacing w:after="0"/>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imposition of up to three times the amounts for each item or service wrongfully claimed;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14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Further, a violation of PORA is a misdemeanor and could result in civil penalties and criminal fines. Other states also have self-referral restrictions with which we have to comply, some of which differ from those imposed by the Stark Law or California law.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0" w:name="page31"/>
    <w:bookmarkEnd w:id="30"/>
    <w:p>
      <w:pPr>
        <w:ind w:right="20"/>
        <w:spacing w:after="0" w:line="23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assert that a claim that includes items or services resulting from a violation of the Anti-kickback Statute constitutes a false or fraudulent claim under the Federal False Claims Act, which is discussed in greater detail below. Additionally, a person or entity does not need to have actual knowledge of the statute or specific intent to violate it in order to have committed a violation.</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 care program, a number of states, including California, have passed statutes substantially similar to the Anti-kickback Statute that apply to all third-party payers, including commercial insurers, and in some states, to patients without insurance.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Anti-kickback Statute, holding that the statute may be violated if merely one purpose of a payment arrangement is to induce referrals or purchases.</w:t>
      </w:r>
    </w:p>
    <w:p>
      <w:pPr>
        <w:spacing w:after="0" w:line="15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w:t>
      </w:r>
    </w:p>
    <w:p>
      <w:pPr>
        <w:spacing w:after="0" w:line="14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Failure to meet the requirements of the safe harbor, however, does not render an arrangement illegal. Rather, the government may evaluate such arrangements on a case-by-case basis, taking into account all facts and circumstances. There are no regulatory safe harbors under California laws.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17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which may be broader in scope and may apply regardless of payer.</w:t>
      </w:r>
    </w:p>
    <w:p>
      <w:pPr>
        <w:spacing w:after="0" w:line="1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significant civil monetary penalties for each wrongful act and up to three times the amount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spacing w:after="0" w:line="236" w:lineRule="auto"/>
        <w:rPr>
          <w:sz w:val="20"/>
          <w:szCs w:val="20"/>
          <w:color w:val="auto"/>
        </w:rPr>
      </w:pPr>
      <w:r>
        <w:rPr>
          <w:rFonts w:ascii="Arial" w:cs="Arial" w:eastAsia="Arial" w:hAnsi="Arial"/>
          <w:sz w:val="18"/>
          <w:szCs w:val="18"/>
          <w:color w:val="auto"/>
        </w:rPr>
        <w:t>improperly claimed. Moreover, in certain cases, providers who routinely waive copayments and deductibles for Medicare and Medicaid beneficiaries can also be held liable under the Anti-Kickback Statute and False Claims Act. One of the statutory exceptions to the prohibition is non-routine, unadvertised waivers of copayments or deductible amounts based on individualized determinations of financial need or exhaustion of reasonable collection efforts. The Office of Inspector General of HHS, or OIG, emphasizes, however, that this exception should only be used occasionally to address special financial needs of a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payers.</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Patient Protection and Affordable Care Act of 2010, as amended by the Health Care and Education Reconciliation Act of 2010, collectively the Affordable Care Act, or ACA, among other things, also imposed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 care providers beginning in 2022, and teaching hospitals, as well as ownership and investment interests held by physicians (as defined under the statute)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5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U.S. Foreign Corrupt Practices Act, or FCPA, and/or other applicable anti-corruption laws.</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2" w:name="page33"/>
    <w:bookmarkEnd w:id="32"/>
    <w:p>
      <w:pPr>
        <w:spacing w:after="0" w:line="238" w:lineRule="auto"/>
        <w:rPr>
          <w:sz w:val="20"/>
          <w:szCs w:val="20"/>
          <w:color w:val="auto"/>
        </w:rPr>
      </w:pPr>
      <w:r>
        <w:rPr>
          <w:rFonts w:ascii="Arial" w:cs="Arial" w:eastAsia="Arial" w:hAnsi="Arial"/>
          <w:sz w:val="18"/>
          <w:szCs w:val="18"/>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Insurance Portability and Accountability Act; California Consumer Privacy Act of 2018, or the CCPA</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Under HIPAA, as amended by the Health Information Technology for Economic and Clinical Health Act, or HITECH Act, HHS has issued regulations to protect the privacy and security of protected health information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HIPAA security regulations establish requirements for safeguarding the confidentiality, integrity, and availability of PHI that is electronically transmitted or electronically stored. The HIPAA breach notification regulations impose certain reporting requirements on covered entities and their business associates in the event of a breach of PHI. 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w:t>
      </w:r>
    </w:p>
    <w:p>
      <w:pPr>
        <w:spacing w:after="0" w:line="15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49"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Even when HIPAA does not apply, according to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14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recently adopted the California Consumer Privacy Act of 2018, or the CCPA, which went into effect January 1, 2020. The CCPA has been characterized as the first “GDPR-like” privacy statute to be enacted in the United States because it mirrors a number of the key provisions of the European Union General Data Protection Regulation, or the GDPR, (discussed below).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“protected health information” maintained by a covered entity or business associate, it may regulate or impact our processing of personal information depending on the context.</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GDPR and Foreign Laws</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In Europe, the European Union enacted Regulation (EU) 2016/679 (General Data Protection Regulation, or GDPR), has been enacted in the European Union and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pseudonymised (i.e., key-coded) data, mandatory data breach notification requirements, more robust rights for individuals in regard to their personal data and higher standards for controllers to demonstrate that they have obtained valid consent for certain data processing activities. The GDPR provides that European Union and European Economic Area or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 Additionally, following the United Kingdom’s withdrawal from the European Union, we will have to comply with the GDPR and the United Kingdom GDPR, each regime having the ability to fine up to the greater of € 20 million/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and Government Reimbursement for Clinical Laboratory Services</w:t>
      </w:r>
    </w:p>
    <w:p>
      <w:pPr>
        <w:spacing w:after="0" w:line="180" w:lineRule="exact"/>
        <w:rPr>
          <w:sz w:val="20"/>
          <w:szCs w:val="20"/>
          <w:color w:val="auto"/>
        </w:rPr>
      </w:pPr>
    </w:p>
    <w:p>
      <w:pPr>
        <w:ind w:right="260"/>
        <w:spacing w:after="0" w:line="217" w:lineRule="auto"/>
        <w:rPr>
          <w:sz w:val="20"/>
          <w:szCs w:val="20"/>
          <w:color w:val="auto"/>
        </w:rPr>
      </w:pPr>
      <w:r>
        <w:rPr>
          <w:rFonts w:ascii="Arial" w:cs="Arial" w:eastAsia="Arial" w:hAnsi="Arial"/>
          <w:sz w:val="18"/>
          <w:szCs w:val="18"/>
          <w:color w:val="auto"/>
        </w:rPr>
        <w:t>Medicare coverage is limited to items and services that are within the scope of a Medicare benefit category that are reasonable and necessary for the diagnosis or treatment of an illness or injury. With 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included substantial changes to the way in which clinical laboratory services will be paid under Medicare. Under PAMA, laboratories that receive the majority of their Medicare revenue from payments made under the CLFS or the Physician Fee Schedule are required to report to CMS, beginning in 2017 and every three years thereafter (or annually for “advanced diagnostic laboratory tests”), private payer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payer payment rates for the tests.</w:t>
      </w:r>
    </w:p>
    <w:p>
      <w:pPr>
        <w:spacing w:after="0" w:line="15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payer rates. For clinical diagnostic laboratory tests that are assigned a new or substantially revised CPT code, initial payment rates will be assigned by the gap-fill methodology, as under prior law. Initial payment rates for new advanced diagnostic laboratory tests will be based on the actual list charge for the laboratory test. Any reductions to payment rates resulting from the new methodology are limited to 10% per test per year in each of the years 2018 through 2020 and to 15% per test per year in each of the years 2021 through 2023. PAMA’s impact on Medicare reimbursement for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in 2019 was a reduction of 10.1% and is expected to be a 7.3% reduction in 2020.</w:t>
      </w:r>
    </w:p>
    <w:p>
      <w:pPr>
        <w:spacing w:after="0" w:line="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PAMA also authorizes the adoption of new, temporary billing codes and unique test identifiers for FDA-cleared or approved tests, as well as advanced diagnostic laboratory tests.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their test. If approved, the codes are issued by the AMA on a quarterly basis. While our testing products are not presently identified by any PLA codes, we may seek a specific PLA code or codes to describe some of our testing products in the future.</w:t>
      </w:r>
    </w:p>
    <w:p>
      <w:pPr>
        <w:spacing w:after="0" w:line="15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payers, such as insurance companies, Medicare, Medicaid, physicians, hospitals, employer groups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4" w:name="page35"/>
    <w:bookmarkEnd w:id="34"/>
    <w:p>
      <w:pPr>
        <w:ind w:right="20"/>
        <w:spacing w:after="0" w:line="236" w:lineRule="auto"/>
        <w:rPr>
          <w:sz w:val="20"/>
          <w:szCs w:val="20"/>
          <w:color w:val="auto"/>
        </w:rPr>
      </w:pPr>
      <w:r>
        <w:rPr>
          <w:rFonts w:ascii="Arial" w:cs="Arial" w:eastAsia="Arial" w:hAnsi="Arial"/>
          <w:sz w:val="18"/>
          <w:szCs w:val="18"/>
          <w:color w:val="auto"/>
        </w:rPr>
        <w:t>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 adversely affect our results of operations and cash flows. Failure to comply with applicable laws relating to billing federal healthcare programs could also lead to various penalties, including:</w:t>
      </w:r>
    </w:p>
    <w:p>
      <w:pPr>
        <w:spacing w:after="0" w:line="4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March 2010, the ACA was enacted in the U.S. The ACA made a number of substantial changes to the way healthcare is financed by governmental and private insurers. For example, the ACA requires each medical device manufacturer to pay a sales tax equal to 2.3% of the price for which such manufacturer sells its medical devices. The medical device tax has been suspended until December 31, 2019, but is scheduled to return beginning in 2020. It is unclear at this time when, or if, the provision of our LDTs will trigger the medical device tax if the FDA ends its policy of general enforcement discretion and regulates certain LDTs as medical devices, and it is possible that this tax will apply to some or all of our existing testing products or testing products we may develop in the future. The ACA also contains a number of other provisions, including provisions governing enrollment in federal and state healthcare programs, reimbursement matters and fraud and abuse, which we expect will impact our industry and our operations in ways that we cannot currently predict. Additionally,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or other efforts to challenge, repeal or replace the ACA will impact the ACA.</w:t>
      </w:r>
    </w:p>
    <w:p>
      <w:pPr>
        <w:spacing w:after="0" w:line="14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Additional state and federal health care reform measures may be adopted in the future, any of which could have a material adverse effect on the clinical laboratory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As of December 31, 2019, we had 153 full-time employees, and 3 temporary employees. These included 31 in laboratory operations, seven in research and development, 63 in sales and marketing and 52 in general and administrative functions. None of our employees is represented by a labor union or covered by a collective bargaining agreement. We consider our relationship with our employees to be good.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183" w:lineRule="auto"/>
        <w:rPr>
          <w:sz w:val="20"/>
          <w:szCs w:val="20"/>
          <w:color w:val="auto"/>
        </w:rPr>
      </w:pPr>
      <w:r>
        <w:rPr>
          <w:rFonts w:ascii="Arial" w:cs="Arial" w:eastAsia="Arial" w:hAnsi="Arial"/>
          <w:sz w:val="15"/>
          <w:szCs w:val="15"/>
          <w:color w:val="auto"/>
        </w:rPr>
        <w:t>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5"/>
          <w:szCs w:val="15"/>
          <w:color w:val="auto"/>
        </w:rPr>
        <w:t xml:space="preserve"> testing product transportation kits from sole-source suppliers.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2019 and 2018 and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our total assets as of December 31, 2019 and 2018, is included in our Financial Statements in Item 8 of this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 our name to Exagen Diagnostics, Inc. In January 2019, we changed our name to Exagen Inc. Our principal executive offices are located at 1261 Liberty Way, Suite C, Vista, California 92081. Our telephone number is (760) 560-1501. Our website address is www.exagen.com. The information contained in, or accessible through, our website is not part of, and is not incorporated by reference into, this Annual Report. Investors should not rely on any such information in deciding whether to purchase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Securities and Exchange Commission, or SEC. Our filings with the SEC are available free of charge on the SEC’s website at www.sec.gov and on the “Investors” section of our website as soon as reasonably practicable after we electronically file such material with, or furnish it to, the SEC. You may also read and copy, at SEC prescribed rates, any document we file with the SEC at the SEC’s Public Reference Room located at 100 F Street, N.E., Washington D.C. 20549. You can call the SEC at 1-800-SEC-0330 to obtain information on the operation of the Public Reference Room.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on Form 10-K,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12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We have incurred net losses since our inception. For the years ended December 31, 2019 and 2018, we incurred net losses of $12.0 and $8.0 million, respectively, and we expect to incur additional losses this year and in future years. As of December 31, 2019, we had an accumulated deficit of $164.6 million. Over the next several years, we expect to continue to devote substantially all of our resources to increase adoption of, and reimbursement for, our testing products, to promote SIMPONI</w:t>
      </w:r>
      <w:r>
        <w:rPr>
          <w:rFonts w:ascii="Arial" w:cs="Arial" w:eastAsia="Arial" w:hAnsi="Arial"/>
          <w:sz w:val="27"/>
          <w:szCs w:val="27"/>
          <w:color w:val="auto"/>
          <w:vertAlign w:val="superscript"/>
        </w:rPr>
        <w:t>®</w:t>
      </w:r>
      <w:r>
        <w:rPr>
          <w:rFonts w:ascii="Arial" w:cs="Arial" w:eastAsia="Arial" w:hAnsi="Arial"/>
          <w:sz w:val="17"/>
          <w:szCs w:val="17"/>
          <w:color w:val="auto"/>
        </w:rPr>
        <w:t>, to develop future testing products and to continue to execute our integrated testing and therapeutics strategy. We may not be able to generate sufficient revenue to achieve and maintain profitability. Our failure to achieve and maintain profitability in the future could cause the market price of our common stock to decline.</w:t>
      </w:r>
    </w:p>
    <w:p>
      <w:pPr>
        <w:spacing w:after="0" w:line="14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only recently began transitioning toward an integrated testing and therapeutics strategy.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8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6" w:name="page37"/>
    <w:bookmarkEnd w:id="36"/>
    <w:p>
      <w:pPr>
        <w:ind w:right="160"/>
        <w:spacing w:after="0" w:line="238" w:lineRule="auto"/>
        <w:rPr>
          <w:sz w:val="20"/>
          <w:szCs w:val="20"/>
          <w:color w:val="auto"/>
        </w:rPr>
      </w:pPr>
      <w:r>
        <w:rPr>
          <w:rFonts w:ascii="Arial" w:cs="Arial" w:eastAsia="Arial" w:hAnsi="Arial"/>
          <w:sz w:val="18"/>
          <w:szCs w:val="18"/>
          <w:color w:val="auto"/>
        </w:rPr>
        <w:t>A significant majority of our historical revenue has been derived from the sale of our AVISE® CTD testing product, which we commercially launched in 2012. In the near term, we expect to continue to derive a majority of our revenue from sales of AVISE® CTD. We are in various stages of research and development with respect to other testing products that we may offer, but there can be no assurance that we will be able to commercialize these testing products.</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 which could adversely affect our ability to implement this strategy.</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 in the United States. Pursuant to the Janssen Agreement, we are entitled to receive a tiered promotion fee based on the total number of incremental prescriptions written above an established baseline. Our ability to effectively co-promote SIMPONI® will require us to be successful in a range of activities, including hiring, training and deploying additional sales representatives and creating demand for SIMPONI® through our commercial and sales activities as well as those of Janssen Biotech, Inc., or Janssen. Moreover, we may encounter difficulties in hiring effective sales representatives in furtherance of our promotion efforts for SIMPONI®, which could have a material impact on our ability to successfully generate co-promotion revenue. If we encounter difficulties promoting SIMPONI®, our ability to generate significant revenue under the Janssen Agreement will be harmed. Janssen also has the right to terminate the Janssen agreement with or without cause after 30-days’ notice. If Janssen were to exercise this right, we may be unable to recoup substantial investments we have made and intend to make in order to support the promotion of SIMPONI®.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55" w:lineRule="exact"/>
        <w:rPr>
          <w:sz w:val="20"/>
          <w:szCs w:val="20"/>
          <w:color w:val="auto"/>
        </w:rPr>
      </w:pPr>
    </w:p>
    <w:p>
      <w:pPr>
        <w:ind w:right="80"/>
        <w:spacing w:after="0" w:line="204"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8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expanded our salesforce from 31 representatives as of December 31, 2018 to 50 representatives as of December 31, 2019, and expect to continue to expand our salesforce in 2020, which we believe will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7" w:name="page38"/>
    <w:bookmarkEnd w:id="37"/>
    <w:p>
      <w:pPr>
        <w:ind w:right="20"/>
        <w:spacing w:after="0" w:line="253" w:lineRule="auto"/>
        <w:rPr>
          <w:sz w:val="20"/>
          <w:szCs w:val="20"/>
          <w:color w:val="auto"/>
        </w:rPr>
      </w:pPr>
      <w:r>
        <w:rPr>
          <w:rFonts w:ascii="Arial" w:cs="Arial" w:eastAsia="Arial" w:hAnsi="Arial"/>
          <w:sz w:val="18"/>
          <w:szCs w:val="18"/>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137" w:lineRule="exact"/>
        <w:rPr>
          <w:sz w:val="20"/>
          <w:szCs w:val="20"/>
          <w:color w:val="auto"/>
        </w:rPr>
      </w:pPr>
    </w:p>
    <w:p>
      <w:pPr>
        <w:ind w:right="360"/>
        <w:spacing w:after="0" w:line="222" w:lineRule="auto"/>
        <w:rPr>
          <w:sz w:val="20"/>
          <w:szCs w:val="20"/>
          <w:color w:val="auto"/>
        </w:rPr>
      </w:pPr>
      <w:r>
        <w:rPr>
          <w:rFonts w:ascii="Arial" w:cs="Arial" w:eastAsia="Arial" w:hAnsi="Arial"/>
          <w:sz w:val="18"/>
          <w:szCs w:val="18"/>
          <w:color w:val="auto"/>
        </w:rPr>
        <w:t>In addition to the Janssen agreement, we plan to opportunistically evaluate, and may continue to enter into, additional agreements with pharmaceutical companies to integrate the promotion of our testing products with their therapeutics. We have also entered into, and may continue to enter into, other agreements that leverage our testing products and data generated from such tests. For example, we provide GSK our test result data to provide market insight into and help increase awareness of the benefits of an early and accurate diagnosis of SLE; and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 data is used by Horizon Therapeutics to report on levels of MTXPG in patients undergoing methotrexate therapy in combination with its anti-gout product, KRYSTEXXA</w:t>
      </w:r>
      <w:r>
        <w:rPr>
          <w:rFonts w:ascii="Arial" w:cs="Arial" w:eastAsia="Arial" w:hAnsi="Arial"/>
          <w:sz w:val="28"/>
          <w:szCs w:val="28"/>
          <w:color w:val="auto"/>
          <w:vertAlign w:val="superscript"/>
        </w:rPr>
        <w:t>®</w:t>
      </w:r>
      <w:r>
        <w:rPr>
          <w:rFonts w:ascii="Arial" w:cs="Arial" w:eastAsia="Arial" w:hAnsi="Arial"/>
          <w:sz w:val="18"/>
          <w:szCs w:val="18"/>
          <w:color w:val="auto"/>
        </w:rPr>
        <w:t>, in an ongoing Phase 4 clinical trial.</w:t>
      </w:r>
    </w:p>
    <w:p>
      <w:pPr>
        <w:spacing w:after="0" w:line="15" w:lineRule="exact"/>
        <w:rPr>
          <w:sz w:val="20"/>
          <w:szCs w:val="20"/>
          <w:color w:val="auto"/>
        </w:rPr>
      </w:pPr>
    </w:p>
    <w:p>
      <w:pPr>
        <w:ind w:right="20"/>
        <w:spacing w:after="0" w:line="186" w:lineRule="auto"/>
        <w:rPr>
          <w:sz w:val="20"/>
          <w:szCs w:val="20"/>
          <w:color w:val="auto"/>
        </w:rPr>
      </w:pPr>
      <w:r>
        <w:rPr>
          <w:rFonts w:ascii="Arial" w:cs="Arial" w:eastAsia="Arial" w:hAnsi="Arial"/>
          <w:sz w:val="17"/>
          <w:szCs w:val="17"/>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27"/>
          <w:szCs w:val="27"/>
          <w:color w:val="auto"/>
          <w:vertAlign w:val="superscript"/>
        </w:rPr>
        <w:t>®</w:t>
      </w:r>
      <w:r>
        <w:rPr>
          <w:rFonts w:ascii="Arial" w:cs="Arial" w:eastAsia="Arial" w:hAnsi="Arial"/>
          <w:sz w:val="17"/>
          <w:szCs w:val="17"/>
          <w:color w:val="auto"/>
        </w:rPr>
        <w:t>, such as pricing decisions, manufacture and supply of SIMPONI</w:t>
      </w:r>
      <w:r>
        <w:rPr>
          <w:rFonts w:ascii="Arial" w:cs="Arial" w:eastAsia="Arial" w:hAnsi="Arial"/>
          <w:sz w:val="27"/>
          <w:szCs w:val="27"/>
          <w:color w:val="auto"/>
          <w:vertAlign w:val="superscript"/>
        </w:rPr>
        <w:t>®</w:t>
      </w:r>
      <w:r>
        <w:rPr>
          <w:rFonts w:ascii="Arial" w:cs="Arial" w:eastAsia="Arial" w:hAnsi="Arial"/>
          <w:sz w:val="17"/>
          <w:szCs w:val="17"/>
          <w:color w:val="auto"/>
        </w:rPr>
        <w:t>, reimbursement support, marketing materials, the prosecution and enforcement of patents and other intellectual property rights related to SIMPONI</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public communications and presentations regarding SIMPONI</w:t>
      </w:r>
      <w:r>
        <w:rPr>
          <w:rFonts w:ascii="Arial" w:cs="Arial" w:eastAsia="Arial" w:hAnsi="Arial"/>
          <w:sz w:val="27"/>
          <w:szCs w:val="27"/>
          <w:color w:val="auto"/>
          <w:vertAlign w:val="superscript"/>
        </w:rPr>
        <w:t>®</w:t>
      </w:r>
      <w:r>
        <w:rPr>
          <w:rFonts w:ascii="Arial" w:cs="Arial" w:eastAsia="Arial" w:hAnsi="Arial"/>
          <w:sz w:val="17"/>
          <w:szCs w:val="17"/>
          <w:color w:val="auto"/>
        </w:rPr>
        <w:t>. We likewise have limited control of how our other partners use the information provided by our testing products.</w:t>
      </w:r>
    </w:p>
    <w:p>
      <w:pPr>
        <w:spacing w:after="0" w:line="150"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28"/>
          <w:szCs w:val="28"/>
          <w:color w:val="auto"/>
          <w:vertAlign w:val="superscript"/>
        </w:rPr>
        <w:t>®</w:t>
      </w:r>
      <w:r>
        <w:rPr>
          <w:rFonts w:ascii="Arial" w:cs="Arial" w:eastAsia="Arial" w:hAnsi="Arial"/>
          <w:sz w:val="18"/>
          <w:szCs w:val="18"/>
          <w:color w:val="auto"/>
        </w:rPr>
        <w:t>. If Janssen commercializes any competing products, it may provide lower levels of support to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149"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We rely on Janssen to provide, on a timely basis, an adequate and reliable supply of SIMPONI</w:t>
      </w:r>
      <w:r>
        <w:rPr>
          <w:rFonts w:ascii="Arial" w:cs="Arial" w:eastAsia="Arial" w:hAnsi="Arial"/>
          <w:sz w:val="28"/>
          <w:szCs w:val="28"/>
          <w:color w:val="auto"/>
          <w:vertAlign w:val="superscript"/>
        </w:rPr>
        <w:t>®</w:t>
      </w:r>
      <w:r>
        <w:rPr>
          <w:rFonts w:ascii="Arial" w:cs="Arial" w:eastAsia="Arial" w:hAnsi="Arial"/>
          <w:sz w:val="18"/>
          <w:szCs w:val="18"/>
          <w:color w:val="auto"/>
        </w:rPr>
        <w:t>. Any delay or interruption of supply or Janssen’s failure to comply with regulatory or other requirements could limit its ability to make, or cause it to cease sales, of SIMPONI</w:t>
      </w:r>
      <w:r>
        <w:rPr>
          <w:rFonts w:ascii="Arial" w:cs="Arial" w:eastAsia="Arial" w:hAnsi="Arial"/>
          <w:sz w:val="28"/>
          <w:szCs w:val="28"/>
          <w:color w:val="auto"/>
          <w:vertAlign w:val="superscript"/>
        </w:rPr>
        <w:t>®</w:t>
      </w:r>
      <w:r>
        <w:rPr>
          <w:rFonts w:ascii="Arial" w:cs="Arial" w:eastAsia="Arial" w:hAnsi="Arial"/>
          <w:sz w:val="18"/>
          <w:szCs w:val="18"/>
          <w:color w:val="auto"/>
        </w:rPr>
        <w:t>. Any manufacturing defect or error discovered after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For example, in December 2019, a novel strain of coronavirus, COVID-19, has resulted in business closures and a limit on travel, as well as creating uncertainty in the broader economy and financial markets. Any disruption, including the extent to which COVID-19 has an effect on Janssen, may impact our ability to readily obtain supply and other requirements under our agreement with Janssen. To the extent Janssen faces manufacturing difficulties or is unable to provide an adequate and reliable supply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on a timely basis, our reputation could be harmed and our business could suffer.</w:t>
      </w:r>
    </w:p>
    <w:p>
      <w:pPr>
        <w:spacing w:after="0" w:line="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 financial, marketing and sales resources than we do, also compete with us for the acquisition of rights to therapeutics. In addition, under the Janssen agreement, we are prohibited from selling or promoting certain types of products that are used to treat the same indications that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 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 between us and our existing or future partners, as to a variety of matters,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8" w:name="page39"/>
    <w:bookmarkEnd w:id="38"/>
    <w:p>
      <w:pPr>
        <w:ind w:right="80"/>
        <w:spacing w:after="0" w:line="246" w:lineRule="auto"/>
        <w:rPr>
          <w:sz w:val="20"/>
          <w:szCs w:val="20"/>
          <w:color w:val="auto"/>
        </w:rPr>
      </w:pPr>
      <w:r>
        <w:rPr>
          <w:rFonts w:ascii="Arial" w:cs="Arial" w:eastAsia="Arial" w:hAnsi="Arial"/>
          <w:sz w:val="18"/>
          <w:szCs w:val="18"/>
          <w:color w:val="auto"/>
        </w:rPr>
        <w:t>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recent global outbreak of the COVID-19 coronavirus.</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recent outbreak of the coronavirus, COVID-19, which has been declared by the World Health Organization to be a pandemic has spread across the globe and is impacting worldwide economic activity. A pandemic, including COVID-19 or other public health epidemic, poses the risk that we or our employees, contractors, suppliers, third party shipping carries, government and third party payors and other partners may be prevented from conducting business activities for an indefinite period of time, including due to spread of the disease within these groups or due to shutdowns that may be requested or mandated by governmental authorities. While it is not possible at this time to estimate the impact that COVID-19 could have on our business, the continued spread of COVID-19 and the measures taken by the governments of countries affected could disrupt, among other things, the supply chain and the manufacture or shipment of testing products, our ability to process tests and deliver results, delay coverage decisions from Medicare and third party payors, and delay ongoing and planned clinical trials involving our tests. Additionally, we may experience a decrease or potential halt in shipments of our testing products as our suppliers may be required to focus their resources to manufacture testing kits in response to the COVID-19 outbreak, which could in turn result in decreased gross margins. Our laboratory operations, including laboratory employees and medical directors, may be subject to closure or shut down, either due to the spread of the disease within these individuals, or as part of a larger scale government recommendation or mandate. Any disruption in our laboratory operations would have a material adverse effect on our business and would impede our ability to process tests in a timely manner, or at all. Additionally, the demand for our testing products, and the demand for therapeutics, may significantly decline or cease as COVID-19 continues to spread, including as a result of prioritization of hospital or clinical resources toward the outbreak or government imposed quarantines that impede patient movement or interrupt healthcare services or patients otherwise delaying or declining to seek treatment. As it relates to our promotion efforts of SIMPONI, we may experience decreased demand for or discontinued treatment with SIMPONI from patients who are infected by COVID-19 or who may be at higher risk of infection if it is determined that such patients should minimize exposure to immunosuppressant therapies. The occurrence of any of the foregoing events could have a material adverse effect on our business, financial condition and results of operations. The COVID-19 outbreak and mitigation measures have had and may continue to have an adverse impact on global economic conditions which could have an adverse effect on our business and financial condition, including impairing our ability to raise capital when needed. The extent to which the COVID-19 outbreak impacts our results will depend on future developments that are highly uncertain and cannot be predicted, including new information that may emerge concerning the severity of the virus and the actions to contain its impact.</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2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For example, in the fourth quarter of 2019, we were featured in nine scientific presentations at the 2019 American College of Rheumatology's (ACR/ARHP) Annual Conference.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payers may limit adoption by rheumatologists. With respect to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particular, if we are unable to generate sales above certain thresholds agreed to with Janssen, we will not receive any payments under the Janssen agreement.</w:t>
      </w:r>
    </w:p>
    <w:p>
      <w:pPr>
        <w:spacing w:after="0" w:line="148"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9" w:name="page40"/>
    <w:bookmarkEnd w:id="39"/>
    <w:p>
      <w:pPr>
        <w:ind w:right="300"/>
        <w:spacing w:after="0" w:line="238"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payers, patients and the medical community. Market acceptance of our testing products and promoted therapeutics depends on a number of factors, including:</w:t>
      </w:r>
    </w:p>
    <w:p>
      <w:pPr>
        <w:spacing w:after="0" w:line="4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49" w:lineRule="exact"/>
        <w:rPr>
          <w:rFonts w:ascii="Arial" w:cs="Arial" w:eastAsia="Arial" w:hAnsi="Arial"/>
          <w:sz w:val="18"/>
          <w:szCs w:val="18"/>
          <w:color w:val="auto"/>
        </w:rPr>
      </w:pPr>
    </w:p>
    <w:p>
      <w:pPr>
        <w:ind w:left="660" w:right="10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34"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49"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from our promoted therapeutics;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restrictions on the use of our promoted therapeutics, if approved, together with other medications;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publicity concerning our testing products and promoted therapeutics or competing products and treatments;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payers, including government authorities;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In addition, if we or our partners had to withdraw a product from the market, it could harm our business and could impact market acceptance of our other testing products or promoted therapeutics. Further,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consists of various biomarkers, any of which could independently encounter issues with manufacturing, supply or overall quality. If any of the biomarkers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were to encounter any issues, we may experience an impact in the overall success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 a whole, including a reduction in average selling price or overall revenue, until such time as it can be remedied. Moreover, if our testing products and promoted therapeutics do not achieve an adequate level of acceptance by rheumatologists, hospitals, third-party payers or patients, we may not generate sufficient revenue from that testing product or therapeutic and may not become or remain profitable. Our efforts to educate the medical community and third-party payers regarding the benefits of our testing products and promoted therapeutics may require significant resources and may never be successful.</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The sizes of the markets for our testing products and promoted therapeutics have not been established with precision, and may be smaller than we estimate.</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12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promoted therapeutics. As a result, we may forego or delay pursuit of opportunities with others that could have had greater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ind w:right="20"/>
        <w:spacing w:after="0" w:line="238" w:lineRule="auto"/>
        <w:rPr>
          <w:sz w:val="20"/>
          <w:szCs w:val="20"/>
          <w:color w:val="auto"/>
        </w:rPr>
      </w:pPr>
      <w:r>
        <w:rPr>
          <w:rFonts w:ascii="Arial" w:cs="Arial" w:eastAsia="Arial" w:hAnsi="Arial"/>
          <w:sz w:val="18"/>
          <w:szCs w:val="18"/>
          <w:color w:val="auto"/>
        </w:rPr>
        <w:t>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ind w:left="660" w:hanging="328"/>
        <w:spacing w:after="0" w:line="22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continue to promote SIMPONI</w:t>
      </w:r>
      <w:r>
        <w:rPr>
          <w:rFonts w:ascii="Arial" w:cs="Arial" w:eastAsia="Arial" w:hAnsi="Arial"/>
          <w:sz w:val="28"/>
          <w:szCs w:val="28"/>
          <w:color w:val="auto"/>
          <w:vertAlign w:val="superscript"/>
        </w:rPr>
        <w:t>®</w:t>
      </w:r>
      <w:r>
        <w:rPr>
          <w:rFonts w:ascii="Arial" w:cs="Arial" w:eastAsia="Arial" w:hAnsi="Arial"/>
          <w:sz w:val="18"/>
          <w:szCs w:val="18"/>
          <w:color w:val="auto"/>
        </w:rPr>
        <w:t>;</w:t>
      </w:r>
    </w:p>
    <w:p>
      <w:pPr>
        <w:ind w:left="660" w:right="40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health crises such as the recent COVID-19 outbreak;</w:t>
      </w:r>
    </w:p>
    <w:p>
      <w:pPr>
        <w:spacing w:after="0" w:line="49" w:lineRule="exact"/>
        <w:rPr>
          <w:rFonts w:ascii="Arial" w:cs="Arial" w:eastAsia="Arial" w:hAnsi="Arial"/>
          <w:sz w:val="18"/>
          <w:szCs w:val="18"/>
          <w:color w:val="auto"/>
        </w:rPr>
      </w:pPr>
    </w:p>
    <w:p>
      <w:pPr>
        <w:jc w:val="both"/>
        <w:ind w:left="660" w:right="580" w:hanging="328"/>
        <w:spacing w:after="0"/>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40" w:lineRule="exact"/>
        <w:rPr>
          <w:rFonts w:ascii="Arial" w:cs="Arial" w:eastAsia="Arial" w:hAnsi="Arial"/>
          <w:sz w:val="18"/>
          <w:szCs w:val="18"/>
          <w:color w:val="auto"/>
        </w:rPr>
      </w:pPr>
    </w:p>
    <w:p>
      <w:pPr>
        <w:ind w:left="660" w:right="8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testing products and promoted therapeutics, which may vary significantly;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 and promoted therapeutics;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49" w:lineRule="exact"/>
        <w:rPr>
          <w:rFonts w:ascii="Arial" w:cs="Arial" w:eastAsia="Arial" w:hAnsi="Arial"/>
          <w:sz w:val="18"/>
          <w:szCs w:val="18"/>
          <w:color w:val="auto"/>
        </w:rPr>
      </w:pPr>
    </w:p>
    <w:p>
      <w:pPr>
        <w:ind w:left="660" w:right="34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and extent to which payers make an overpayment determination and require us to return all or some portion of payments which we received in a prior period; and</w:t>
      </w:r>
    </w:p>
    <w:p>
      <w:pPr>
        <w:spacing w:after="0" w:line="34"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4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12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including as a result of the COVID-19 outbreak, if the materials do not meet our quality specifications, or if we cannot obtain acceptable substitute materials, an interruption in test processing could occur and, in certain circumstances, we may be required to amend or cancel test results we have issued. For example, in November 2019 we identified a potential quality issue with reagents for Anti-CarP, a biomarker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w:t>
      </w:r>
    </w:p>
    <w:p>
      <w:pPr>
        <w:spacing w:after="0" w:line="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test. As a result, if we are unable to remedy the quality issue discovered, or otherwise find a supplier for this biomarker, we may experience difficulties obtaining market acceptance for our products. Moreover, any issues with</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ind w:right="580"/>
        <w:spacing w:after="0" w:line="218" w:lineRule="auto"/>
        <w:rPr>
          <w:sz w:val="20"/>
          <w:szCs w:val="20"/>
          <w:color w:val="auto"/>
        </w:rPr>
      </w:pPr>
      <w:r>
        <w:rPr>
          <w:rFonts w:ascii="Arial" w:cs="Arial" w:eastAsia="Arial" w:hAnsi="Arial"/>
          <w:sz w:val="18"/>
          <w:szCs w:val="18"/>
          <w:color w:val="auto"/>
        </w:rPr>
        <w:t>quality may result in a change from time to time of the composition of our tests, including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could impact the average selling price and revenues received from sales of such test.</w:t>
      </w:r>
    </w:p>
    <w:p>
      <w:pPr>
        <w:spacing w:after="0" w:line="14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83"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9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payers, including government payers, such as Medicare and Medicaid and private insurers. For the testing products that we develop and commercialize as well as the therapeutics we promote, each third-party payer decides whether to cover the product, the amount it will reimburse for a covered product and the specific conditions for reimbursement.</w:t>
      </w:r>
    </w:p>
    <w:p>
      <w:pPr>
        <w:spacing w:after="0" w:line="151"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Reimbursement by third-party payers may depend on a number of factors, including the payer’s determination that tests using our technologies are:</w:t>
      </w:r>
    </w:p>
    <w:p>
      <w:pPr>
        <w:spacing w:after="0" w:line="3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demonstrated lead to improved patient outcomes;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we are unable to provide third-party payers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payers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 Moreover, the recent outbreak of COVID-19 may cause a delay in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2" w:name="page43"/>
    <w:bookmarkEnd w:id="42"/>
    <w:p>
      <w:pPr>
        <w:ind w:right="280"/>
        <w:spacing w:after="0" w:line="246" w:lineRule="auto"/>
        <w:rPr>
          <w:sz w:val="20"/>
          <w:szCs w:val="20"/>
          <w:color w:val="auto"/>
        </w:rPr>
      </w:pPr>
      <w:r>
        <w:rPr>
          <w:rFonts w:ascii="Arial" w:cs="Arial" w:eastAsia="Arial" w:hAnsi="Arial"/>
          <w:sz w:val="18"/>
          <w:szCs w:val="18"/>
          <w:color w:val="auto"/>
        </w:rPr>
        <w:t>coverage decisions from Medicare and third party payors, and delay ongoing and planned clinical trials involving our testing products, the occurrence of which may have a material adverse effect on our business.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Third-party payers and other entities also conduct technology assessments of new medical tests and devices and provide and/or sell the results of their assessments to other parties. These assessments may be used by third-party payers and health care providers as grounds to deny coverage for or refuse to use a test or procedure. In addition, third-party payers, have increased their efforts to control the cost, utilization and delivery of healthcare services. These measures have resulted in reduced payment rates and decreased utilization for the diagnostics industry.</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April 25, 2012, Palmetto GBA, the Medicare molecular diagnostic services program’s, or MolDx Program’s, contractor, assigned the AVISE® MTX assay a unique identifier and determined that the test meets the applicable Medicare coverage criteria to support dose optimization and therapeutic decision making for patients diagnosed with RA on methotrexate. Our current Medicare Administrative Contractor, Noridian Healthcare Solutions, LLC, or Noridian, has adopted this coverage policy. Other third-party payers make their own decisions as to whether to establish a policy to reimburse our testing products, however, and because approvals must be sought on a payer by payer basis, establishing broad coverage is a time-consuming and costly process. There are many third-party payers who have not yet established a coverage policy applicable to our testing products. In addition, several Blue Cross Blue Shield plans and Aetna issued non-coverage policies with respect to AVISE® Lupus, determining that AVISE® Lupus does not meet the medical criteria for coverage and is considered investigational and/or experimental.</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While our testing products are reimbursed by a number of third-party payers, we do not currently have contracts with significant private payers. We have in the past, and will likely in the future, experience delays and temporary interruptions in the receipt of payments from third-party payers due to changes in their internal processes, documentation requirements and other issues, which could cause our revenue to fluctuate from period to period.</w:t>
      </w:r>
    </w:p>
    <w:p>
      <w:pPr>
        <w:spacing w:after="0" w:line="15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If we are not successful in reversing existing non-coverage policies, or if other third-party payers issue negative coverage policies, these policies could have a material adverse effect on our business and operations. Even if many third-party payers currently reimburse for our testing products, such payers may withdraw coverage at any time, review and adjust the rate of reimbursement, require co-payments from patients or stop paying for our testing products altogether, any of which would reduce our revenue.</w:t>
      </w:r>
    </w:p>
    <w:p>
      <w:pPr>
        <w:spacing w:after="0" w:line="18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payers, including Medicare and private insurance companies, as well as patients, all of which have different billing requirements. We generally bill third-party payers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5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among third-party payers as to which party is responsible for payment;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differences in coverage among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received.</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43" w:name="page44"/>
    <w:bookmarkEnd w:id="43"/>
    <w:p>
      <w:pPr>
        <w:ind w:right="40"/>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4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payers deny our claims, in order to obtain reimbursement for services that we provide, we may challenge coverage and payment denials. Payers also conduct external audits to evaluate payments, which add further complexity to the billing process. If the payer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w:t>
      </w:r>
    </w:p>
    <w:p>
      <w:pPr>
        <w:spacing w:after="0" w:line="15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Additionally, from time to time, third-party payers change processes that may affect timely payment. These changes may result in uneven cash flow or impact the timing of revenue recognized with these payers.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payers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4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2019, Noridian posted the calendar year 2020 Medicare Physician Fee Schedule, or MPFS, and Clinical Laboratory Fee Schedule, or CLFS, which establishes the reimbursement rates to be paid by Medicare for our jurisdiction for services performed on or after January 1, 2020. We have estimated that the implementation of these reimbursement rates will result in an approximate 7.3% reduction in anticipated reimbursements from Medicare for our AVISE® CTD testing product from levels experienced in 2018. Revenue from Medicare comprised 25% and 30% of our revenue for the years ended December 31, 2019 and 2018, respectively. Revenue from the sale of our AVISE® CTD testing products comprised 82% of our revenue for the years ended December 31, 2019 and 2018.</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payers within the timeframe required. If claims for our testing products are not submitted to payers on a timely basis, or if we are required to switch to a different systems provider, it could have an adverse effect on our revenue and our business.</w:t>
      </w:r>
    </w:p>
    <w:p>
      <w:pPr>
        <w:spacing w:after="0" w:line="18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which could have an adverse effect on our revenue and financial condition.</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4" w:name="page45"/>
    <w:bookmarkEnd w:id="44"/>
    <w:p>
      <w:pPr>
        <w:ind w:right="140"/>
        <w:spacing w:after="0" w:line="238" w:lineRule="auto"/>
        <w:rPr>
          <w:sz w:val="20"/>
          <w:szCs w:val="20"/>
          <w:color w:val="auto"/>
        </w:rPr>
      </w:pPr>
      <w:r>
        <w:rPr>
          <w:rFonts w:ascii="Arial" w:cs="Arial" w:eastAsia="Arial" w:hAnsi="Arial"/>
          <w:sz w:val="18"/>
          <w:szCs w:val="18"/>
          <w:color w:val="auto"/>
        </w:rPr>
        <w:t>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 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122"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We sell our testing products through our own specialized salesforce and have recently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For example, to support the co-promotion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we expanded our salesforce from 31 representatives as of December 31, 2018 to 50 representatives as of December 31, 2019 and expect to continue to expand our salesforce in 2020.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28"/>
          <w:szCs w:val="28"/>
          <w:color w:val="auto"/>
          <w:vertAlign w:val="superscript"/>
        </w:rPr>
        <w:t>®</w:t>
      </w:r>
      <w:r>
        <w:rPr>
          <w:rFonts w:ascii="Arial" w:cs="Arial" w:eastAsia="Arial" w:hAnsi="Arial"/>
          <w:sz w:val="18"/>
          <w:szCs w:val="18"/>
          <w:color w:val="auto"/>
        </w:rPr>
        <w:t>, as part of our organization, and they will need to complete additional training in order to effectively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6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salesforce. If we are unsuccessful in this regard, it could negatively impact our revenue growth and potential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 - 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Oncimmune plc, DxTerity Diagnostics Inc., HealthTell, Inc. and Immunovia AB. In the future, we may also face competition from companies developing new products or technologies.</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Direct competition for the promotion of SIMPONI® includes all other companies with anti-TNF biologics and the marketing companies supporting their distribution and promotion. These products include HUMIRA® from Abbvie Inc., ENBREL® from Amgen Inc., CIMZIA® from UCB, INFLECTRA® from Pfizer, (biosimilar REMICADE®) and RENFLEXIS® from Merck &amp; Co. (biosimilar REMICADE®). Additional competitors include companies with other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5" w:name="page46"/>
    <w:bookmarkEnd w:id="45"/>
    <w:p>
      <w:pPr>
        <w:spacing w:after="0" w:line="238" w:lineRule="auto"/>
        <w:rPr>
          <w:sz w:val="20"/>
          <w:szCs w:val="20"/>
          <w:color w:val="auto"/>
        </w:rPr>
      </w:pPr>
      <w:r>
        <w:rPr>
          <w:rFonts w:ascii="Arial" w:cs="Arial" w:eastAsia="Arial" w:hAnsi="Arial"/>
          <w:sz w:val="18"/>
          <w:szCs w:val="18"/>
          <w:color w:val="auto"/>
        </w:rPr>
        <w:t>biologic drugs indicated for RA that have significant sales or sales potential. Specifically, these include ORENCIA® from Bristol-Myers Squibb Company, ACTEMRA® from Roche, RITUXAN® from Roche, XELJANZ® from Pfizer, KEVZARA® from Sanofi S.A., RINVOQ™ from Abbvie Inc. and OLUMIANT® from Eli Lilly and Company. There are also several late-stage RA drug and biosimilar development programs and several additional RA products that have minimal sales to date or that are indicated for other rheumatic indications competitive to SIMPONI® such as psoriatic arthritis and ankylosing spondylitis.</w:t>
      </w:r>
    </w:p>
    <w:p>
      <w:pPr>
        <w:spacing w:after="0" w:line="14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4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54"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220"/>
        <w:spacing w:after="0"/>
        <w:rPr>
          <w:sz w:val="20"/>
          <w:szCs w:val="20"/>
          <w:color w:val="auto"/>
        </w:rPr>
      </w:pPr>
      <w:r>
        <w:rPr>
          <w:rFonts w:ascii="Arial" w:cs="Arial" w:eastAsia="Arial" w:hAnsi="Arial"/>
          <w:sz w:val="18"/>
          <w:szCs w:val="18"/>
          <w:color w:val="auto"/>
        </w:rPr>
        <w:t>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12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7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7" w:name="page48"/>
    <w:bookmarkEnd w:id="47"/>
    <w:p>
      <w:pPr>
        <w:ind w:right="60"/>
        <w:spacing w:after="0" w:line="237" w:lineRule="auto"/>
        <w:rPr>
          <w:sz w:val="20"/>
          <w:szCs w:val="20"/>
          <w:color w:val="auto"/>
        </w:rPr>
      </w:pPr>
      <w:r>
        <w:rPr>
          <w:rFonts w:ascii="Arial" w:cs="Arial" w:eastAsia="Arial" w:hAnsi="Arial"/>
          <w:sz w:val="18"/>
          <w:szCs w:val="18"/>
          <w:color w:val="auto"/>
        </w:rPr>
        <w:t>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 and the treatment of RA, active psoriatic arthritis, or active ankylosing spondylitis, there are many novel therapeutic approaches in development and we expect that the competition in this market will increase dramatically. If new therapeutics make SIMPONI® obsolete or diminish the degree to which rheumatologists prescribe it, our ability to generate revenue under the Janssen agreement will be harmed.</w:t>
      </w:r>
    </w:p>
    <w:p>
      <w:pPr>
        <w:spacing w:after="0" w:line="18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payers.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8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12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8" w:name="page49"/>
    <w:bookmarkEnd w:id="48"/>
    <w:p>
      <w:pPr>
        <w:ind w:right="60"/>
        <w:spacing w:after="0" w:line="246" w:lineRule="auto"/>
        <w:rPr>
          <w:sz w:val="20"/>
          <w:szCs w:val="20"/>
          <w:color w:val="auto"/>
        </w:rPr>
      </w:pPr>
      <w:r>
        <w:rPr>
          <w:rFonts w:ascii="Arial" w:cs="Arial" w:eastAsia="Arial" w:hAnsi="Arial"/>
          <w:sz w:val="18"/>
          <w:szCs w:val="18"/>
          <w:color w:val="auto"/>
        </w:rPr>
        <w:t>will, which means that either we or the employee may terminate their employment at any time. We do not carry key man insurance for any of our employees.</w:t>
      </w:r>
    </w:p>
    <w:p>
      <w:pPr>
        <w:spacing w:after="0" w:line="175"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recent management changes create uncertainties and could have a material adverse impact on our business, results of operations and financial condition.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2019, Thierry Dervieux, Ph.D. resigned as our Chief Scientific Officer. Executive leadership transitions can be inherently difficult to manage and may cause disruption to our business. As a result of the recent changes in our management team, our existing management team has taken on additional responsibility, which has resulted in greater workload demands and could divert their attention away from certain key areas of our business. In addition, management transition inherently causes some loss of institutional knowledge, which can negatively affect strategy and execution, and our results of operations and financial condition could suffer as a result. The loss of services of one or more other members of senior management could have a material adverse effect on our business, operating results and financial condition.</w:t>
      </w:r>
    </w:p>
    <w:p>
      <w:pPr>
        <w:spacing w:after="0" w:line="18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or public health crises such as the COVID-19 outbreak.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including as a result of the COVID-19 outbreak,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5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15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9" w:name="page50"/>
    <w:bookmarkEnd w:id="49"/>
    <w:p>
      <w:pPr>
        <w:jc w:val="both"/>
        <w:spacing w:after="0"/>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13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part of our process of determining CB-CAPs, which is part of our AVISE®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12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4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49"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salesforce and other personnel in a timely manner to conduct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0" w:name="page51"/>
    <w:bookmarkEnd w:id="50"/>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5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49" w:lineRule="exact"/>
        <w:rPr>
          <w:rFonts w:ascii="Arial" w:cs="Arial" w:eastAsia="Arial" w:hAnsi="Arial"/>
          <w:sz w:val="18"/>
          <w:szCs w:val="18"/>
          <w:color w:val="auto"/>
        </w:rPr>
      </w:pPr>
    </w:p>
    <w:p>
      <w:pPr>
        <w:ind w:left="660" w:right="44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3"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13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Economic and Clinical Health Act, or the HITECH Act, and their implementing regulations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14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1" w:name="page52"/>
    <w:bookmarkEnd w:id="51"/>
    <w:p>
      <w:pPr>
        <w:ind w:right="160"/>
        <w:spacing w:after="0" w:line="236" w:lineRule="auto"/>
        <w:rPr>
          <w:sz w:val="20"/>
          <w:szCs w:val="20"/>
          <w:color w:val="auto"/>
        </w:rPr>
      </w:pPr>
      <w:r>
        <w:rPr>
          <w:rFonts w:ascii="Arial" w:cs="Arial" w:eastAsia="Arial" w:hAnsi="Arial"/>
          <w:sz w:val="18"/>
          <w:szCs w:val="18"/>
          <w:color w:val="auto"/>
        </w:rPr>
        <w:t>Expedited, reliable shipping is essential to our operations. While we have recently begun working with United Parcel Service, we still rely extensively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public health epidemics or pandemics (including, for example, the COVID-19 outbreak), terrorist acts or threats, or for other reasons, could adversely affect our ability to receive and process patient specimens on a timely basis.</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three-year period), the corporation’s ability to use its pre-change net operating loss, or NOL, carryforwards and other pre-change tax attributes to offset its post-change federal taxable income and taxes, as applicable, may be limited. Under recently enacted U.S. tax legislation, federal NOL carryforwards generated in periods after December 31, 2017, may be carried forward indefinitely but may only be used to offset 80% of our taxable income annually. We previously completed a study to assess whether an ownership change, as defined by Section 382 of the Code, had occurred from its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As a result, if we earn net taxable income, our ability to use such pre-change NOL carryforwards and other pre-change tax attributes to offset taxable income and taxes, as applicable, may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jc w:val="both"/>
        <w:ind w:right="24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September 2017, we entered into the loan and security agreement with Innovatus Life Sciences Lending Fund I, LP, or Innovatus, and in November 2019, we entered into the first amendment, or the Loan Amendment, to our loan and security agreement, with Innovatus, which we collectively refer to as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The Loan Amendment (i) decreased the interest rate on all borrowings to 8.5%, of which 2.0% is paid in-kind and capitalized to the principal amount of the outstanding term loan on a monthly basis under December 2022; after which interest accrues at an annual rate of 8.5%; (ii) extended the interest only period to December 2022 and the maturity date to November 19, 2024; (iii) revised the prepayment terms to (x) restrict prepayments for the initial year following the date of the Loan Amendment and (y) set the prepayment premium at 3% of the principal amount of any term loans prepaid prior to November 19, 2020, with such prepayment premium decreasing by 1% during each subsequent twelve-month period after November 2020; and (iv) replaced the interest-only milestones with a financial covenant requiring that we achieve a specified level of revenue, as measured on a rolling twelve-month basis, and commencing with the quarter ending December 31, 2019, subject to exceptions based on achievement of performance milestones and the ability to cure any default thereof with the issuance of equity securities or subordinated indebtedness. As of December 31, 2019, there was $25.0 million in principal outstanding under the term loan and an additional $1.2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2022. We cannot be certain that we will be able to generate sufficient cash flow or revenue to meet the financial covenants or pay the principal and accrued interest on our debt.</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$500,000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including as a result of the COVID-19 outbreak,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promoted therapeutics or lower-than-expected rates of reimbursement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53" w:name="page54"/>
    <w:bookmarkEnd w:id="53"/>
    <w:p>
      <w:pPr>
        <w:spacing w:after="0" w:line="235" w:lineRule="auto"/>
        <w:rPr>
          <w:sz w:val="20"/>
          <w:szCs w:val="20"/>
          <w:color w:val="auto"/>
        </w:rPr>
      </w:pPr>
      <w:r>
        <w:rPr>
          <w:rFonts w:ascii="Arial" w:cs="Arial" w:eastAsia="Arial" w:hAnsi="Arial"/>
          <w:sz w:val="18"/>
          <w:szCs w:val="18"/>
          <w:color w:val="auto"/>
        </w:rPr>
        <w:t>from commercial third-party payers and government payers, or other risks described in this “Risk Factors” section, we may seek to raise additional capital through equity offerings, debt financings, collaborations or licensing arrangements. In the case of the incurrence of further indebtedness, the Amended Loan Agreement, subject to certain customary exceptions, restricts our ability to incur additional indebtedness or encumber any of our property without the prior consent of Innovatus. Under the Amended Loan Agreement, we are required to make monthly interest payments at a rate equal to 8.5% (provided that 2.0% of the 8.5%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6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FDA has adopted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our marketed tests are LDTs or that we are marketing our tests outside the scope of the FDA’s current policy of enforcement discretion, our testing products may become subject to the FDA’s requirements for premarket review of medical devices, and we may be required to cease commercial sales of our testing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4" w:name="page55"/>
    <w:bookmarkEnd w:id="54"/>
    <w:p>
      <w:pPr>
        <w:spacing w:after="0" w:line="235" w:lineRule="auto"/>
        <w:rPr>
          <w:sz w:val="20"/>
          <w:szCs w:val="20"/>
          <w:color w:val="auto"/>
        </w:rPr>
      </w:pPr>
      <w:r>
        <w:rPr>
          <w:rFonts w:ascii="Arial" w:cs="Arial" w:eastAsia="Arial" w:hAnsi="Arial"/>
          <w:sz w:val="18"/>
          <w:szCs w:val="18"/>
          <w:color w:val="auto"/>
        </w:rPr>
        <w:t>We and our third-party contractors are required to comply with good clinical practices, or GCPs, which are regulations and guidelines enforced by the FDA, the Competent Authorities of the Member States of the EEA, and comparable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16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15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1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3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fines, injunctions, consent decrees and civil penalties;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seizures of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49" w:lineRule="exact"/>
        <w:rPr>
          <w:rFonts w:ascii="Arial" w:cs="Arial" w:eastAsia="Arial" w:hAnsi="Arial"/>
          <w:sz w:val="18"/>
          <w:szCs w:val="18"/>
          <w:color w:val="auto"/>
        </w:rPr>
      </w:pPr>
    </w:p>
    <w:p>
      <w:pPr>
        <w:ind w:left="660" w:right="20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refusing our requests for 510(k) clearance or PMA approvals or foreign regulatory approvals of new testing products, new intended uses or modifications to existing testing products;</w:t>
      </w:r>
    </w:p>
    <w:p>
      <w:pPr>
        <w:spacing w:after="0" w:line="34" w:lineRule="exact"/>
        <w:rPr>
          <w:rFonts w:ascii="Arial" w:cs="Arial" w:eastAsia="Arial" w:hAnsi="Arial"/>
          <w:sz w:val="18"/>
          <w:szCs w:val="18"/>
          <w:color w:val="auto"/>
        </w:rPr>
      </w:pPr>
    </w:p>
    <w:p>
      <w:pPr>
        <w:ind w:left="660" w:right="38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withdrawals of current 510(k) clearances or PMAs or foreign regulatory approvals, resulting in prohibitions on sales of our testing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testing products for sale in other countries;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have a material adverse effect on our reputation, business, results of operations and financial condition.</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approvals.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 which would adversely affect our business, prospects,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and payment changes may have a material adverse effect on our financial condition and results of operations.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third-party payers including governmental payers, such as Medicare and Medicaid, private insurers and other private payers,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testing products.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payer. Laboratories that fail to report the required payment information may be subject to substantial civil monetary penalties. We bill Medicare for our testing products, and therefore we are subject to reporting requirements under PAMA.</w:t>
      </w:r>
    </w:p>
    <w:p>
      <w:pPr>
        <w:spacing w:after="0" w:line="15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final PAMA ruling was issued June 17, 2016. Data for reporting for the new PAMA process began in 2017, and in 2018, the Medicare payment rate for each clinical diagnostic lab test, with some exceptions, equaled the weighted median of the reported private third-party payer payment for the test, as calculated using data collected by applicable laboratories during the data collection period and reported to the Centers for Medicare and Medicaid Services, or CMS, during a specified data reporting period. These revisions to the CLFS have altered payment rates for clinical diagnostic lab tests under the CLFS, with estimated reductions in Medicare reimbursement rates for AVISE® CTD of 7.3% and 10.1% in 2020 and 2019, respectively. We cannot be sure how revisions to the CLFS will affect reimbursement rates in the future.</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laws make changes impacting clinical laboratories, many of which have already gone into effect. The ACA, enacted in March 2010, requires each medical device manufacturer to pay an excise tax in an amount equal to 2.3% of the price for which such manufacturer sells its medical devices that are listed with the FDA. Through a series of legislative amendments, the tax was suspended from 2016 through 2019. On December 20, 2019, the Further Consolidated Appropriations Act, 2020, was signed into law repealing the medical device excise tax as of January 1, 2020.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or other efforts to challenge, repeal or replace the ACA will impact the ACA and our business.</w:t>
      </w:r>
    </w:p>
    <w:p>
      <w:pPr>
        <w:spacing w:after="0" w:line="15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There have been judicial and Congressional challenges to certain aspects of the ACA, as well as efforts by the current presidential administration to repeal and replace the ACA, and we expect that there will be additional challenges and amendments to the ACA in the future. We are monitoring the impact of the ACA in order to enable us to determine the trends and changes that may be necessitated by the legislation and that, in turn, may potentially impact our business over time.</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2029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Some of our flow cytometry tests are reimbursed by the Medicare program under the MPFS. On April 16, 2015, President Obama signed the Medicare Access and CHIP Reauthorization Act of 2015, or MACRA, which, among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56" w:name="page57"/>
    <w:bookmarkEnd w:id="56"/>
    <w:p>
      <w:pPr>
        <w:spacing w:after="0" w:line="237" w:lineRule="auto"/>
        <w:rPr>
          <w:sz w:val="20"/>
          <w:szCs w:val="20"/>
          <w:color w:val="auto"/>
        </w:rPr>
      </w:pPr>
      <w:r>
        <w:rPr>
          <w:rFonts w:ascii="Arial" w:cs="Arial" w:eastAsia="Arial" w:hAnsi="Arial"/>
          <w:sz w:val="18"/>
          <w:szCs w:val="18"/>
          <w:color w:val="auto"/>
        </w:rPr>
        <w:t>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151" w:lineRule="exact"/>
        <w:rPr>
          <w:sz w:val="20"/>
          <w:szCs w:val="20"/>
          <w:color w:val="auto"/>
        </w:rPr>
      </w:pPr>
    </w:p>
    <w:p>
      <w:pPr>
        <w:jc w:val="both"/>
        <w:ind w:right="220"/>
        <w:spacing w:after="0" w:line="257" w:lineRule="auto"/>
        <w:rPr>
          <w:sz w:val="20"/>
          <w:szCs w:val="20"/>
          <w:color w:val="auto"/>
        </w:rPr>
      </w:pPr>
      <w:r>
        <w:rPr>
          <w:rFonts w:ascii="Arial" w:cs="Arial" w:eastAsia="Arial" w:hAnsi="Arial"/>
          <w:sz w:val="17"/>
          <w:szCs w:val="17"/>
          <w:color w:val="auto"/>
        </w:rPr>
        <w:t>Medicare payments are significant to our business, not only because approximately 25% and 28% of the total payments we received from payers for the years ended December 31, 2019 and 2018, respectively, were derived from the Medicare program, but also because other payers often use the MPFS and CLFS amounts as a benchmark to develop their payment rates. We cannot predict whether Medicare and other third-party payer reimbursement rates that mirror Medicare’s will be sufficient to make our testing products commercially attractive.</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some third -party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ours, of active laboratory benefit management by third parties is unclear, and we expect that it could have a negative impact on our revenue in the short term. It is possible that third-party payers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14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payers for our testing products, which may adversely affect our business, financial condition and results of operations.</w:t>
      </w:r>
    </w:p>
    <w:p>
      <w:pPr>
        <w:spacing w:after="0" w:line="18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57" w:name="page58"/>
    <w:bookmarkEnd w:id="57"/>
    <w:p>
      <w:pPr>
        <w:ind w:right="140"/>
        <w:spacing w:after="0" w:line="237"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12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managers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 -Kickback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15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8" w:name="page59"/>
    <w:bookmarkEnd w:id="58"/>
    <w:p>
      <w:pPr>
        <w:ind w:right="80"/>
        <w:spacing w:after="0" w:line="236" w:lineRule="auto"/>
        <w:rPr>
          <w:sz w:val="20"/>
          <w:szCs w:val="20"/>
          <w:color w:val="auto"/>
        </w:rPr>
      </w:pPr>
      <w:r>
        <w:rPr>
          <w:rFonts w:ascii="Arial" w:cs="Arial" w:eastAsia="Arial" w:hAnsi="Arial"/>
          <w:sz w:val="18"/>
          <w:szCs w:val="18"/>
          <w:color w:val="auto"/>
        </w:rPr>
        <w:t>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15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15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Many states have their own self-referral laws as well, which in some cases apply to all third-party payers, not just Medicare and Medicaid.</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ACA, among other things, also imposed new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 care providers beginning in 2022, and teaching hospitals, as well as ownership and investment interests held by physicians (as defined by the statute)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5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including our promotion of SIMPONI®, which is subject to restriction of off-label use discussions Such a challenge,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ind w:right="60"/>
        <w:spacing w:after="0" w:line="250" w:lineRule="auto"/>
        <w:rPr>
          <w:sz w:val="20"/>
          <w:szCs w:val="20"/>
          <w:color w:val="auto"/>
        </w:rPr>
      </w:pPr>
      <w:r>
        <w:rPr>
          <w:rFonts w:ascii="Arial" w:cs="Arial" w:eastAsia="Arial" w:hAnsi="Arial"/>
          <w:sz w:val="17"/>
          <w:szCs w:val="17"/>
          <w:color w:val="auto"/>
        </w:rPr>
        <w:t>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individually identifiable health information. HIPAA and the HITECH Act require us to comply with standards for the use and disclosure of individually identifiable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15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15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certain states have adopted comparable privacy and security laws and regulations, some of which may be more stringent than HIPAA. For example, the California Consumer Privacy Act, or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ind w:right="60"/>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4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49" w:lineRule="exact"/>
        <w:rPr>
          <w:rFonts w:ascii="Arial" w:cs="Arial" w:eastAsia="Arial" w:hAnsi="Arial"/>
          <w:sz w:val="18"/>
          <w:szCs w:val="18"/>
          <w:color w:val="auto"/>
        </w:rPr>
      </w:pPr>
    </w:p>
    <w:p>
      <w:pPr>
        <w:ind w:left="660" w:right="62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49"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80"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will be considered patentable or enforceable by the United States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61" w:name="page62"/>
    <w:bookmarkEnd w:id="61"/>
    <w:p>
      <w:pPr>
        <w:ind w:right="40"/>
        <w:spacing w:after="0"/>
        <w:rPr>
          <w:sz w:val="20"/>
          <w:szCs w:val="20"/>
          <w:color w:val="auto"/>
        </w:rPr>
      </w:pPr>
      <w:r>
        <w:rPr>
          <w:rFonts w:ascii="Arial" w:cs="Arial" w:eastAsia="Arial" w:hAnsi="Arial"/>
          <w:sz w:val="18"/>
          <w:szCs w:val="18"/>
          <w:color w:val="auto"/>
        </w:rPr>
        <w:t>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49"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own or have an exclusive license to 13 issued U.S. patents, and certain corresponding foreign counterpart patents, relevant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We also own one issued U.S. patent, two pending U.S. patent applications, and certain corresponding foreign counterpart patents and patent applications relevant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4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5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75"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ind w:right="200"/>
        <w:spacing w:after="0" w:line="192" w:lineRule="auto"/>
        <w:rPr>
          <w:sz w:val="20"/>
          <w:szCs w:val="20"/>
          <w:color w:val="auto"/>
        </w:rPr>
      </w:pPr>
      <w:r>
        <w:rPr>
          <w:rFonts w:ascii="Arial" w:cs="Arial" w:eastAsia="Arial" w:hAnsi="Arial"/>
          <w:sz w:val="18"/>
          <w:szCs w:val="18"/>
          <w:color w:val="auto"/>
        </w:rPr>
        <w:t>which compete with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 testing products.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Filing, prosecuting and defending patents on our AVISE®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 testing products. Consequently, we may not be able to prevent third parties from practicing our inventions in all countries outside the United States. Competitors may use our technologies in jurisdictions where we have not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63" w:name="page64"/>
    <w:bookmarkEnd w:id="63"/>
    <w:p>
      <w:pPr>
        <w:ind w:right="160"/>
        <w:spacing w:after="0" w:line="238" w:lineRule="auto"/>
        <w:rPr>
          <w:sz w:val="20"/>
          <w:szCs w:val="20"/>
          <w:color w:val="auto"/>
        </w:rPr>
      </w:pPr>
      <w:r>
        <w:rPr>
          <w:rFonts w:ascii="Arial" w:cs="Arial" w:eastAsia="Arial" w:hAnsi="Arial"/>
          <w:sz w:val="18"/>
          <w:szCs w:val="18"/>
          <w:color w:val="auto"/>
        </w:rPr>
        <w:t>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 testing products and our patents or other intellectual property rights may not be effective or sufficient to prevent them from competing.</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4" w:name="page65"/>
    <w:bookmarkEnd w:id="64"/>
    <w:p>
      <w:pPr>
        <w:ind w:right="80"/>
        <w:spacing w:after="0" w:line="238"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8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 Lupus are licensed from the University of Pittsburgh, certain patent rights related to AVISE® MTX are licensed from Prometheus. Our existing license agreements as related to our AVISE®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1"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91" w:lineRule="exact"/>
        <w:rPr>
          <w:sz w:val="20"/>
          <w:szCs w:val="20"/>
          <w:color w:val="auto"/>
        </w:rPr>
      </w:pPr>
    </w:p>
    <w:p>
      <w:pPr>
        <w:ind w:right="11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 testing products, and our partner may be unable to acquire any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5" w:name="page66"/>
    <w:bookmarkEnd w:id="65"/>
    <w:p>
      <w:pPr>
        <w:ind w:right="140"/>
        <w:spacing w:after="0"/>
        <w:rPr>
          <w:sz w:val="20"/>
          <w:szCs w:val="20"/>
          <w:color w:val="auto"/>
        </w:rPr>
      </w:pPr>
      <w:r>
        <w:rPr>
          <w:rFonts w:ascii="Arial" w:cs="Arial" w:eastAsia="Arial" w:hAnsi="Arial"/>
          <w:sz w:val="18"/>
          <w:szCs w:val="18"/>
          <w:color w:val="auto"/>
        </w:rPr>
        <w:t>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 testing products and promote therapeutics, and our business, financial condition and prospects for growth could suffer.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 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 testing products. As the diagnostics industry expands and more patents are issued, the risk increases that our activities related to our AVISE® testing products may give rise to claims of infringement of the patent rights of others.</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assure you that any of our current or future AVISE® testing products will not infringe existing or future patents. Although we are not aware of any issued patents that will prevent us from marketing our AVISE® testing products, there may be third-party patents of which we are currently unaware with claims to materials or methods of manufacture related to the use or manufacture of our AVISE® testing products. If a third party that owns such a patent asserts it successfully against one of our current or future AVISE®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 testing products or our technologies may infringe, or which such third parties claim are infringed by the use of our technologies.</w:t>
      </w:r>
    </w:p>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 testing products. We may fail to obtain any of these licenses at a reasonable cost or on reasonable terms, if at all. In that event, we would be unable to further develop our AVISE® testing products, which could harm our business significantly. Even if we were able to obtain a license, the rights may be nonexclusive, which may give our competitors access to the same intellectual property.</w:t>
      </w:r>
    </w:p>
    <w:p>
      <w:pPr>
        <w:spacing w:after="0" w:line="15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addition to infringement claims against us, if third-parties have prepared and filed patent applications in the United States that also claim technology to which we have rights, we may have to participate in interference proceedings in the USPTO to determine the priority of invention. Third parties may also attempt to initiate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6" w:name="page67"/>
    <w:bookmarkEnd w:id="66"/>
    <w:p>
      <w:pPr>
        <w:ind w:right="60"/>
        <w:spacing w:after="0" w:line="274" w:lineRule="auto"/>
        <w:rPr>
          <w:sz w:val="20"/>
          <w:szCs w:val="20"/>
          <w:color w:val="auto"/>
        </w:rPr>
      </w:pPr>
      <w:r>
        <w:rPr>
          <w:rFonts w:ascii="Arial" w:cs="Arial" w:eastAsia="Arial" w:hAnsi="Arial"/>
          <w:sz w:val="17"/>
          <w:szCs w:val="17"/>
          <w:color w:val="auto"/>
        </w:rPr>
        <w:t>reexamination, post grant review or inter partes review of our patents in the USPTO. We may also become involved in similar proceedings in the patent offices in other jurisdictions regarding our intellectual property rights with respect to our AVISE® testing products and technology.</w:t>
      </w:r>
    </w:p>
    <w:p>
      <w:pPr>
        <w:spacing w:after="0" w:line="15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 testing products, the defendant could counterclaim that the patent covering such AVISE®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 testing products. Such a loss of patent protection could have a material adverse impact on our business.</w:t>
      </w:r>
    </w:p>
    <w:p>
      <w:pPr>
        <w:spacing w:after="0" w:line="15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of the expense and uncertainty of litigation, we may conclude that even if a third-party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5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COVID-19 outbreak.</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68" w:name="page69"/>
    <w:bookmarkEnd w:id="68"/>
    <w:p>
      <w:pPr>
        <w:ind w:right="20"/>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4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Prior to our initial public offering, or IPO, sell, or indicate an intention to sell, substantial amounts of our common stock in the public market after the lock-up and other legal restrictions on resale discussed in the prospectus for the IPO lapse, the trading price of our common stock could decline.</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our directors and executive officers may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the holders of 8,418,257 shares of common stock and holders of warrants to purchase 436,581 shares of common stock are entitled to rights with respect to registration of such shares under the Securities Act pursuant to an investors’ rights agreement between such holders and us.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8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our initial public offering, or IPO.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41" w:lineRule="exact"/>
        <w:rPr>
          <w:sz w:val="20"/>
          <w:szCs w:val="20"/>
          <w:color w:val="auto"/>
        </w:rPr>
      </w:pPr>
    </w:p>
    <w:p>
      <w:pPr>
        <w:ind w:left="660" w:right="300" w:hanging="328"/>
        <w:spacing w:after="0"/>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40" w:lineRule="exact"/>
        <w:rPr>
          <w:rFonts w:ascii="Arial" w:cs="Arial" w:eastAsia="Arial" w:hAnsi="Arial"/>
          <w:sz w:val="18"/>
          <w:szCs w:val="18"/>
          <w:color w:val="auto"/>
        </w:rPr>
      </w:pPr>
    </w:p>
    <w:p>
      <w:pPr>
        <w:ind w:left="660" w:right="72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34" w:lineRule="exact"/>
        <w:rPr>
          <w:rFonts w:ascii="Arial" w:cs="Arial" w:eastAsia="Arial" w:hAnsi="Arial"/>
          <w:sz w:val="18"/>
          <w:szCs w:val="18"/>
          <w:color w:val="auto"/>
        </w:rPr>
      </w:pPr>
    </w:p>
    <w:p>
      <w:pPr>
        <w:ind w:left="660" w:right="260" w:hanging="328"/>
        <w:spacing w:after="0"/>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4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9" w:name="page70"/>
    <w:bookmarkEnd w:id="69"/>
    <w:p>
      <w:pPr>
        <w:spacing w:after="0" w:line="271"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compliance initiatives.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5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5"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3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process of upgrading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2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70" w:name="page71"/>
    <w:bookmarkEnd w:id="70"/>
    <w:p>
      <w:pPr>
        <w:ind w:left="660" w:right="98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49" w:lineRule="exact"/>
        <w:rPr>
          <w:rFonts w:ascii="Arial" w:cs="Arial" w:eastAsia="Arial" w:hAnsi="Arial"/>
          <w:sz w:val="18"/>
          <w:szCs w:val="18"/>
          <w:color w:val="auto"/>
        </w:rPr>
      </w:pPr>
    </w:p>
    <w:p>
      <w:pPr>
        <w:ind w:left="660" w:right="160" w:hanging="328"/>
        <w:spacing w:after="0"/>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40"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34" w:lineRule="exact"/>
        <w:rPr>
          <w:rFonts w:ascii="Arial" w:cs="Arial" w:eastAsia="Arial" w:hAnsi="Arial"/>
          <w:sz w:val="18"/>
          <w:szCs w:val="18"/>
          <w:color w:val="auto"/>
        </w:rPr>
      </w:pPr>
    </w:p>
    <w:p>
      <w:pPr>
        <w:jc w:val="both"/>
        <w:ind w:left="660" w:right="60" w:hanging="328"/>
        <w:spacing w:after="0"/>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49" w:lineRule="exact"/>
        <w:rPr>
          <w:rFonts w:ascii="Arial" w:cs="Arial" w:eastAsia="Arial" w:hAnsi="Arial"/>
          <w:sz w:val="18"/>
          <w:szCs w:val="18"/>
          <w:color w:val="auto"/>
        </w:rPr>
      </w:pPr>
    </w:p>
    <w:p>
      <w:pPr>
        <w:ind w:left="660" w:right="120" w:hanging="328"/>
        <w:spacing w:after="0" w:line="274"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2" w:lineRule="exact"/>
        <w:rPr>
          <w:rFonts w:ascii="Arial" w:cs="Arial" w:eastAsia="Arial" w:hAnsi="Arial"/>
          <w:sz w:val="17"/>
          <w:szCs w:val="17"/>
          <w:color w:val="auto"/>
        </w:rPr>
      </w:pPr>
    </w:p>
    <w:p>
      <w:pPr>
        <w:ind w:left="660" w:right="2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4"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34" w:lineRule="exact"/>
        <w:rPr>
          <w:rFonts w:ascii="Arial" w:cs="Arial" w:eastAsia="Arial" w:hAnsi="Arial"/>
          <w:sz w:val="18"/>
          <w:szCs w:val="18"/>
          <w:color w:val="auto"/>
        </w:rPr>
      </w:pPr>
    </w:p>
    <w:p>
      <w:pPr>
        <w:ind w:left="660" w:right="260" w:hanging="328"/>
        <w:spacing w:after="0" w:line="24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34" w:lineRule="exact"/>
        <w:rPr>
          <w:rFonts w:ascii="Arial" w:cs="Arial" w:eastAsia="Arial" w:hAnsi="Arial"/>
          <w:sz w:val="18"/>
          <w:szCs w:val="18"/>
          <w:color w:val="auto"/>
        </w:rPr>
      </w:pPr>
    </w:p>
    <w:p>
      <w:pPr>
        <w:ind w:left="660" w:right="100" w:hanging="328"/>
        <w:spacing w:after="0"/>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additional costs associated with resolving such action in other jurisdictions, which could adversely affect our business and financial condition.</w:t>
      </w:r>
    </w:p>
    <w:p>
      <w:pPr>
        <w:spacing w:after="0" w:line="190"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of December 31, 2019, our executive officers, directors and greater than 5% stockholders, in the aggregate, own approximately 61% of our outstanding capital stock.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Prior to our IPO, there had been no public market for our common stock. Our common stock only recently began trading on Nasdaq,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2026, with an option to extend a portion of the lease for an additional 60-month period. We believe that our current facilities are adequate for our current needs and that suitable additional alternative spaces will be available in the future on commercially reasonable terms, if required.</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2" w:name="page73"/>
    <w:bookmarkEnd w:id="72"/>
    <w:p>
      <w:pPr>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Items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500" w:firstLine="537"/>
        <w:spacing w:after="0" w:line="49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40"/>
        <w:spacing w:after="0" w:line="261"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As of March 20, 2020, there were approximately 71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From January 1, 2019 through December 31, 2019, we issued and sold the equity securities described below:</w:t>
      </w:r>
    </w:p>
    <w:p>
      <w:pPr>
        <w:spacing w:after="0" w:line="171" w:lineRule="exact"/>
        <w:rPr>
          <w:sz w:val="20"/>
          <w:szCs w:val="20"/>
          <w:color w:val="auto"/>
        </w:rPr>
      </w:pPr>
    </w:p>
    <w:p>
      <w:pPr>
        <w:ind w:left="1300" w:right="120" w:hanging="320"/>
        <w:spacing w:after="0" w:line="274" w:lineRule="auto"/>
        <w:tabs>
          <w:tab w:leader="none" w:pos="1288" w:val="left"/>
        </w:tabs>
        <w:numPr>
          <w:ilvl w:val="0"/>
          <w:numId w:val="28"/>
        </w:numPr>
        <w:rPr>
          <w:rFonts w:ascii="Arial" w:cs="Arial" w:eastAsia="Arial" w:hAnsi="Arial"/>
          <w:sz w:val="17"/>
          <w:szCs w:val="17"/>
          <w:color w:val="auto"/>
        </w:rPr>
      </w:pPr>
      <w:r>
        <w:rPr>
          <w:rFonts w:ascii="Arial" w:cs="Arial" w:eastAsia="Arial" w:hAnsi="Arial"/>
          <w:sz w:val="17"/>
          <w:szCs w:val="17"/>
          <w:color w:val="auto"/>
        </w:rPr>
        <w:t>From January 2019 to May 2019, we issued an aggregate of 148,928,337 shares of our Series G redeemable convertible preferred stock at a purchase price of $0.078 per share, for aggregate consideration of approximately $11.6 million in cash.</w:t>
      </w:r>
    </w:p>
    <w:p>
      <w:pPr>
        <w:spacing w:after="0" w:line="120" w:lineRule="exact"/>
        <w:rPr>
          <w:rFonts w:ascii="Arial" w:cs="Arial" w:eastAsia="Arial" w:hAnsi="Arial"/>
          <w:sz w:val="17"/>
          <w:szCs w:val="17"/>
          <w:color w:val="auto"/>
        </w:rPr>
      </w:pPr>
    </w:p>
    <w:p>
      <w:pPr>
        <w:ind w:left="1300" w:right="100" w:hanging="320"/>
        <w:spacing w:after="0" w:line="238" w:lineRule="auto"/>
        <w:tabs>
          <w:tab w:leader="none" w:pos="1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July 2019, we issued 233,446,519 shares of our Series H redeemable convertible preferred stock at a purchase price of $0.04712 per share, for aggregate consideration of approximately $11.0 million, and converted 148,928,337 shares of our Series G redeemable convertible preferred stock into 246,521,076 shares of our Series H redeemable convertible preferred stock.</w:t>
      </w:r>
    </w:p>
    <w:p>
      <w:pPr>
        <w:spacing w:after="0" w:line="150" w:lineRule="exact"/>
        <w:rPr>
          <w:rFonts w:ascii="Arial" w:cs="Arial" w:eastAsia="Arial" w:hAnsi="Arial"/>
          <w:sz w:val="18"/>
          <w:szCs w:val="18"/>
          <w:color w:val="auto"/>
        </w:rPr>
      </w:pPr>
    </w:p>
    <w:p>
      <w:pPr>
        <w:ind w:left="1300" w:hanging="320"/>
        <w:spacing w:after="0" w:line="249" w:lineRule="auto"/>
        <w:tabs>
          <w:tab w:leader="none" w:pos="1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January 1, 2019 through September 23, 2019, we granted stock options to purchase an aggregate of 814,339 shares of our common stock at a weighted-average exercise price of $13.99 per share, to certain of our employees, consultants and directors in connection with services provided to us by such persons, none of which have been exercised, and 52,649 stock options have been cancelled. From January 1, 2019 through September 23, 2019, 50 options have been exercised for aggregate consideration of $92. From January 1, 2019 through September 23, 2019, 13,411 options have been cancelled.</w:t>
      </w:r>
    </w:p>
    <w:p>
      <w:pPr>
        <w:spacing w:after="0" w:line="141"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No underwriters were involved in the foregoing issuances of securities. The securities described in paragraph (1) and (2) above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74" w:name="page75"/>
    <w:bookmarkEnd w:id="74"/>
    <w:p>
      <w:pPr>
        <w:ind w:right="140"/>
        <w:spacing w:after="0" w:line="238" w:lineRule="auto"/>
        <w:rPr>
          <w:sz w:val="20"/>
          <w:szCs w:val="20"/>
          <w:color w:val="auto"/>
        </w:rPr>
      </w:pPr>
      <w:r>
        <w:rPr>
          <w:rFonts w:ascii="Arial" w:cs="Arial" w:eastAsia="Arial" w:hAnsi="Arial"/>
          <w:sz w:val="18"/>
          <w:szCs w:val="18"/>
          <w:color w:val="auto"/>
        </w:rPr>
        <w:t>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stock options and the common stock issuable upon the exercise of such options as described in paragraph (3) above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3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of the foregoing securities included appropriate legends setting forth that the securities had not been registered and the applicable restrictions on transfer.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December 31, 2019, we have used approximately $2.1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 Selected Financial Data</w:t>
      </w:r>
    </w:p>
    <w:p>
      <w:pPr>
        <w:spacing w:after="0" w:line="2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tables set forth our selected historical financial data as of, and for the periods ended on, the dates indicated. We have derived the selected statements of operations data for the years ended December 31, 2019, 2018 and 2017 and the balance sheet data as of December 31, 2019, 2018 and 2017 from our audited financial statements included elsewhere in this Annual Report on Form 10-K. We have derived the selected statements of operations data for the year ended December 31, 2017 and the balance sheet data as of December 31, 2017 from our audited financial statements not included in this Annual Report on Form 10-K. You should read this data together with our audited financial statements and the related notes included elsewhere in this Annual Report on Form 10-K and the section of this prospectus entitled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40,387</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26,807</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 (excluding amortization of purchased technology)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14,137</w:t>
            </w:r>
          </w:p>
        </w:tc>
        <w:tc>
          <w:tcPr>
            <w:tcW w:w="0" w:type="dxa"/>
            <w:vAlign w:val="bottom"/>
          </w:tcPr>
          <w:p>
            <w:pPr>
              <w:spacing w:after="0"/>
              <w:rPr>
                <w:sz w:val="1"/>
                <w:szCs w:val="1"/>
                <w:color w:val="auto"/>
              </w:rPr>
            </w:pPr>
          </w:p>
        </w:tc>
      </w:tr>
      <w:tr>
        <w:trPr>
          <w:trHeight w:val="210"/>
        </w:trPr>
        <w:tc>
          <w:tcPr>
            <w:tcW w:w="684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18,820</w:t>
            </w: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210"/>
        </w:trPr>
        <w:tc>
          <w:tcPr>
            <w:tcW w:w="684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acquisition-related liabilities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49,686</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37,320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34,643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(7,836)</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share purchase rights and 2013 Term Loan</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(6,050)</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(9,391)</w:t>
            </w: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(26,180)</w:t>
            </w: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(25,631)</w:t>
            </w:r>
          </w:p>
        </w:tc>
        <w:tc>
          <w:tcPr>
            <w:tcW w:w="0" w:type="dxa"/>
            <w:vAlign w:val="bottom"/>
          </w:tcPr>
          <w:p>
            <w:pPr>
              <w:spacing w:after="0"/>
              <w:rPr>
                <w:sz w:val="1"/>
                <w:szCs w:val="1"/>
                <w:color w:val="auto"/>
              </w:rPr>
            </w:pPr>
          </w:p>
        </w:tc>
      </w:tr>
      <w:tr>
        <w:trPr>
          <w:trHeight w:val="222"/>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(30,279)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(32,774)</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40" w:type="dxa"/>
            <w:vAlign w:val="bottom"/>
            <w:vMerge w:val="continue"/>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(8.46)</w:t>
            </w:r>
          </w:p>
        </w:tc>
        <w:tc>
          <w:tcPr>
            <w:tcW w:w="54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(293.34)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(520.18)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3,578,771</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63,005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63,005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197"/>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72,084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11,241</w:t>
            </w:r>
          </w:p>
        </w:tc>
      </w:tr>
      <w:tr>
        <w:trPr>
          <w:trHeight w:val="210"/>
        </w:trPr>
        <w:tc>
          <w:tcPr>
            <w:tcW w:w="6860" w:type="dxa"/>
            <w:vAlign w:val="bottom"/>
          </w:tcPr>
          <w:p>
            <w:pPr>
              <w:ind w:left="20"/>
              <w:spacing w:after="0"/>
              <w:rPr>
                <w:sz w:val="20"/>
                <w:szCs w:val="20"/>
                <w:color w:val="auto"/>
              </w:rPr>
            </w:pPr>
            <w:r>
              <w:rPr>
                <w:rFonts w:ascii="Arial" w:cs="Arial" w:eastAsia="Arial" w:hAnsi="Arial"/>
                <w:sz w:val="14"/>
                <w:szCs w:val="14"/>
                <w:color w:val="auto"/>
              </w:rPr>
              <w:t>Working capital (1)</w:t>
            </w:r>
          </w:p>
        </w:tc>
        <w:tc>
          <w:tcPr>
            <w:tcW w:w="3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75,355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12,360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8,270</w:t>
            </w:r>
          </w:p>
        </w:tc>
      </w:tr>
      <w:tr>
        <w:trPr>
          <w:trHeight w:val="22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20,390</w:t>
            </w:r>
          </w:p>
        </w:tc>
      </w:tr>
      <w:tr>
        <w:trPr>
          <w:trHeight w:val="210"/>
        </w:trPr>
        <w:tc>
          <w:tcPr>
            <w:tcW w:w="6860" w:type="dxa"/>
            <w:vAlign w:val="bottom"/>
          </w:tcPr>
          <w:p>
            <w:pPr>
              <w:ind w:left="20"/>
              <w:spacing w:after="0"/>
              <w:rPr>
                <w:sz w:val="20"/>
                <w:szCs w:val="20"/>
                <w:color w:val="auto"/>
              </w:rPr>
            </w:pPr>
            <w:r>
              <w:rPr>
                <w:rFonts w:ascii="Arial" w:cs="Arial" w:eastAsia="Arial" w:hAnsi="Arial"/>
                <w:sz w:val="14"/>
                <w:szCs w:val="14"/>
                <w:color w:val="auto"/>
              </w:rPr>
              <w:t>Borrowings, non-current portion, net of discounts and debt issuance costs</w:t>
            </w:r>
          </w:p>
        </w:tc>
        <w:tc>
          <w:tcPr>
            <w:tcW w:w="30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25,854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24,617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18,809</w:t>
            </w:r>
          </w:p>
        </w:tc>
      </w:tr>
      <w:tr>
        <w:trPr>
          <w:trHeight w:val="22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 including current portion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r>
      <w:tr>
        <w:trPr>
          <w:trHeight w:val="210"/>
        </w:trPr>
        <w:tc>
          <w:tcPr>
            <w:tcW w:w="6860" w:type="dxa"/>
            <w:vAlign w:val="bottom"/>
          </w:tcPr>
          <w:p>
            <w:pPr>
              <w:ind w:left="20"/>
              <w:spacing w:after="0"/>
              <w:rPr>
                <w:sz w:val="20"/>
                <w:szCs w:val="20"/>
                <w:color w:val="auto"/>
              </w:rPr>
            </w:pPr>
            <w:r>
              <w:rPr>
                <w:rFonts w:ascii="Arial" w:cs="Arial" w:eastAsia="Arial" w:hAnsi="Arial"/>
                <w:sz w:val="14"/>
                <w:szCs w:val="14"/>
                <w:color w:val="auto"/>
              </w:rPr>
              <w:t>Redeemable convertible preferred stock warrant liabilities</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896</w:t>
            </w:r>
          </w:p>
        </w:tc>
      </w:tr>
      <w:tr>
        <w:trPr>
          <w:trHeight w:val="22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92,046</w:t>
            </w:r>
          </w:p>
        </w:tc>
      </w:tr>
      <w:tr>
        <w:trPr>
          <w:trHeight w:val="204"/>
        </w:trPr>
        <w:tc>
          <w:tcPr>
            <w:tcW w:w="686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55,659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(111,966)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(96,684)</w:t>
            </w:r>
          </w:p>
        </w:tc>
      </w:tr>
    </w:tbl>
    <w:p>
      <w:pPr>
        <w:spacing w:after="0" w:line="200" w:lineRule="exact"/>
        <w:rPr>
          <w:sz w:val="20"/>
          <w:szCs w:val="20"/>
          <w:color w:val="auto"/>
        </w:rPr>
      </w:pPr>
    </w:p>
    <w:p>
      <w:pPr>
        <w:spacing w:after="0" w:line="384" w:lineRule="exact"/>
        <w:rPr>
          <w:sz w:val="20"/>
          <w:szCs w:val="20"/>
          <w:color w:val="auto"/>
        </w:rPr>
      </w:pPr>
    </w:p>
    <w:p>
      <w:pPr>
        <w:ind w:left="440" w:right="20" w:hanging="414"/>
        <w:spacing w:after="0" w:line="258"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Annual Report on Form 10-K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in 2012 and revenue from this product comprised 82% of our revenue for each of the years ended December 31, 2019 and 2018. There is an unmet need for rheumatologists to add clarity in their CTD clinical evaluation, and we believe there is a significant opportunity for our tests that enable the differential diagnosis of these diseases, particularly for potentially life-threatening diseases such as SLE. In order to advance our integrated testing and therapeutics strategy, in December 2018 we entered into the Janssen agreement to exclusively promote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We began direct 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January 2019 and in support of these promotion efforts we expanded our salesforce from 31 representatives as of December 31, 2018 to 50 representatives as of December 31, 2019. Our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promotion efforts contributed approximately $ 1.5 million in incremental revenue in 2019 with our quarterly tiered promotion fee based on the incremental increase in total prescribed units above a predetermined average baseline of approximately 29,000 prescribed units per quarter.</w:t>
      </w:r>
    </w:p>
    <w:p>
      <w:pPr>
        <w:spacing w:after="0" w:line="16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also have additional agreements with other leading pharmaceutical companies, including GSK and Horizon Therapeutics, that leverage our testing products and the information generated from such tests. We plan to pursue additional strategic partnerships with a focus on the commercialization of therapeutics that are synergistic with our testing products.</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tests in our approximately 8,000 square foot clinical laboratory, which is certified by CLIA and accredited by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 results within five business days.</w:t>
      </w:r>
    </w:p>
    <w:p>
      <w:pPr>
        <w:spacing w:after="0" w:line="1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market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7" w:name="page78"/>
    <w:bookmarkEnd w:id="77"/>
    <w:p>
      <w:pPr>
        <w:ind w:right="220"/>
        <w:spacing w:after="0" w:line="261" w:lineRule="auto"/>
        <w:rPr>
          <w:sz w:val="20"/>
          <w:szCs w:val="20"/>
          <w:color w:val="auto"/>
        </w:rPr>
      </w:pPr>
      <w:r>
        <w:rPr>
          <w:rFonts w:ascii="Arial" w:cs="Arial" w:eastAsia="Arial" w:hAnsi="Arial"/>
          <w:sz w:val="18"/>
          <w:szCs w:val="18"/>
          <w:color w:val="auto"/>
        </w:rPr>
        <w:t>focused sales calls with rheumatologists, including those with whom we have a longstanding relationship and history using our portfolio of testing products.</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December 31, 2019 we had an accumulated deficit of $164.6 million. We incurred net losses of $12.0 million and $8.0 million for the years ended December 31, 2019 and 2018,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Through the date of our initial public offering (IPO) in September 2019, our operations were financed primarily from sales of our common and redeemable convertible preferred stock and borrowings under various debt financings. In September 2019, we completed our IPO of 4,140,000 shares of our common stock at a price to the public of $ 14.00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$7.5 million. As of December 31, 2019, we had $72.1 million of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hanging="328"/>
        <w:spacing w:after="0" w:line="238"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21"/>
          <w:szCs w:val="2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at a compound annual growth rate of 81%, with limited incremental investment in our commercial infrastructure. Over 105,000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were delivered in 2019, representing 26% growth over 2018, and the number of ordering healthcare providers reached 1,707 in the fourth quarter of 2019, representing 34% growth over the same quarter in 2018. In the fourth quarter of 2019, we reached 572 adopting healthcare providers, which we classify as those who had previously prescribed at least 11 diagnostic tests in the corresponding period, compared to 506 in the same period in 2018. More than 387,000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have been delivered since launch. Revenue growth for our testing products will depend on our ability to continue to expand our base of ordering healthcare providers and increase our penetration with existing healthcare providers.</w:t>
      </w:r>
    </w:p>
    <w:p>
      <w:pPr>
        <w:spacing w:after="0" w:line="5" w:lineRule="exact"/>
        <w:rPr>
          <w:rFonts w:ascii="Arial" w:cs="Arial" w:eastAsia="Arial" w:hAnsi="Arial"/>
          <w:sz w:val="18"/>
          <w:szCs w:val="18"/>
          <w:color w:val="auto"/>
        </w:rPr>
      </w:pPr>
    </w:p>
    <w:p>
      <w:pPr>
        <w:ind w:left="660" w:right="20" w:hanging="328"/>
        <w:spacing w:after="0" w:line="250"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payers, including both commercial 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rFonts w:ascii="Arial" w:cs="Arial" w:eastAsia="Arial" w:hAnsi="Arial"/>
          <w:sz w:val="18"/>
          <w:szCs w:val="18"/>
          <w:color w:val="auto"/>
        </w:rPr>
      </w:pPr>
    </w:p>
    <w:p>
      <w:pPr>
        <w:ind w:left="660" w:right="240" w:hanging="328"/>
        <w:spacing w:after="0" w:line="225" w:lineRule="auto"/>
        <w:tabs>
          <w:tab w:leader="none" w:pos="65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In January 2019, we began promoting SIMPONI</w:t>
      </w:r>
      <w:r>
        <w:rPr>
          <w:rFonts w:ascii="Arial" w:cs="Arial" w:eastAsia="Arial" w:hAnsi="Arial"/>
          <w:sz w:val="21"/>
          <w:szCs w:val="2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promotion efforts contributed approximately $1.5 million in incremental revenue in 2019 with our quarterly tiered promotion fee based on the incremental increase in</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70" w:right="419" w:bottom="1440" w:gutter="0" w:footer="0" w:header="0"/>
        </w:sectPr>
      </w:pPr>
    </w:p>
    <w:bookmarkStart w:id="78" w:name="page79"/>
    <w:bookmarkEnd w:id="78"/>
    <w:p>
      <w:pPr>
        <w:ind w:left="660" w:right="20"/>
        <w:spacing w:after="0" w:line="241" w:lineRule="auto"/>
        <w:rPr>
          <w:sz w:val="20"/>
          <w:szCs w:val="20"/>
          <w:color w:val="auto"/>
        </w:rPr>
      </w:pPr>
      <w:r>
        <w:rPr>
          <w:rFonts w:ascii="Arial" w:cs="Arial" w:eastAsia="Arial" w:hAnsi="Arial"/>
          <w:sz w:val="17"/>
          <w:szCs w:val="17"/>
          <w:color w:val="auto"/>
        </w:rPr>
        <w:t>total prescribed units above a predetermined average baseline of approximately 29,000 prescribed units per quarter. We may encounter difficulties in successfully promoting SIMPONI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generating significant revenue under the agreement. Our ability to effectively promote SIMPONI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will require us to be successful in a range of activities, including training and deploying additional sales representatives and creating demand for SIMPONI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through our own sales activities as well as those of Janssen. Based on our estimate of the total U.S. addressable market for SIMPONI</w:t>
      </w:r>
      <w:r>
        <w:rPr>
          <w:rFonts w:ascii="Arial" w:cs="Arial" w:eastAsia="Arial" w:hAnsi="Arial"/>
          <w:sz w:val="20"/>
          <w:szCs w:val="20"/>
          <w:color w:val="auto"/>
          <w:vertAlign w:val="superscript"/>
        </w:rPr>
        <w:t>®'</w:t>
      </w:r>
      <w:r>
        <w:rPr>
          <w:rFonts w:ascii="Arial" w:cs="Arial" w:eastAsia="Arial" w:hAnsi="Arial"/>
          <w:sz w:val="17"/>
          <w:szCs w:val="17"/>
          <w:color w:val="auto"/>
        </w:rPr>
        <w:t>s approved indications of $28 billion, each incremental 1% market share we are able to capture for SIMPONI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above the predetermined baseline under the Janssen Agreement could result in incremental revenue to us of up to $84 million. In interest of supporting these efforts we expect to continue to expand our salesforce in 2020. However, it may take longer to generate meaningful revenue than we currently expect and we may not be successful in materially increasing market share, which would cause us to continue to rely on our existing testing products to drive revenue growth.</w:t>
      </w:r>
    </w:p>
    <w:p>
      <w:pPr>
        <w:spacing w:after="0" w:line="4" w:lineRule="exact"/>
        <w:rPr>
          <w:sz w:val="20"/>
          <w:szCs w:val="20"/>
          <w:color w:val="auto"/>
        </w:rPr>
      </w:pPr>
    </w:p>
    <w:p>
      <w:pPr>
        <w:ind w:left="660" w:hanging="328"/>
        <w:spacing w:after="0"/>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1"/>
          <w:szCs w:val="2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our goal of achieving profitability. We also expect an increase to our gross margins beginning in the first quarter of 2020 following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the Protecting Access to Medicare Act of 2014, or PAMA.</w:t>
      </w:r>
    </w:p>
    <w:p>
      <w:pPr>
        <w:spacing w:after="0" w:line="3" w:lineRule="exact"/>
        <w:rPr>
          <w:rFonts w:ascii="Arial" w:cs="Arial" w:eastAsia="Arial" w:hAnsi="Arial"/>
          <w:sz w:val="18"/>
          <w:szCs w:val="18"/>
          <w:color w:val="auto"/>
        </w:rPr>
      </w:pPr>
    </w:p>
    <w:p>
      <w:pPr>
        <w:ind w:left="660" w:right="20" w:hanging="328"/>
        <w:spacing w:after="0" w:line="245"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2" w:lineRule="exact"/>
        <w:rPr>
          <w:rFonts w:ascii="Arial" w:cs="Arial" w:eastAsia="Arial" w:hAnsi="Arial"/>
          <w:sz w:val="18"/>
          <w:szCs w:val="18"/>
          <w:color w:val="auto"/>
        </w:rPr>
      </w:pPr>
    </w:p>
    <w:p>
      <w:pPr>
        <w:ind w:left="660" w:right="80" w:hanging="328"/>
        <w:spacing w:after="0" w:line="256" w:lineRule="auto"/>
        <w:tabs>
          <w:tab w:leader="none" w:pos="656"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payer. Changes to such estimates may increase or decrease revenue recognized in future periods.</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In addition, the recent COVID-19 outbreak may have a material adverse effect on our business, financial condition and results of operations, including as a result of shutdowns of our facilities and operations as well as those of our suppliers and courier services, disrupt the supply chain of material needed for our tests, interrupt our ability to receive specimens, impair our ability to perform or deliver the results from our genomic tests, impede patient movement or interrupt healthcare services causing a decrease in test volumes, delay coverage decisions from Medicare and third party payors, and delay ongoing and planned clinical trials involving our tests. We discuss many of these risks, uncertainties and other factors in the section entitled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193"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In December 2018, we entered into a co-promotion agreement with Janssen, under which we are responsible for the costs associated with our salesforce in promoting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 In September 2019, we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right="100"/>
        <w:spacing w:after="0" w:line="238" w:lineRule="auto"/>
        <w:rPr>
          <w:sz w:val="20"/>
          <w:szCs w:val="20"/>
          <w:color w:val="auto"/>
        </w:rPr>
      </w:pPr>
      <w:r>
        <w:rPr>
          <w:rFonts w:ascii="Arial" w:cs="Arial" w:eastAsia="Arial" w:hAnsi="Arial"/>
          <w:sz w:val="18"/>
          <w:szCs w:val="18"/>
          <w:color w:val="auto"/>
        </w:rPr>
        <w:t>exercised our option to extend the term of the Janssen agreement to December 31, 2021.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5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We recognized co-promotional revenue of approximately $ 1.5 million during the year ended December 31, 2019 and expect to continue to recognize revenue as we perform co-promotional services based on the number of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over the predetermined baseline.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These assessments require significant judgment by management.</w:t>
      </w:r>
    </w:p>
    <w:p>
      <w:pPr>
        <w:spacing w:after="0" w:line="14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 (Excluding Amortization of Purchased Technology)</w:t>
      </w:r>
    </w:p>
    <w:p>
      <w:pPr>
        <w:spacing w:after="0" w:line="18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4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expect that our selling, general and administrative expenses will increase in absolute dollars in 2020 as we expand our sales and sales support functions, including expansion activities related to our 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and incur expenses from operating as a public company for the entire year, including expenses related to compliance with the rules and regulations of the SEC and Nasdaq, additional insurance, investor relations activities and other administrative and professional services such as accounting, legal, regulatory and tax.</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0" w:name="page81"/>
    <w:bookmarkEnd w:id="80"/>
    <w:p>
      <w:pPr>
        <w:ind w:right="2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51"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We expect that our research and development expenses will increase in absolute dollars as we continue to invest in research and development activities related to our existing testing products and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represents the total amortization expense for our purchased technologies.</w:t>
      </w:r>
    </w:p>
    <w:p>
      <w:pPr>
        <w:spacing w:after="0" w:line="17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intangible assets recorded as of December 31, 2017 became fully amortized in 2018; accordingly, we do not expect any future amortization expense related to these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Agreement with Innovatus.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decrease in the near term due to lower interest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completion of our IPO, we classified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were recorded as a component of other income (expense).</w:t>
      </w:r>
    </w:p>
    <w:p>
      <w:pPr>
        <w:spacing w:after="0" w:line="15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connection with the completion of our IPO, all outstanding warrants to purchase shares of our redeemable convertible preferred stock either terminated or were converted into warrants to purchase shares of our common stock and accordingly, will no longer be subject to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8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09"/>
        </w:trPr>
        <w:tc>
          <w:tcPr>
            <w:tcW w:w="6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40,387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32,440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7,947</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 (excluding amortization of purchased technology)</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18,808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3,429</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28,702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9,027</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57"/>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49,686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37,320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12,366</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(4,419)</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585</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398</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(4,059)</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(4,026)</w:t>
            </w:r>
          </w:p>
        </w:tc>
      </w:tr>
      <w:tr>
        <w:trPr>
          <w:trHeight w:val="27"/>
        </w:trPr>
        <w:tc>
          <w:tcPr>
            <w:tcW w:w="6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increased $ 7.9 million, or 24.5%, for the year ended December 31, 2019 compared to the year ended December 31, 2018, primarily due to an increase in the number of diagnostic tests delivered. The number of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which accounted for 82% of revenue for the years ended December 31, 2019 and 2018, increased to 105,370 tests delivered in the year ended December 31, 2019 compared to 83,405 tests delivered in the same 2018 period. The increase is primarily due to the increased adoption of the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 by rheumatologists as the number of ordering healthcare providers increased to 1,707 for the fourth quarter of 2019 as compared to 1,278 healthcare providers in the same 2018 period.</w:t>
      </w:r>
    </w:p>
    <w:p>
      <w:pPr>
        <w:spacing w:after="0" w:line="163" w:lineRule="exact"/>
        <w:rPr>
          <w:sz w:val="20"/>
          <w:szCs w:val="20"/>
          <w:color w:val="auto"/>
        </w:rPr>
      </w:pPr>
    </w:p>
    <w:p>
      <w:pPr>
        <w:ind w:right="900"/>
        <w:spacing w:after="0" w:line="220" w:lineRule="auto"/>
        <w:rPr>
          <w:sz w:val="20"/>
          <w:szCs w:val="20"/>
          <w:color w:val="auto"/>
        </w:rPr>
      </w:pPr>
      <w:r>
        <w:rPr>
          <w:rFonts w:ascii="Arial" w:cs="Arial" w:eastAsia="Arial" w:hAnsi="Arial"/>
          <w:sz w:val="18"/>
          <w:szCs w:val="18"/>
          <w:color w:val="auto"/>
        </w:rPr>
        <w:t>In addition, we recognized approximately $1.5 million of revenue related to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during the year ended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Costs of revenue increased $3.4 million, or 22.3%, for the year ended December 31, 2019 compared to the year ended December 31, 2018. This increase was primarily due to increased direct costs such as materials and supplies, royalties, shipping and handling and labor associated with the increase in test volume in 2019 compared to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Selling, general and administrative expenses increased $9.0 million, or 45.9%, for the year ended December 31, 2019 compared to the year ended December 31, 2018. This increase was primarily due to increased employee related expenses of $6.1 million as a result of increasing the size of our salesforce from 30 as of December 31, 2018 to 50 as of December 31, 2019. The remaining increase relates primarily to increased audit and professional services of $1.2 million, insurance expenses of $0.5 million and stock-based compensation expense of $0.4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Research and development expenses remained relatively consistent for the year ended December 31, 2019 compared to the year ended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purchased intangible assets were fully amortized at December 31, 2018, therefore there is no amortization expense recorded for the year ended December 31, 2019.</w:t>
      </w:r>
    </w:p>
    <w:p>
      <w:pPr>
        <w:sectPr>
          <w:pgSz w:w="11900" w:h="16838" w:orient="portrait"/>
          <w:cols w:equalWidth="0" w:num="1">
            <w:col w:w="11240"/>
          </w:cols>
          <w:pgMar w:left="320" w:top="95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Interest expense increased $0.6 million, or 21.7%, for the year ended December 31, 2019 compared to the year ended December 31, 2018. This increase was primarily due to higher principal amounts outstanding over the year ended December 31, 2019 compared to the prior year period, under our long-term borrowing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The change in fair value of financial instruments increased $ 0.6 million for the year ended December 31, 2019 compared to the year ended December 31, 2018. This increase resulted from changes in the valuation of our redeemable convertible preferred stock warrant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income, net, increased $ 0.4 million for the year ended December 31, 2019 compared to the year ended December 31, 2018. This increase was due to the higher cash balance in our money market funds account during the year ended December 31, 2019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remained relatively consistent for the year ended December 31, 2019 compared to the year ended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incurred net losses since our inception. For the years ended December 31, 2019 and 2018, we incurred a net loss of $12.0 million and $8.0 million, respectively, and we expect to incur additional losses and increased operating expenses in future periods. As of December 31, 2019, we had an accumulated deficit of $164.6 million. To date, we have generated only limited revenue, and we may never achieve revenue sufficient to offset our expenses.</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and redeemable convertible preferred stock and borrowings under various debt financings. In September 2019, we completed our IPO of 4,140,000 shares of its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$ 7.5 million. As of December 31, 2019, we had $72.1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September 2017, we entered into the loan and security agreement with Innovatus, or the Loan Agreement, under which we immediately drew down $20.0 million. In December 2018, we borrowed an additional $5.0 million under the Loan Agreement. In November 2019, we executed the first amendment, or the Loan Amendment, to the Loan Agreement with Innovatus, which we collectively refer to as the Amended Loan Agreement. Pursuant to the Amended Loan Agreement, the loan term is for five years with a final maturity date of November 2024. The Amended Loan Agreement accrues interest at an annual rate of 8.5%, of 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during each subsequent twelve-month period after the first anniversary of the Loan Amendment.</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and achieve certain minimum amounts of revenue,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83" w:name="page84"/>
    <w:bookmarkEnd w:id="83"/>
    <w:p>
      <w:pPr>
        <w:spacing w:after="0" w:line="252" w:lineRule="auto"/>
        <w:rPr>
          <w:sz w:val="20"/>
          <w:szCs w:val="20"/>
          <w:color w:val="auto"/>
        </w:rPr>
      </w:pPr>
      <w:r>
        <w:rPr>
          <w:rFonts w:ascii="Arial" w:cs="Arial" w:eastAsia="Arial" w:hAnsi="Arial"/>
          <w:sz w:val="18"/>
          <w:szCs w:val="18"/>
          <w:color w:val="auto"/>
        </w:rPr>
        <w:t>In connection with the execution of the Loan Agreement, we issued the lender a seven-year warrant to purchase 15,384,615 shares of our Series F redeemable convertible preferred stock at an exercise price of $0.078 per share, and in December 2018, in connection with the additional $5.0 million borrowed under the Loan Agreement, we issued to the lender a seven-year warrant to purchase 3,846,154 shares of our Series F 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9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salesforce to drive increased adoption of and reimbursement for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promote SIMPONI</w:t>
      </w:r>
      <w:r>
        <w:rPr>
          <w:rFonts w:ascii="Arial" w:cs="Arial" w:eastAsia="Arial" w:hAnsi="Arial"/>
          <w:sz w:val="21"/>
          <w:szCs w:val="21"/>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our existing cash and cash equivalents and our anticipated future revenue, will be sufficient to meet our anticipated cash requirements for at least the next 12 months.</w:t>
      </w:r>
    </w:p>
    <w:p>
      <w:pPr>
        <w:spacing w:after="0" w:line="15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9" w:lineRule="exact"/>
        <w:rPr>
          <w:sz w:val="20"/>
          <w:szCs w:val="20"/>
          <w:color w:val="auto"/>
        </w:rPr>
      </w:pPr>
    </w:p>
    <w:p>
      <w:pPr>
        <w:ind w:left="660" w:right="40" w:hanging="328"/>
        <w:spacing w:after="0" w:line="239"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3" w:lineRule="exact"/>
        <w:rPr>
          <w:rFonts w:ascii="Arial" w:cs="Arial" w:eastAsia="Arial" w:hAnsi="Arial"/>
          <w:sz w:val="22"/>
          <w:szCs w:val="22"/>
          <w:color w:val="auto"/>
        </w:rPr>
      </w:pPr>
    </w:p>
    <w:p>
      <w:pPr>
        <w:ind w:left="660" w:right="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recent COVID-19 outbreak on our business, including challenges resulting from social distancing and stay-at home orders through a reduction in testing volumes;</w:t>
      </w:r>
    </w:p>
    <w:p>
      <w:pPr>
        <w:spacing w:after="0" w:line="3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b w:val="1"/>
          <w:bCs w:val="1"/>
          <w:color w:val="auto"/>
        </w:rPr>
      </w:pPr>
    </w:p>
    <w:p>
      <w:pPr>
        <w:ind w:left="660" w:right="80" w:hanging="328"/>
        <w:spacing w:after="0" w:line="220" w:lineRule="auto"/>
        <w:tabs>
          <w:tab w:leader="none" w:pos="65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53" w:lineRule="exact"/>
        <w:rPr>
          <w:rFonts w:ascii="Arial" w:cs="Arial" w:eastAsia="Arial" w:hAnsi="Arial"/>
          <w:sz w:val="18"/>
          <w:szCs w:val="18"/>
          <w:b w:val="1"/>
          <w:bCs w:val="1"/>
          <w:color w:val="auto"/>
        </w:rPr>
      </w:pPr>
    </w:p>
    <w:p>
      <w:pPr>
        <w:ind w:left="660" w:right="620" w:hanging="328"/>
        <w:spacing w:after="0" w:line="261" w:lineRule="auto"/>
        <w:tabs>
          <w:tab w:leader="none" w:pos="65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35" w:lineRule="exact"/>
        <w:rPr>
          <w:rFonts w:ascii="Arial" w:cs="Arial" w:eastAsia="Arial" w:hAnsi="Arial"/>
          <w:sz w:val="18"/>
          <w:szCs w:val="18"/>
          <w:b w:val="1"/>
          <w:bCs w:val="1"/>
          <w:color w:val="auto"/>
        </w:rPr>
      </w:pPr>
    </w:p>
    <w:p>
      <w:pPr>
        <w:ind w:left="660" w:right="320" w:hanging="328"/>
        <w:spacing w:after="0" w:line="261" w:lineRule="auto"/>
        <w:tabs>
          <w:tab w:leader="none" w:pos="65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additional costs we may incur as a result of operating as a public company; and</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4" w:name="page85"/>
    <w:bookmarkEnd w:id="84"/>
    <w:p>
      <w:pPr>
        <w:ind w:right="120"/>
        <w:spacing w:after="0" w:line="253" w:lineRule="auto"/>
        <w:rPr>
          <w:sz w:val="20"/>
          <w:szCs w:val="20"/>
          <w:color w:val="auto"/>
        </w:rPr>
      </w:pPr>
      <w:r>
        <w:rPr>
          <w:rFonts w:ascii="Arial" w:cs="Arial" w:eastAsia="Arial" w:hAnsi="Arial"/>
          <w:sz w:val="18"/>
          <w:szCs w:val="18"/>
          <w:color w:val="auto"/>
        </w:rPr>
        <w:t>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Years Ended December 31,</w:t>
            </w:r>
          </w:p>
        </w:tc>
      </w:tr>
      <w:tr>
        <w:trPr>
          <w:trHeight w:val="209"/>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(9,711)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(9,301)</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68,734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11,423</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58,920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cash used in operating activities for the year ended December 31, 2019 was $9.7 million and primarily resulted from our net loss of $12.0 million adjusted for non-cash charges of $2.2 million related to depreciation, amortization, stock-based compensation, non-cash interest and the revaluation of our preferred stock liabilities. The net cash used in operating activities was partially offset by changes in our net operating assets of $0.2 million related to net increases in accounts payable and accrued liabilities, partially offset by decreases in prepaid expenses and other current assets.</w:t>
      </w:r>
    </w:p>
    <w:p>
      <w:pPr>
        <w:spacing w:after="0" w:line="15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Net cash used in operating activities for the year ended December 31, 2018 was $9.3 million and primarily resulted from our net loss of $8.0 million adjusted for non-cash charges of $0.3 million for remeasurements of financial instruments and $ 1.8 million for depreciation, amortization and non-cash interest, partially offset by changes in our net operating assets consisting of $2.3 million increase in accounts receivable primarily due to the adoption of ASC 606 and $1.3 million related to net increases in prepaid expenses and other current assets, accounts payable, and accrued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Net cash used in investing activities for the year ended December 31, 2019 was $0.1 million and was due to net purchases of property and equipment.</w:t>
      </w:r>
    </w:p>
    <w:p>
      <w:pPr>
        <w:spacing w:after="0" w:line="1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Net cash used in investing activities for the year ended December 31, 2018 was $0.2 million and was primarily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cash provided by financing activities for the year ended December 31, 2019 was $68.7 million and primarily resulted from the net proceeds received from our IPO of $50.4 million, as well as net proceeds received from the issuance of our redeemable convertible preferred stock of $18.4 million.</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Net cash provided by financing activities for the year ended December 31, 2018 was $11.4 million and primarily resulted from $6.5 million of net proceeds received from the issuance of our redeemable convertible preferred stock and net proceeds of $5.0 million under our long-term borrowing arrangement with Innovatus.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85" w:name="page86"/>
    <w:bookmarkEnd w:id="85"/>
    <w:p>
      <w:pPr>
        <w:ind w:right="80"/>
        <w:spacing w:after="0" w:line="252" w:lineRule="auto"/>
        <w:rPr>
          <w:sz w:val="20"/>
          <w:szCs w:val="20"/>
          <w:color w:val="auto"/>
        </w:rPr>
      </w:pPr>
      <w:r>
        <w:rPr>
          <w:rFonts w:ascii="Arial" w:cs="Arial" w:eastAsia="Arial" w:hAnsi="Arial"/>
          <w:sz w:val="18"/>
          <w:szCs w:val="18"/>
          <w:color w:val="auto"/>
        </w:rPr>
        <w:t>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judgement and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healthcare insurers, government payers (primarily Medicare and Medicaid), client payers (i.e. hospitals, other laboratories, etc.) and patient self-pays.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Payers are billed at our list price. Net revenues recognized consist of amounts billed net of allowances for differences between amounts billed and the estimated consideration we expect to receive from such payers.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Our portfolios are grouped per payer (i.e. each individual third party insurance, Medicare, client payers, patient self-pay, etc.) and per test basis.</w:t>
      </w:r>
    </w:p>
    <w:p>
      <w:pPr>
        <w:spacing w:after="0" w:line="15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Collection of our net revenues from payers is normally a function of providing complete and correct billing information to the healthcare insurers and generally occurs within 30 to 90 days of billing.</w:t>
      </w:r>
    </w:p>
    <w:p>
      <w:pPr>
        <w:spacing w:after="0" w:line="14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w:t>
      </w:r>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December 2018, we entered into the Janssen agreement to co-promote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Our obligations relating to sales and co-promotion services for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series of single performance obligations since Janssen simultaneously receives and consumes the benefits provided by our sales and co-promotional services. The method for measuring progress towards satisfying the performance obligations is based on prescribed units in excess of the contractual baseline at the contractual rate earned per unit since the agreement is cancelable. As of December 31, 2018, there were no performance obligations under the agreement and no consideration had been received.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long-lived assets are comprised principally of our property and equipment, finite lived intangible assets, and goodwill.</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 reporting unit. We are required to recognize an impairment charge if the carrying amount of the reporting unit exceeds its fair value.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6" w:name="page87"/>
    <w:bookmarkEnd w:id="86"/>
    <w:p>
      <w:pPr>
        <w:ind w:right="260"/>
        <w:spacing w:after="0" w:line="261" w:lineRule="auto"/>
        <w:rPr>
          <w:sz w:val="20"/>
          <w:szCs w:val="20"/>
          <w:color w:val="auto"/>
        </w:rPr>
      </w:pPr>
      <w:r>
        <w:rPr>
          <w:rFonts w:ascii="Arial" w:cs="Arial" w:eastAsia="Arial" w:hAnsi="Arial"/>
          <w:sz w:val="18"/>
          <w:szCs w:val="18"/>
          <w:color w:val="auto"/>
        </w:rPr>
        <w:t>determination, including the present values of expected future cash flows using discount rates commensurate with the risks involved in the assets and observed market multiples of operating cash flows.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years ended December 31, 2019 and 2018.</w:t>
      </w:r>
    </w:p>
    <w:p>
      <w:pPr>
        <w:spacing w:after="0" w:line="15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Following the completion of our IPO in September 2019, our stock price and associated market capitalization will also be considered in the determination of reporting unit fair value. A prolonged or significant decline in our share price could provide evidence of a need to record a material impairment to goodwill.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stock-based compensation expense of approximately $ 0.6 million and $0.1 million for the years ended December 31, 2019 and 2018, respectively. We expect to continue to grant stock options and other equity-based awards in the future, and to the extent that we do, our stock-based compensation expense recognized in future periods will likely increase.</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10 to our audited financial statements included elsewhere in this Annual Report on Form 10-K for information concerning certain of the specific assumptions we used in applying the Black-Scholes option pricing model to determine the estimated fair value of our stock options granted in the years ended December 31, 2019 and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Our Common Stock</w:t>
      </w:r>
    </w:p>
    <w:p>
      <w:pPr>
        <w:spacing w:after="0" w:line="18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Prior to the completion of our IPO in September 2019,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Following the closing of our initial public offering, our board of directors determines the fair value of our common stock based on its closing price as reported on the date of grant on the primary stock exchange on which our common stock is traded.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Fair Value of Share Purchase Rights, Redeemable Convertible Preferred Stock Warrants and Other Financial Instruments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Prior to the IPO, we entered into agreements with existing stockholders of our redeemable convertible preferred stock that contained future purchase obligations of redeemable convertible preferred stock at a fixed price. We evaluated these share purchase right agreements and assessed whether they meet the definition of a freestanding instrument and, if so, determined the fair value of the share purchase right liability and recorded it on the balance sheet. The share purchase right liability was revalued at each reporting period with changes in the fair value of the liability recorded as a component of other income (expense) in the statement of operations. The share purchase right liability was revalued at settlement and the resultant fair value was then reclassified to redeemable convertible preferred stock at that time. The estimated fair value of the share purchase right liability was determined using valuation models that consider the probability of achieving the requisite milestones, our cost of capital, the estimated time period the preferred stock right would be outstanding, consideration received for the convertible preferred stock, the number of shares to be issued to satisfy the preferred stock purchase right and at what price, and probability of the consummation of an initial public offering, as applicable.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7" w:name="page88"/>
    <w:bookmarkEnd w:id="87"/>
    <w:p>
      <w:pPr>
        <w:ind w:right="20"/>
        <w:spacing w:after="0" w:line="252" w:lineRule="auto"/>
        <w:rPr>
          <w:sz w:val="20"/>
          <w:szCs w:val="20"/>
          <w:color w:val="auto"/>
        </w:rPr>
      </w:pPr>
      <w:r>
        <w:rPr>
          <w:rFonts w:ascii="Arial" w:cs="Arial" w:eastAsia="Arial" w:hAnsi="Arial"/>
          <w:sz w:val="18"/>
          <w:szCs w:val="18"/>
          <w:color w:val="auto"/>
        </w:rPr>
        <w:t>We accounted for our redeemable convertible preferred stock warrant liabilities as freestanding instruments for shares that were puttable or redeemable. These warrants were classified as liabilities on our balance sheet and were recorded at their estimated fair values. At the end of each reporting period, changes in estimated fair value during the period were recorded as a component of other income (expense), net in the accompanying statement of operations. We continued to re-measure the fair value of the warrant liabilities until: (i) exercise; (ii) expiration of the related warrant; or (iii) conversion of the preferred stock underlying the security into common stock, which occurred in connection with the completion of our IPO in September 2019. We estimated the fair values of our warrant liabilities using an option pricing model based on inputs as of the valuation measurement dates, including the fair value of our redeemable convertible preferred stock, the estimated volatility of the price of our redeemable convertible preferred stock, the expected term of the warrants and the risk-free interest rates.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significant judgments and estimates inherent in the determination of the fair values of our preferred stock purchase right liabilities and redeemable convertible preferred stock warrant liabilities. If we had made different assumptions, the carrying value of these liabilities, net loss and net loss per share attributable to common stockholders could have been significantly different.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the acquisition of the medical diagnostics division of Cypress in 2010, we initially agreed to pay an additional amount not to exceed $9.0 million in the event specified revenue, contractual and product launch milestones are achieved. This contingent liability required the use of inputs which were not observable in the market to assess its fair value at the end of each reporting period. For this liability, fair value was determined based on probabilities assigned to the milestones being achieved, revenue projections, and interest rates. Changes in fair value were recorded in the statement of operations and comprehensive loss. In February 2017, we amended two of the remaining agreements for which a contingent payment amount had been originally agreed to. One contingent payment amount remains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We operate in, and are subject to tax authorities in, various tax jurisdictions in the United States. To date, we have not been audited by the Internal Revenue Service or any state income tax authority, however all tax years remain open for examination by federal tax authorities.</w:t>
      </w:r>
    </w:p>
    <w:p>
      <w:pPr>
        <w:spacing w:after="0" w:line="1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December 31, 2019, our deferred tax assets are primarily comprised of federal and state tax net operating loss carryforwards. We completed a formal study through the year ended December 31, 2019 and determined ownership changes within the meaning of Internal Revenue Code (IRC), Section 382 had occurred in 2003, 2008, 2012, 2017 and 2019. Therefore, our ability to utilize our net operating losses incurred prior to December 31, 2017 are limited. Our ability to utilize net operating loss carryforwards generated after December 31, 2017 will not expire under the Tax Cuts and Jobs Act of 2017.</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2019. We will continue to maintain a full valuation allowance on our deferred tax assets until there is sufficient evidence to support the reversal of all or some portion of this allowance.</w:t>
      </w:r>
    </w:p>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financial statements and notes thereto included elsewhere in this prospectus, which contain accounting policies and other disclosures required by GAAP.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See "Notes to the Financial Statements-Note 2-Recent Accounting Pronouncements" of our annual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5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 on Form 10-K.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9" w:name="page90"/>
    <w:bookmarkEnd w:id="89"/>
    <w:p>
      <w:pPr>
        <w:ind w:right="2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2019,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due to a transition period established by the rules of the SEC, which requires such assessment to be included beginning with a registrant's second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9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provided by the JOBS Act for "emerging growth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2019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70" w:right="49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adopted a Code of Business Conduct and Ethics that applies to our officers, directors and employees, which is available on our website at www.exagen.com.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91" w:name="page92"/>
    <w:bookmarkEnd w:id="91"/>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financial statements of Exagen Inc., together with the report thereon of BDO USA, LLP, an independent registered public accounting firm, are included in this annual report on Form 10-K beginning on page 91.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list of exhibits is set form on the Exhibit Index immediately preceding the signature page of this Annual Report on Form 10-K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886" w:right="7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0" w:type="dxa"/>
            <w:vAlign w:val="bottom"/>
            <w:gridSpan w:val="3"/>
          </w:tcPr>
          <w:p>
            <w:pPr>
              <w:jc w:val="center"/>
              <w:ind w:right="2400"/>
              <w:spacing w:after="0"/>
              <w:rPr>
                <w:sz w:val="20"/>
                <w:szCs w:val="20"/>
                <w:color w:val="auto"/>
              </w:rPr>
            </w:pPr>
            <w:r>
              <w:rPr>
                <w:rFonts w:ascii="Arial" w:cs="Arial" w:eastAsia="Arial" w:hAnsi="Arial"/>
                <w:sz w:val="18"/>
                <w:szCs w:val="18"/>
                <w:b w:val="1"/>
                <w:bCs w:val="1"/>
                <w:color w:val="auto"/>
                <w:w w:val="99"/>
              </w:rPr>
              <w:t>Exagen Inc.</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86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9"/>
              </w:rPr>
              <w:t>Index to Financial Statements</w:t>
            </w: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89"/>
        </w:trPr>
        <w:tc>
          <w:tcPr>
            <w:tcW w:w="9000" w:type="dxa"/>
            <w:vAlign w:val="bottom"/>
            <w:gridSpan w:val="6"/>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Report of Independent Registered Public Accounting Firm</w:t>
              </w:r>
            </w:hyperlink>
          </w:p>
        </w:tc>
        <w:tc>
          <w:tcPr>
            <w:tcW w:w="2220" w:type="dxa"/>
            <w:vAlign w:val="bottom"/>
            <w:gridSpan w:val="3"/>
          </w:tcPr>
          <w:p>
            <w:pPr>
              <w:jc w:val="center"/>
              <w:spacing w:after="0" w:line="189" w:lineRule="exact"/>
              <w:rPr>
                <w:rFonts w:ascii="Arial" w:cs="Arial" w:eastAsia="Arial" w:hAnsi="Arial"/>
                <w:sz w:val="18"/>
                <w:szCs w:val="18"/>
                <w:color w:val="0000FF"/>
                <w:w w:val="99"/>
              </w:rPr>
            </w:pPr>
            <w:hyperlink w:anchor="page93">
              <w:r>
                <w:rPr>
                  <w:rFonts w:ascii="Arial" w:cs="Arial" w:eastAsia="Arial" w:hAnsi="Arial"/>
                  <w:sz w:val="18"/>
                  <w:szCs w:val="18"/>
                  <w:color w:val="0000FF"/>
                  <w:w w:val="99"/>
                </w:rPr>
                <w:t>91</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Balance Sheets as of December 31, 2019 and 2018</w:t>
              </w:r>
            </w:hyperlink>
          </w:p>
        </w:tc>
        <w:tc>
          <w:tcPr>
            <w:tcW w:w="460" w:type="dxa"/>
            <w:vAlign w:val="bottom"/>
          </w:tcPr>
          <w:p>
            <w:pPr>
              <w:spacing w:after="0"/>
              <w:rPr>
                <w:sz w:val="18"/>
                <w:szCs w:val="18"/>
                <w:color w:val="auto"/>
              </w:rPr>
            </w:pPr>
          </w:p>
        </w:tc>
        <w:tc>
          <w:tcPr>
            <w:tcW w:w="4400" w:type="dxa"/>
            <w:vAlign w:val="bottom"/>
            <w:gridSpan w:val="3"/>
          </w:tcPr>
          <w:p>
            <w:pPr>
              <w:spacing w:after="0"/>
              <w:rPr>
                <w:sz w:val="18"/>
                <w:szCs w:val="18"/>
                <w:color w:val="auto"/>
              </w:rPr>
            </w:pPr>
          </w:p>
        </w:tc>
        <w:tc>
          <w:tcPr>
            <w:tcW w:w="2220" w:type="dxa"/>
            <w:vAlign w:val="bottom"/>
            <w:gridSpan w:val="3"/>
          </w:tcPr>
          <w:p>
            <w:pPr>
              <w:jc w:val="cente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92</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0" w:type="dxa"/>
            <w:vAlign w:val="bottom"/>
            <w:gridSpan w:val="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Statement of Operations for the Years Ended December 31, 2019 and 2018</w:t>
              </w:r>
            </w:hyperlink>
          </w:p>
        </w:tc>
        <w:tc>
          <w:tcPr>
            <w:tcW w:w="2220" w:type="dxa"/>
            <w:vAlign w:val="bottom"/>
            <w:gridSpan w:val="3"/>
          </w:tcPr>
          <w:p>
            <w:pPr>
              <w:jc w:val="cente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93</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Statement of Redeemable Convertible Preferred Stock and Stockholders' Equity (Deficit) for the Years Ended</w:t>
              </w:r>
            </w:hyperlink>
          </w:p>
        </w:tc>
        <w:tc>
          <w:tcPr>
            <w:tcW w:w="2220" w:type="dxa"/>
            <w:vAlign w:val="bottom"/>
            <w:gridSpan w:val="3"/>
            <w:vMerge w:val="restart"/>
          </w:tcPr>
          <w:p>
            <w:pPr>
              <w:jc w:val="center"/>
              <w:spacing w:after="0"/>
              <w:rPr>
                <w:rFonts w:ascii="Arial" w:cs="Arial" w:eastAsia="Arial" w:hAnsi="Arial"/>
                <w:sz w:val="18"/>
                <w:szCs w:val="18"/>
                <w:color w:val="0000FF"/>
                <w:w w:val="99"/>
              </w:rPr>
            </w:pPr>
            <w:hyperlink w:anchor="page96">
              <w:r>
                <w:rPr>
                  <w:rFonts w:ascii="Arial" w:cs="Arial" w:eastAsia="Arial" w:hAnsi="Arial"/>
                  <w:sz w:val="18"/>
                  <w:szCs w:val="18"/>
                  <w:color w:val="0000FF"/>
                  <w:w w:val="99"/>
                </w:rPr>
                <w:t>94</w:t>
              </w:r>
            </w:hyperlink>
          </w:p>
        </w:tc>
        <w:tc>
          <w:tcPr>
            <w:tcW w:w="0" w:type="dxa"/>
            <w:vAlign w:val="bottom"/>
          </w:tcPr>
          <w:p>
            <w:pPr>
              <w:spacing w:after="0"/>
              <w:rPr>
                <w:sz w:val="1"/>
                <w:szCs w:val="1"/>
                <w:color w:val="auto"/>
              </w:rPr>
            </w:pPr>
          </w:p>
        </w:tc>
      </w:tr>
      <w:tr>
        <w:trPr>
          <w:trHeight w:val="155"/>
        </w:trPr>
        <w:tc>
          <w:tcPr>
            <w:tcW w:w="86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December 31, 2019 and 2018</w:t>
              </w:r>
            </w:hyperlink>
          </w:p>
        </w:tc>
        <w:tc>
          <w:tcPr>
            <w:tcW w:w="320" w:type="dxa"/>
            <w:vAlign w:val="bottom"/>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6"/>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Statement of Cash Flows for the Years Ended December 31, 2019 and 2018</w:t>
              </w:r>
            </w:hyperlink>
          </w:p>
        </w:tc>
        <w:tc>
          <w:tcPr>
            <w:tcW w:w="2220" w:type="dxa"/>
            <w:vAlign w:val="bottom"/>
            <w:gridSpan w:val="3"/>
          </w:tcPr>
          <w:p>
            <w:pPr>
              <w:jc w:val="cente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95</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4"/>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Notes to Financial Statements</w:t>
              </w:r>
            </w:hyperlink>
          </w:p>
        </w:tc>
        <w:tc>
          <w:tcPr>
            <w:tcW w:w="2980" w:type="dxa"/>
            <w:vAlign w:val="bottom"/>
            <w:gridSpan w:val="2"/>
          </w:tcPr>
          <w:p>
            <w:pPr>
              <w:spacing w:after="0"/>
              <w:rPr>
                <w:sz w:val="18"/>
                <w:szCs w:val="18"/>
                <w:color w:val="auto"/>
              </w:rPr>
            </w:pPr>
          </w:p>
        </w:tc>
        <w:tc>
          <w:tcPr>
            <w:tcW w:w="2220" w:type="dxa"/>
            <w:vAlign w:val="bottom"/>
            <w:gridSpan w:val="3"/>
          </w:tcPr>
          <w:p>
            <w:pPr>
              <w:jc w:val="center"/>
              <w:spacing w:after="0"/>
              <w:rPr>
                <w:rFonts w:ascii="Arial" w:cs="Arial" w:eastAsia="Arial" w:hAnsi="Arial"/>
                <w:sz w:val="18"/>
                <w:szCs w:val="18"/>
                <w:color w:val="0000FF"/>
                <w:w w:val="99"/>
              </w:rPr>
            </w:pPr>
            <w:hyperlink w:anchor="page98">
              <w:r>
                <w:rPr>
                  <w:rFonts w:ascii="Arial" w:cs="Arial" w:eastAsia="Arial" w:hAnsi="Arial"/>
                  <w:sz w:val="18"/>
                  <w:szCs w:val="18"/>
                  <w:color w:val="0000FF"/>
                  <w:w w:val="99"/>
                </w:rPr>
                <w:t>96</w:t>
              </w:r>
            </w:hyperlink>
          </w:p>
        </w:tc>
        <w:tc>
          <w:tcPr>
            <w:tcW w:w="0" w:type="dxa"/>
            <w:vAlign w:val="bottom"/>
          </w:tcPr>
          <w:p>
            <w:pPr>
              <w:spacing w:after="0"/>
              <w:rPr>
                <w:sz w:val="1"/>
                <w:szCs w:val="1"/>
                <w:color w:val="auto"/>
              </w:rPr>
            </w:pPr>
          </w:p>
        </w:tc>
      </w:tr>
      <w:tr>
        <w:trPr>
          <w:trHeight w:val="20"/>
        </w:trPr>
        <w:tc>
          <w:tcPr>
            <w:tcW w:w="23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372"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4" w:lineRule="auto"/>
        <w:rPr>
          <w:sz w:val="20"/>
          <w:szCs w:val="20"/>
          <w:color w:val="auto"/>
        </w:rPr>
      </w:pPr>
      <w:r>
        <w:rPr>
          <w:rFonts w:ascii="Arial" w:cs="Arial" w:eastAsia="Arial" w:hAnsi="Arial"/>
          <w:sz w:val="18"/>
          <w:szCs w:val="18"/>
          <w:color w:val="auto"/>
        </w:rPr>
        <w:t>Exagen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audited the accompanying balance sheets of Exagen Inc. (“the Company”) as of December 31, 2019 and 2018, the related statements of operations,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4" w:name="page95"/>
    <w:bookmarkEnd w:id="9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72,084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13,164</w:t>
            </w:r>
          </w:p>
        </w:tc>
        <w:tc>
          <w:tcPr>
            <w:tcW w:w="0" w:type="dxa"/>
            <w:vAlign w:val="bottom"/>
          </w:tcPr>
          <w:p>
            <w:pPr>
              <w:spacing w:after="0"/>
              <w:rPr>
                <w:sz w:val="1"/>
                <w:szCs w:val="1"/>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5,715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03"/>
        </w:trPr>
        <w:tc>
          <w:tcPr>
            <w:tcW w:w="870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81,250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21,312</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3"/>
        </w:trPr>
        <w:tc>
          <w:tcPr>
            <w:tcW w:w="870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10"/>
        </w:trPr>
        <w:tc>
          <w:tcPr>
            <w:tcW w:w="870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received prior to issuance of Series G redeemable convertible preferred stock</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203"/>
        </w:trPr>
        <w:tc>
          <w:tcPr>
            <w:tcW w:w="870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8,952</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24,617</w:t>
            </w: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4"/>
                <w:szCs w:val="14"/>
                <w:color w:val="auto"/>
              </w:rPr>
              <w:t>Redeemable convertible preferred stock warrant liabilities</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35,621</w:t>
            </w: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4"/>
                <w:szCs w:val="14"/>
                <w:color w:val="auto"/>
              </w:rPr>
              <w:t>Commitments and contingencies (Note 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7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Redeemable convertible preferred stock, $0.001 par value; none and 750,300,000 shares authorized at December 31, 2019 and 2018,</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7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respectively; none and 532,606,084 shares issued and outstanding at December 31, 2019 and December 31, 2018, respectively;</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105,232</w:t>
            </w:r>
          </w:p>
        </w:tc>
        <w:tc>
          <w:tcPr>
            <w:tcW w:w="0" w:type="dxa"/>
            <w:vAlign w:val="bottom"/>
          </w:tcPr>
          <w:p>
            <w:pPr>
              <w:spacing w:after="0"/>
              <w:rPr>
                <w:sz w:val="1"/>
                <w:szCs w:val="1"/>
                <w:color w:val="auto"/>
              </w:rPr>
            </w:pPr>
          </w:p>
        </w:tc>
      </w:tr>
      <w:tr>
        <w:trPr>
          <w:trHeight w:val="171"/>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liquidation preference of $0 and $163,316 at December 31, 2019 and December 31, 2018, respectively</w:t>
            </w:r>
          </w:p>
        </w:tc>
        <w:tc>
          <w:tcPr>
            <w:tcW w:w="1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7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Preferred stock, $0.001 par value; 10,000,000 shares authorized, no shares issued or outstanding at December 31, 2019; no</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shares authorized, issued or outstanding at December 31, 2018</w:t>
            </w:r>
          </w:p>
        </w:tc>
        <w:tc>
          <w:tcPr>
            <w:tcW w:w="1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0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200,000,000 and 1,470,000,000 shares authorized at December 31, 2019 and December 31,</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700" w:type="dxa"/>
            <w:vAlign w:val="bottom"/>
          </w:tcPr>
          <w:p>
            <w:pPr>
              <w:ind w:left="360"/>
              <w:spacing w:after="0" w:line="135" w:lineRule="exact"/>
              <w:rPr>
                <w:sz w:val="20"/>
                <w:szCs w:val="20"/>
                <w:color w:val="auto"/>
              </w:rPr>
            </w:pPr>
            <w:r>
              <w:rPr>
                <w:rFonts w:ascii="Arial" w:cs="Arial" w:eastAsia="Arial" w:hAnsi="Arial"/>
                <w:sz w:val="14"/>
                <w:szCs w:val="14"/>
                <w:color w:val="auto"/>
              </w:rPr>
              <w:t>2018, respectively; 12,560,990 and 63,005 shares issued and outstanding at December 31, 2019 and December 31, 2018,</w:t>
            </w:r>
          </w:p>
        </w:tc>
        <w:tc>
          <w:tcPr>
            <w:tcW w:w="120" w:type="dxa"/>
            <w:vAlign w:val="bottom"/>
          </w:tcPr>
          <w:p>
            <w:pPr>
              <w:spacing w:after="0"/>
              <w:rPr>
                <w:sz w:val="11"/>
                <w:szCs w:val="11"/>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70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(164,602)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(152,564)</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stockholders' equity (deficit)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55,659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5" w:name="page96"/>
    <w:bookmarkEnd w:id="9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8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32,440</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 (excluding amortization of purchased technology)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15,379</w:t>
            </w:r>
          </w:p>
        </w:tc>
        <w:tc>
          <w:tcPr>
            <w:tcW w:w="0" w:type="dxa"/>
            <w:vAlign w:val="bottom"/>
          </w:tcPr>
          <w:p>
            <w:pPr>
              <w:spacing w:after="0"/>
              <w:rPr>
                <w:sz w:val="1"/>
                <w:szCs w:val="1"/>
                <w:color w:val="auto"/>
              </w:rPr>
            </w:pPr>
          </w:p>
        </w:tc>
      </w:tr>
      <w:tr>
        <w:trPr>
          <w:trHeight w:val="210"/>
        </w:trPr>
        <w:tc>
          <w:tcPr>
            <w:tcW w:w="838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28,702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19,675</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10"/>
        </w:trPr>
        <w:tc>
          <w:tcPr>
            <w:tcW w:w="838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6"/>
        </w:trPr>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49,686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37,320</w:t>
            </w:r>
          </w:p>
        </w:tc>
        <w:tc>
          <w:tcPr>
            <w:tcW w:w="0" w:type="dxa"/>
            <w:vAlign w:val="bottom"/>
          </w:tcPr>
          <w:p>
            <w:pPr>
              <w:spacing w:after="0"/>
              <w:rPr>
                <w:sz w:val="1"/>
                <w:szCs w:val="1"/>
                <w:color w:val="auto"/>
              </w:rPr>
            </w:pPr>
          </w:p>
        </w:tc>
      </w:tr>
      <w:tr>
        <w:trPr>
          <w:trHeight w:val="203"/>
        </w:trPr>
        <w:tc>
          <w:tcPr>
            <w:tcW w:w="83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(9,299)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30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3"/>
        </w:trPr>
        <w:tc>
          <w:tcPr>
            <w:tcW w:w="838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(12,013)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(7,954)</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4"/>
        </w:trPr>
        <w:tc>
          <w:tcPr>
            <w:tcW w:w="8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(12,038)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3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 (Note 2)</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(18,482)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(293.34)</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3,578,771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63,005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6" w:name="page97"/>
    <w:bookmarkEnd w:id="9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620" w:type="dxa"/>
            <w:vAlign w:val="bottom"/>
            <w:gridSpan w:val="3"/>
          </w:tcPr>
          <w:p>
            <w:pPr>
              <w:jc w:val="center"/>
              <w:ind w:left="690"/>
              <w:spacing w:after="0"/>
              <w:rPr>
                <w:sz w:val="20"/>
                <w:szCs w:val="20"/>
                <w:color w:val="auto"/>
              </w:rPr>
            </w:pPr>
            <w:r>
              <w:rPr>
                <w:rFonts w:ascii="Arial" w:cs="Arial" w:eastAsia="Arial" w:hAnsi="Arial"/>
                <w:sz w:val="13"/>
                <w:szCs w:val="13"/>
                <w:b w:val="1"/>
                <w:bCs w:val="1"/>
                <w:color w:val="auto"/>
                <w:w w:val="96"/>
              </w:rPr>
              <w:t>Redeemable</w:t>
            </w: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620" w:type="dxa"/>
            <w:vAlign w:val="bottom"/>
            <w:gridSpan w:val="3"/>
          </w:tcPr>
          <w:p>
            <w:pPr>
              <w:jc w:val="center"/>
              <w:ind w:left="67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23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120" w:type="dxa"/>
            <w:vAlign w:val="bottom"/>
            <w:tcBorders>
              <w:right w:val="single" w:sz="8" w:color="auto"/>
            </w:tcBorders>
            <w:vMerge w:val="restart"/>
          </w:tcPr>
          <w:p>
            <w:pPr>
              <w:spacing w:after="0"/>
              <w:rPr>
                <w:sz w:val="7"/>
                <w:szCs w:val="7"/>
                <w:color w:val="auto"/>
              </w:rPr>
            </w:pPr>
          </w:p>
        </w:tc>
        <w:tc>
          <w:tcPr>
            <w:tcW w:w="1820" w:type="dxa"/>
            <w:vAlign w:val="bottom"/>
            <w:gridSpan w:val="4"/>
            <w:vMerge w:val="restart"/>
          </w:tcPr>
          <w:p>
            <w:pPr>
              <w:jc w:val="right"/>
              <w:ind w:right="36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2380" w:type="dxa"/>
            <w:vAlign w:val="bottom"/>
            <w:tcBorders>
              <w:bottom w:val="single" w:sz="8" w:color="auto"/>
            </w:tcBorders>
            <w:gridSpan w:val="4"/>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0"/>
                <w:szCs w:val="10"/>
                <w:color w:val="auto"/>
              </w:rPr>
            </w:pPr>
          </w:p>
        </w:tc>
        <w:tc>
          <w:tcPr>
            <w:tcW w:w="11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60" w:type="dxa"/>
            <w:vAlign w:val="bottom"/>
          </w:tcPr>
          <w:p>
            <w:pPr>
              <w:jc w:val="center"/>
              <w:ind w:right="69"/>
              <w:spacing w:after="0" w:line="11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77"/>
        </w:trPr>
        <w:tc>
          <w:tcPr>
            <w:tcW w:w="32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2017</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497,691,757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92,046</w:t>
            </w: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50,954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(147,638)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(96,684)</w:t>
            </w:r>
          </w:p>
        </w:tc>
        <w:tc>
          <w:tcPr>
            <w:tcW w:w="0" w:type="dxa"/>
            <w:vAlign w:val="bottom"/>
          </w:tcPr>
          <w:p>
            <w:pPr>
              <w:spacing w:after="0"/>
              <w:rPr>
                <w:sz w:val="1"/>
                <w:szCs w:val="1"/>
                <w:color w:val="auto"/>
              </w:rPr>
            </w:pPr>
          </w:p>
        </w:tc>
      </w:tr>
      <w:tr>
        <w:trPr>
          <w:trHeight w:val="194"/>
        </w:trPr>
        <w:tc>
          <w:tcPr>
            <w:tcW w:w="3240" w:type="dxa"/>
            <w:vAlign w:val="bottom"/>
          </w:tcPr>
          <w:p>
            <w:pPr>
              <w:ind w:left="340"/>
              <w:spacing w:after="0"/>
              <w:rPr>
                <w:sz w:val="20"/>
                <w:szCs w:val="20"/>
                <w:color w:val="auto"/>
              </w:rPr>
            </w:pPr>
            <w:r>
              <w:rPr>
                <w:rFonts w:ascii="Arial" w:cs="Arial" w:eastAsia="Arial" w:hAnsi="Arial"/>
                <w:sz w:val="14"/>
                <w:szCs w:val="14"/>
                <w:color w:val="auto"/>
              </w:rPr>
              <w:t>Cumulative effect of changes in accounting</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40" w:type="dxa"/>
            <w:vAlign w:val="bottom"/>
          </w:tcPr>
          <w:p>
            <w:pPr>
              <w:ind w:left="340"/>
              <w:spacing w:after="0"/>
              <w:rPr>
                <w:sz w:val="20"/>
                <w:szCs w:val="20"/>
                <w:color w:val="auto"/>
              </w:rPr>
            </w:pPr>
            <w:r>
              <w:rPr>
                <w:rFonts w:ascii="Arial" w:cs="Arial" w:eastAsia="Arial" w:hAnsi="Arial"/>
                <w:sz w:val="14"/>
                <w:szCs w:val="14"/>
                <w:color w:val="auto"/>
              </w:rPr>
              <w:t>principle related to revenue recognition</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3,086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Accretion of redeemable convertible</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preferred stock</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9,318</w:t>
            </w:r>
          </w:p>
        </w:tc>
        <w:tc>
          <w:tcPr>
            <w:tcW w:w="120" w:type="dxa"/>
            <w:vAlign w:val="bottom"/>
            <w:tcBorders>
              <w:right w:val="single" w:sz="8" w:color="auto"/>
            </w:tcBorders>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10"/>
        </w:trPr>
        <w:tc>
          <w:tcPr>
            <w:tcW w:w="32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Issuance of Series F redeemable</w:t>
            </w: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convertible preferred stock for aggregate</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proceeds of $0.078 per share, net of</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issuance costs of $7, in the third tranche</w:t>
            </w:r>
          </w:p>
        </w:tc>
        <w:tc>
          <w:tcPr>
            <w:tcW w:w="14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34,914,327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3,868</w:t>
            </w:r>
          </w:p>
        </w:tc>
        <w:tc>
          <w:tcPr>
            <w:tcW w:w="120" w:type="dxa"/>
            <w:vAlign w:val="bottom"/>
            <w:tcBorders>
              <w:right w:val="single" w:sz="8" w:color="auto"/>
            </w:tcBorders>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closing of the Series F financing</w:t>
            </w: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loss</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(8,012)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532,606,084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105,232</w:t>
            </w: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40,598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(152,564)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194"/>
        </w:trPr>
        <w:tc>
          <w:tcPr>
            <w:tcW w:w="3240" w:type="dxa"/>
            <w:vAlign w:val="bottom"/>
          </w:tcPr>
          <w:p>
            <w:pPr>
              <w:ind w:left="340"/>
              <w:spacing w:after="0"/>
              <w:rPr>
                <w:sz w:val="20"/>
                <w:szCs w:val="20"/>
                <w:color w:val="auto"/>
              </w:rPr>
            </w:pPr>
            <w:r>
              <w:rPr>
                <w:rFonts w:ascii="Arial" w:cs="Arial" w:eastAsia="Arial" w:hAnsi="Arial"/>
                <w:sz w:val="14"/>
                <w:szCs w:val="14"/>
                <w:color w:val="auto"/>
              </w:rPr>
              <w:t>Accretion of redeemable convertible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40" w:type="dxa"/>
            <w:vAlign w:val="bottom"/>
          </w:tcPr>
          <w:p>
            <w:pPr>
              <w:ind w:left="340"/>
              <w:spacing w:after="0"/>
              <w:rPr>
                <w:sz w:val="20"/>
                <w:szCs w:val="20"/>
                <w:color w:val="auto"/>
              </w:rPr>
            </w:pPr>
            <w:r>
              <w:rPr>
                <w:rFonts w:ascii="Arial" w:cs="Arial" w:eastAsia="Arial" w:hAnsi="Arial"/>
                <w:sz w:val="14"/>
                <w:szCs w:val="14"/>
                <w:color w:val="auto"/>
              </w:rPr>
              <w:t>preferred stock</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4,640</w:t>
            </w:r>
          </w:p>
        </w:tc>
        <w:tc>
          <w:tcPr>
            <w:tcW w:w="120" w:type="dxa"/>
            <w:vAlign w:val="bottom"/>
            <w:tcBorders>
              <w:right w:val="single" w:sz="8" w:color="auto"/>
            </w:tcBorders>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(4,640)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2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Issuance of Series G redeemable</w:t>
            </w: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convertible preferred stock for aggregate</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proceeds of $0.078 per share, net of</w:t>
            </w:r>
          </w:p>
        </w:tc>
        <w:tc>
          <w:tcPr>
            <w:tcW w:w="14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148,928,337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11,492</w:t>
            </w:r>
          </w:p>
        </w:tc>
        <w:tc>
          <w:tcPr>
            <w:tcW w:w="120" w:type="dxa"/>
            <w:vAlign w:val="bottom"/>
            <w:tcBorders>
              <w:right w:val="single" w:sz="8" w:color="auto"/>
            </w:tcBorders>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costs of $124 (Note 8)</w:t>
            </w: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360"/>
              <w:spacing w:after="0" w:line="153" w:lineRule="exact"/>
              <w:rPr>
                <w:sz w:val="20"/>
                <w:szCs w:val="20"/>
                <w:color w:val="auto"/>
              </w:rPr>
            </w:pPr>
            <w:r>
              <w:rPr>
                <w:rFonts w:ascii="Arial" w:cs="Arial" w:eastAsia="Arial" w:hAnsi="Arial"/>
                <w:sz w:val="14"/>
                <w:szCs w:val="14"/>
                <w:color w:val="auto"/>
              </w:rPr>
              <w:t>Issuance of Series H redeemable</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60"/>
              <w:spacing w:after="0" w:line="135" w:lineRule="exact"/>
              <w:rPr>
                <w:sz w:val="20"/>
                <w:szCs w:val="20"/>
                <w:color w:val="auto"/>
              </w:rPr>
            </w:pPr>
            <w:r>
              <w:rPr>
                <w:rFonts w:ascii="Arial" w:cs="Arial" w:eastAsia="Arial" w:hAnsi="Arial"/>
                <w:sz w:val="14"/>
                <w:szCs w:val="14"/>
                <w:color w:val="auto"/>
              </w:rPr>
              <w:t>convertible preferred stock for aggregate</w:t>
            </w: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60"/>
              <w:spacing w:after="0" w:line="135" w:lineRule="exact"/>
              <w:rPr>
                <w:sz w:val="20"/>
                <w:szCs w:val="20"/>
                <w:color w:val="auto"/>
              </w:rPr>
            </w:pPr>
            <w:r>
              <w:rPr>
                <w:rFonts w:ascii="Arial" w:cs="Arial" w:eastAsia="Arial" w:hAnsi="Arial"/>
                <w:sz w:val="14"/>
                <w:szCs w:val="14"/>
                <w:color w:val="auto"/>
              </w:rPr>
              <w:t>proceeds of $0.047 per share, net of</w:t>
            </w:r>
          </w:p>
        </w:tc>
        <w:tc>
          <w:tcPr>
            <w:tcW w:w="1400" w:type="dxa"/>
            <w:vAlign w:val="bottom"/>
            <w:vMerge w:val="restart"/>
          </w:tcPr>
          <w:p>
            <w:pPr>
              <w:jc w:val="right"/>
              <w:ind w:right="70"/>
              <w:spacing w:after="0"/>
              <w:rPr>
                <w:sz w:val="20"/>
                <w:szCs w:val="20"/>
                <w:color w:val="auto"/>
              </w:rPr>
            </w:pPr>
            <w:r>
              <w:rPr>
                <w:rFonts w:ascii="Arial" w:cs="Arial" w:eastAsia="Arial" w:hAnsi="Arial"/>
                <w:sz w:val="14"/>
                <w:szCs w:val="14"/>
                <w:color w:val="auto"/>
              </w:rPr>
              <w:t>233,446,519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3,941</w:t>
            </w:r>
          </w:p>
        </w:tc>
        <w:tc>
          <w:tcPr>
            <w:tcW w:w="120" w:type="dxa"/>
            <w:vAlign w:val="bottom"/>
            <w:tcBorders>
              <w:right w:val="single" w:sz="8" w:color="auto"/>
            </w:tcBorders>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69"/>
              <w:spacing w:after="0"/>
              <w:rPr>
                <w:sz w:val="20"/>
                <w:szCs w:val="20"/>
                <w:color w:val="auto"/>
              </w:rPr>
            </w:pPr>
            <w:r>
              <w:rPr>
                <w:rFonts w:ascii="Arial" w:cs="Arial" w:eastAsia="Arial" w:hAnsi="Arial"/>
                <w:sz w:val="14"/>
                <w:szCs w:val="14"/>
                <w:color w:val="auto"/>
              </w:rPr>
              <w:t>6,741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ind w:right="69"/>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71"/>
        </w:trPr>
        <w:tc>
          <w:tcPr>
            <w:tcW w:w="3240" w:type="dxa"/>
            <w:vAlign w:val="bottom"/>
          </w:tcPr>
          <w:p>
            <w:pPr>
              <w:ind w:left="360"/>
              <w:spacing w:after="0"/>
              <w:rPr>
                <w:sz w:val="20"/>
                <w:szCs w:val="20"/>
                <w:color w:val="auto"/>
              </w:rPr>
            </w:pPr>
            <w:r>
              <w:rPr>
                <w:rFonts w:ascii="Arial" w:cs="Arial" w:eastAsia="Arial" w:hAnsi="Arial"/>
                <w:sz w:val="14"/>
                <w:szCs w:val="14"/>
                <w:color w:val="auto"/>
              </w:rPr>
              <w:t>issuance costs of $318 (Note 8)</w:t>
            </w: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Deemed dividend recognized on beneficial</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conversion features of Series H</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convertible preferred stock</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(Note 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6,741</w:t>
            </w:r>
          </w:p>
        </w:tc>
        <w:tc>
          <w:tcPr>
            <w:tcW w:w="120" w:type="dxa"/>
            <w:vAlign w:val="bottom"/>
            <w:tcBorders>
              <w:right w:val="single" w:sz="8" w:color="auto"/>
            </w:tcBorders>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94"/>
        </w:trPr>
        <w:tc>
          <w:tcPr>
            <w:tcW w:w="3240" w:type="dxa"/>
            <w:vAlign w:val="bottom"/>
          </w:tcPr>
          <w:p>
            <w:pPr>
              <w:ind w:left="340"/>
              <w:spacing w:after="0"/>
              <w:rPr>
                <w:sz w:val="20"/>
                <w:szCs w:val="20"/>
                <w:color w:val="auto"/>
              </w:rPr>
            </w:pPr>
            <w:r>
              <w:rPr>
                <w:rFonts w:ascii="Arial" w:cs="Arial" w:eastAsia="Arial" w:hAnsi="Arial"/>
                <w:sz w:val="14"/>
                <w:szCs w:val="14"/>
                <w:color w:val="auto"/>
              </w:rPr>
              <w:t>Deemed dividend from conversion of</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40"/>
              <w:spacing w:after="0"/>
              <w:rPr>
                <w:sz w:val="20"/>
                <w:szCs w:val="20"/>
                <w:color w:val="auto"/>
              </w:rPr>
            </w:pPr>
            <w:r>
              <w:rPr>
                <w:rFonts w:ascii="Arial" w:cs="Arial" w:eastAsia="Arial" w:hAnsi="Arial"/>
                <w:sz w:val="14"/>
                <w:szCs w:val="14"/>
                <w:color w:val="auto"/>
              </w:rPr>
              <w:t>Series G to Series H redeemable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40" w:type="dxa"/>
            <w:vAlign w:val="bottom"/>
          </w:tcPr>
          <w:p>
            <w:pPr>
              <w:ind w:left="340"/>
              <w:spacing w:after="0"/>
              <w:rPr>
                <w:sz w:val="20"/>
                <w:szCs w:val="20"/>
                <w:color w:val="auto"/>
              </w:rPr>
            </w:pPr>
            <w:r>
              <w:rPr>
                <w:rFonts w:ascii="Arial" w:cs="Arial" w:eastAsia="Arial" w:hAnsi="Arial"/>
                <w:sz w:val="14"/>
                <w:szCs w:val="14"/>
                <w:color w:val="auto"/>
              </w:rPr>
              <w:t>convertible preferred stock (Note 8)</w:t>
            </w:r>
          </w:p>
        </w:tc>
        <w:tc>
          <w:tcPr>
            <w:tcW w:w="1400" w:type="dxa"/>
            <w:vAlign w:val="bottom"/>
          </w:tcPr>
          <w:p>
            <w:pPr>
              <w:jc w:val="right"/>
              <w:ind w:right="70"/>
              <w:spacing w:after="0"/>
              <w:rPr>
                <w:sz w:val="20"/>
                <w:szCs w:val="20"/>
                <w:color w:val="auto"/>
              </w:rPr>
            </w:pPr>
            <w:r>
              <w:rPr>
                <w:rFonts w:ascii="Arial" w:cs="Arial" w:eastAsia="Arial" w:hAnsi="Arial"/>
                <w:sz w:val="14"/>
                <w:szCs w:val="14"/>
                <w:color w:val="auto"/>
              </w:rPr>
              <w:t>97,592,739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6,860</w:t>
            </w:r>
          </w:p>
        </w:tc>
        <w:tc>
          <w:tcPr>
            <w:tcW w:w="120" w:type="dxa"/>
            <w:vAlign w:val="bottom"/>
            <w:tcBorders>
              <w:right w:val="single" w:sz="8" w:color="auto"/>
            </w:tcBorders>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(6,860)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Conversion of preferred stock to common</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in connection with initial public</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offering (Note 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(1,012,573,679)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(138,906)</w:t>
            </w:r>
          </w:p>
        </w:tc>
        <w:tc>
          <w:tcPr>
            <w:tcW w:w="120" w:type="dxa"/>
            <w:vAlign w:val="bottom"/>
            <w:tcBorders>
              <w:right w:val="single" w:sz="8" w:color="auto"/>
            </w:tcBorders>
            <w:shd w:val="clear" w:color="auto" w:fill="CCEEFF"/>
          </w:tcPr>
          <w:p>
            <w:pPr>
              <w:spacing w:after="0"/>
              <w:rPr>
                <w:sz w:val="16"/>
                <w:szCs w:val="16"/>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7,816,643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138,898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138,906</w:t>
            </w:r>
          </w:p>
        </w:tc>
        <w:tc>
          <w:tcPr>
            <w:tcW w:w="0" w:type="dxa"/>
            <w:vAlign w:val="bottom"/>
          </w:tcPr>
          <w:p>
            <w:pPr>
              <w:spacing w:after="0"/>
              <w:rPr>
                <w:sz w:val="1"/>
                <w:szCs w:val="1"/>
                <w:color w:val="auto"/>
              </w:rPr>
            </w:pPr>
          </w:p>
        </w:tc>
      </w:tr>
      <w:tr>
        <w:trPr>
          <w:trHeight w:val="194"/>
        </w:trPr>
        <w:tc>
          <w:tcPr>
            <w:tcW w:w="3240" w:type="dxa"/>
            <w:vAlign w:val="bottom"/>
          </w:tcPr>
          <w:p>
            <w:pPr>
              <w:ind w:left="340"/>
              <w:spacing w:after="0"/>
              <w:rPr>
                <w:sz w:val="20"/>
                <w:szCs w:val="20"/>
                <w:color w:val="auto"/>
              </w:rPr>
            </w:pPr>
            <w:r>
              <w:rPr>
                <w:rFonts w:ascii="Arial" w:cs="Arial" w:eastAsia="Arial" w:hAnsi="Arial"/>
                <w:sz w:val="14"/>
                <w:szCs w:val="14"/>
                <w:color w:val="auto"/>
              </w:rPr>
              <w:t>Issuance of common stock in initial public</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40"/>
              <w:spacing w:after="0"/>
              <w:rPr>
                <w:sz w:val="20"/>
                <w:szCs w:val="20"/>
                <w:color w:val="auto"/>
              </w:rPr>
            </w:pPr>
            <w:r>
              <w:rPr>
                <w:rFonts w:ascii="Arial" w:cs="Arial" w:eastAsia="Arial" w:hAnsi="Arial"/>
                <w:sz w:val="14"/>
                <w:szCs w:val="14"/>
                <w:color w:val="auto"/>
              </w:rPr>
              <w:t>offering, net of underwriting discount,</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40" w:type="dxa"/>
            <w:vAlign w:val="bottom"/>
          </w:tcPr>
          <w:p>
            <w:pPr>
              <w:ind w:left="340"/>
              <w:spacing w:after="0"/>
              <w:rPr>
                <w:sz w:val="20"/>
                <w:szCs w:val="20"/>
                <w:color w:val="auto"/>
              </w:rPr>
            </w:pPr>
            <w:r>
              <w:rPr>
                <w:rFonts w:ascii="Arial" w:cs="Arial" w:eastAsia="Arial" w:hAnsi="Arial"/>
                <w:sz w:val="14"/>
                <w:szCs w:val="14"/>
                <w:color w:val="auto"/>
              </w:rPr>
              <w:t>commissions and issuance costs (Note 9)</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4,140,000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50,440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50,444</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exercise of common and preferred</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539,794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94"/>
        </w:trPr>
        <w:tc>
          <w:tcPr>
            <w:tcW w:w="3240" w:type="dxa"/>
            <w:vAlign w:val="bottom"/>
          </w:tcPr>
          <w:p>
            <w:pPr>
              <w:ind w:left="340"/>
              <w:spacing w:after="0"/>
              <w:rPr>
                <w:sz w:val="20"/>
                <w:szCs w:val="20"/>
                <w:color w:val="auto"/>
              </w:rPr>
            </w:pPr>
            <w:r>
              <w:rPr>
                <w:rFonts w:ascii="Arial" w:cs="Arial" w:eastAsia="Arial" w:hAnsi="Arial"/>
                <w:sz w:val="14"/>
                <w:szCs w:val="14"/>
                <w:color w:val="auto"/>
              </w:rPr>
              <w:t>Reclassification of redeemable convertible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40" w:type="dxa"/>
            <w:vAlign w:val="bottom"/>
          </w:tcPr>
          <w:p>
            <w:pPr>
              <w:ind w:left="340"/>
              <w:spacing w:after="0"/>
              <w:rPr>
                <w:sz w:val="20"/>
                <w:szCs w:val="20"/>
                <w:color w:val="auto"/>
              </w:rPr>
            </w:pPr>
            <w:r>
              <w:rPr>
                <w:rFonts w:ascii="Arial" w:cs="Arial" w:eastAsia="Arial" w:hAnsi="Arial"/>
                <w:sz w:val="14"/>
                <w:szCs w:val="14"/>
                <w:color w:val="auto"/>
              </w:rPr>
              <w:t>preferred stock warrant liabilities as equity</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(12,038)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(12,038)</w:t>
            </w:r>
          </w:p>
        </w:tc>
        <w:tc>
          <w:tcPr>
            <w:tcW w:w="0" w:type="dxa"/>
            <w:vAlign w:val="bottom"/>
          </w:tcPr>
          <w:p>
            <w:pPr>
              <w:spacing w:after="0"/>
              <w:rPr>
                <w:sz w:val="1"/>
                <w:szCs w:val="1"/>
                <w:color w:val="auto"/>
              </w:rPr>
            </w:pPr>
          </w:p>
        </w:tc>
      </w:tr>
      <w:tr>
        <w:trPr>
          <w:trHeight w:val="204"/>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12,560,990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220,248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(164,602)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7" w:name="page98"/>
    <w:bookmarkEnd w:id="9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3"/>
                <w:szCs w:val="13"/>
                <w:b w:val="1"/>
                <w:bCs w:val="1"/>
                <w:color w:val="auto"/>
              </w:rPr>
              <w:t>Years Ended December 31,</w:t>
            </w:r>
          </w:p>
        </w:tc>
        <w:tc>
          <w:tcPr>
            <w:tcW w:w="0" w:type="dxa"/>
            <w:vAlign w:val="bottom"/>
          </w:tcPr>
          <w:p>
            <w:pPr>
              <w:spacing w:after="0"/>
              <w:rPr>
                <w:sz w:val="1"/>
                <w:szCs w:val="1"/>
                <w:color w:val="auto"/>
              </w:rPr>
            </w:pPr>
          </w:p>
        </w:tc>
      </w:tr>
      <w:tr>
        <w:trPr>
          <w:trHeight w:val="196"/>
        </w:trPr>
        <w:tc>
          <w:tcPr>
            <w:tcW w:w="8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03"/>
        </w:trPr>
        <w:tc>
          <w:tcPr>
            <w:tcW w:w="8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Net loss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(12,038)</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(8,012)</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920" w:type="dxa"/>
            <w:vAlign w:val="bottom"/>
          </w:tcPr>
          <w:p>
            <w:pPr>
              <w:ind w:left="34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Amortization of debt discount and debt issuance costs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81"/>
        </w:trPr>
        <w:tc>
          <w:tcPr>
            <w:tcW w:w="8920" w:type="dxa"/>
            <w:vAlign w:val="bottom"/>
          </w:tcPr>
          <w:p>
            <w:pPr>
              <w:ind w:left="400"/>
              <w:spacing w:after="0"/>
              <w:rPr>
                <w:sz w:val="20"/>
                <w:szCs w:val="20"/>
                <w:color w:val="auto"/>
              </w:rPr>
            </w:pPr>
            <w:r>
              <w:rPr>
                <w:rFonts w:ascii="Arial" w:cs="Arial" w:eastAsia="Arial" w:hAnsi="Arial"/>
                <w:sz w:val="13"/>
                <w:szCs w:val="13"/>
                <w:color w:val="auto"/>
              </w:rPr>
              <w:t>Non-cash interest expense</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Revaluation of warrant liabilities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81"/>
        </w:trPr>
        <w:tc>
          <w:tcPr>
            <w:tcW w:w="8920" w:type="dxa"/>
            <w:vAlign w:val="bottom"/>
          </w:tcPr>
          <w:p>
            <w:pPr>
              <w:ind w:left="340"/>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Loss on disposal of assets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1"/>
        </w:trPr>
        <w:tc>
          <w:tcPr>
            <w:tcW w:w="8920" w:type="dxa"/>
            <w:vAlign w:val="bottom"/>
          </w:tcPr>
          <w:p>
            <w:pPr>
              <w:ind w:left="340"/>
              <w:spacing w:after="0"/>
              <w:rPr>
                <w:sz w:val="20"/>
                <w:szCs w:val="20"/>
                <w:color w:val="auto"/>
              </w:rPr>
            </w:pPr>
            <w:r>
              <w:rPr>
                <w:rFonts w:ascii="Arial" w:cs="Arial" w:eastAsia="Arial" w:hAnsi="Arial"/>
                <w:sz w:val="13"/>
                <w:szCs w:val="13"/>
                <w:color w:val="auto"/>
              </w:rPr>
              <w:t>Stock-based compensation</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Changes in assets and liabilities: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920" w:type="dxa"/>
            <w:vAlign w:val="bottom"/>
          </w:tcPr>
          <w:p>
            <w:pPr>
              <w:ind w:left="660"/>
              <w:spacing w:after="0"/>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(2,262)</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66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(781)</w:t>
            </w:r>
          </w:p>
        </w:tc>
        <w:tc>
          <w:tcPr>
            <w:tcW w:w="0" w:type="dxa"/>
            <w:vAlign w:val="bottom"/>
          </w:tcPr>
          <w:p>
            <w:pPr>
              <w:spacing w:after="0"/>
              <w:rPr>
                <w:sz w:val="1"/>
                <w:szCs w:val="1"/>
                <w:color w:val="auto"/>
              </w:rPr>
            </w:pPr>
          </w:p>
        </w:tc>
      </w:tr>
      <w:tr>
        <w:trPr>
          <w:trHeight w:val="181"/>
        </w:trPr>
        <w:tc>
          <w:tcPr>
            <w:tcW w:w="8920" w:type="dxa"/>
            <w:vAlign w:val="bottom"/>
          </w:tcPr>
          <w:p>
            <w:pPr>
              <w:ind w:left="66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83"/>
        </w:trPr>
        <w:tc>
          <w:tcPr>
            <w:tcW w:w="892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Accrued and other liabilities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688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used in operating activities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(9,301)</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short-term investments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183"/>
        </w:trPr>
        <w:tc>
          <w:tcPr>
            <w:tcW w:w="8920" w:type="dxa"/>
            <w:vAlign w:val="bottom"/>
          </w:tcPr>
          <w:p>
            <w:pPr>
              <w:ind w:left="20"/>
              <w:spacing w:after="0"/>
              <w:rPr>
                <w:sz w:val="20"/>
                <w:szCs w:val="20"/>
                <w:color w:val="auto"/>
              </w:rPr>
            </w:pPr>
            <w:r>
              <w:rPr>
                <w:rFonts w:ascii="Arial" w:cs="Arial" w:eastAsia="Arial" w:hAnsi="Arial"/>
                <w:sz w:val="13"/>
                <w:szCs w:val="13"/>
                <w:color w:val="auto"/>
              </w:rPr>
              <w:t>Maturities of short-term investments</w:t>
            </w:r>
          </w:p>
        </w:tc>
        <w:tc>
          <w:tcPr>
            <w:tcW w:w="2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189"/>
        </w:trPr>
        <w:tc>
          <w:tcPr>
            <w:tcW w:w="89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(103)</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common stock upon exercise of stock options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Principal payment on capital lease obligations</w:t>
            </w:r>
          </w:p>
        </w:tc>
        <w:tc>
          <w:tcPr>
            <w:tcW w:w="2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2017 Term Loan, net of issuance costs of $5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4,995</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Proceeds from initial public offering, net of issuance costs and offering costs</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50,444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the issuance of Series F redeemable convertible preferred stock, net of issuance costs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2,716</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Proceeds from issuance of Series G redeemable convertible preferred stock, net of issuance costs</w:t>
            </w: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7,742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3,750</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Series H redeemable convertible preferred stock, net of issuance costs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10,682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92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provided by financing activities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68,734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11,423</w:t>
            </w:r>
          </w:p>
        </w:tc>
        <w:tc>
          <w:tcPr>
            <w:tcW w:w="0" w:type="dxa"/>
            <w:vAlign w:val="bottom"/>
          </w:tcPr>
          <w:p>
            <w:pPr>
              <w:spacing w:after="0"/>
              <w:rPr>
                <w:sz w:val="1"/>
                <w:szCs w:val="1"/>
                <w:color w:val="auto"/>
              </w:rPr>
            </w:pPr>
          </w:p>
        </w:tc>
      </w:tr>
      <w:tr>
        <w:trPr>
          <w:trHeight w:val="189"/>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cash, cash equivalents and restricted cash</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58,920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1,923</w:t>
            </w:r>
          </w:p>
        </w:tc>
        <w:tc>
          <w:tcPr>
            <w:tcW w:w="0" w:type="dxa"/>
            <w:vAlign w:val="bottom"/>
          </w:tcPr>
          <w:p>
            <w:pPr>
              <w:spacing w:after="0"/>
              <w:rPr>
                <w:sz w:val="1"/>
                <w:szCs w:val="1"/>
                <w:color w:val="auto"/>
              </w:rPr>
            </w:pPr>
          </w:p>
        </w:tc>
      </w:tr>
      <w:tr>
        <w:trPr>
          <w:trHeight w:val="18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13,264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11,341</w:t>
            </w:r>
          </w:p>
        </w:tc>
        <w:tc>
          <w:tcPr>
            <w:tcW w:w="0" w:type="dxa"/>
            <w:vAlign w:val="bottom"/>
          </w:tcPr>
          <w:p>
            <w:pPr>
              <w:spacing w:after="0"/>
              <w:rPr>
                <w:sz w:val="1"/>
                <w:szCs w:val="1"/>
                <w:color w:val="auto"/>
              </w:rPr>
            </w:pPr>
          </w:p>
        </w:tc>
      </w:tr>
      <w:tr>
        <w:trPr>
          <w:trHeight w:val="20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72,184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13,264</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 expense</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1,730</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items: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to redemption value of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9,318</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Equipment purchased under capital lease obligations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654</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warrant liabilities recorded as discount on debt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Costs incurred, but not paid, in connection with capital expenditures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138,906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Net exercise of common and preferred stock warrants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included in accounts payable and accrued liabilities</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Reclassification of redeemable convertible preferred stock warrant liabilities as equity</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726</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Deemed dividend recognized for beneficial conversion features of Series H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Deemed dividend from conversion of Series G to Series H redeemable convertible preferred stock</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6,860</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Series G to Series H redeemable convertible preferred stock</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11,875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8920" w:type="dxa"/>
            <w:vAlign w:val="bottom"/>
          </w:tcPr>
          <w:p>
            <w:pPr>
              <w:ind w:left="20"/>
              <w:spacing w:after="0"/>
              <w:rPr>
                <w:sz w:val="20"/>
                <w:szCs w:val="20"/>
                <w:color w:val="auto"/>
              </w:rPr>
            </w:pPr>
            <w:r>
              <w:rPr>
                <w:rFonts w:ascii="Arial" w:cs="Arial" w:eastAsia="Arial" w:hAnsi="Arial"/>
                <w:sz w:val="13"/>
                <w:szCs w:val="13"/>
                <w:color w:val="auto"/>
              </w:rPr>
              <w:t>Deemed dividend from issuance of Series F redeemable convertible preferred stock</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upon adoption of Topic 606</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3,086</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3"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On September 23, 2019, the Company closed its initial public offering (the IPO) of 4,140,000 shares of its common stock at a price to the public of $14.00 per share, including the exercise in full by the underwriters of their option to purchase 540,000 additional shares of the Company's common stock. Including the exercise of the option to purchase additional shares, the aggregate net proceeds to the Company from the offering was approximately $50.4 million, net of underwriting discounts, commissions and other offering expenses, for aggregate expenses of approximately $7.5 million. In addition,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6, 2019, the Company effected a one-for-183.635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this Reverse Stock Split for all periods presented in the accompanying financial statements and notes to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suffered recurring losses and negative cash flows from operating activities since inception. The Company anticipates that it will continue to incur net losses into the foreseeable future. At December 31, 2019, the Company had cash and cash equivalents of $72.1 million and had an accumulated deficit of $164.6 million, respectively. Since inception, the Company has financed its operations primarily through private placements of preferred securities, the sale of common stock through its IPO and debt financing arrangements. Based on the Company's current business plan, management believes that its existing capital resources will be sufficient to fund the Company's obligations for at least twelve months following the issuance of these financial statements.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fair value of financial instruments measured at fair value, the recoverability of its long-lived assets (including goodwill), net deferred tax assets (and related valuation allowance), and for periods prior to the IPO, the fair value of the Company's common stock and redeemable convertible preferred stock.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9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148"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Significant payers are those which represent more than 10% of the Company's total revenue or accounts receivable balance at each respective balance sheet date. For each significant payer, revenue as a percentage of total revenue and accounts receivable as a percentage of total accounts receivable are as follows:</w:t>
      </w:r>
    </w:p>
    <w:p>
      <w:pPr>
        <w:spacing w:after="0" w:line="28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26035</wp:posOffset>
            </wp:positionV>
            <wp:extent cx="1783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3" w:lineRule="exact"/>
        <w:rPr>
          <w:sz w:val="20"/>
          <w:szCs w:val="20"/>
          <w:color w:val="auto"/>
        </w:rPr>
      </w:pPr>
    </w:p>
    <w:p>
      <w:pPr>
        <w:ind w:left="908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21590</wp:posOffset>
            </wp:positionV>
            <wp:extent cx="1714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auto"/>
            </w:tcBorders>
          </w:tcPr>
          <w:p>
            <w:pPr>
              <w:spacing w:after="0"/>
              <w:rPr>
                <w:sz w:val="15"/>
                <w:szCs w:val="15"/>
                <w:color w:val="auto"/>
              </w:rPr>
            </w:pPr>
          </w:p>
        </w:tc>
      </w:tr>
      <w:tr>
        <w:trPr>
          <w:trHeight w:val="257"/>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Blue Shield</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Medicare Advantage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63"/>
        </w:trPr>
        <w:tc>
          <w:tcPr>
            <w:tcW w:w="936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343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020" w:hanging="994"/>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86" w:lineRule="exact"/>
        <w:rPr>
          <w:sz w:val="20"/>
          <w:szCs w:val="20"/>
          <w:color w:val="auto"/>
        </w:rPr>
      </w:pPr>
    </w:p>
    <w:p>
      <w:pPr>
        <w:jc w:val="center"/>
        <w:ind w:left="7940"/>
        <w:spacing w:after="0"/>
        <w:rPr>
          <w:sz w:val="20"/>
          <w:szCs w:val="20"/>
          <w:color w:val="auto"/>
        </w:rPr>
      </w:pPr>
      <w:r>
        <w:rPr>
          <w:rFonts w:ascii="Arial" w:cs="Arial" w:eastAsia="Arial" w:hAnsi="Arial"/>
          <w:sz w:val="13"/>
          <w:szCs w:val="13"/>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21590</wp:posOffset>
            </wp:positionV>
            <wp:extent cx="2082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47" w:lineRule="exact"/>
        <w:rPr>
          <w:sz w:val="20"/>
          <w:szCs w:val="20"/>
          <w:color w:val="auto"/>
        </w:rPr>
      </w:pPr>
    </w:p>
    <w:p>
      <w:pPr>
        <w:jc w:val="center"/>
        <w:ind w:left="79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21590</wp:posOffset>
            </wp:positionV>
            <wp:extent cx="20828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auto"/>
            </w:tcBorders>
          </w:tcPr>
          <w:p>
            <w:pPr>
              <w:spacing w:after="0"/>
              <w:rPr>
                <w:sz w:val="15"/>
                <w:szCs w:val="15"/>
                <w:color w:val="auto"/>
              </w:rPr>
            </w:pPr>
          </w:p>
        </w:tc>
      </w:tr>
      <w:tr>
        <w:trPr>
          <w:trHeight w:val="257"/>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Blue Shield</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Medicare Advantage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98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6343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020" w:hanging="994"/>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approximately 82% of the Company's revenue was related to the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00" w:name="page101"/>
    <w:bookmarkEnd w:id="100"/>
    <w:p>
      <w:pPr>
        <w:ind w:right="120"/>
        <w:spacing w:after="0" w:line="256" w:lineRule="auto"/>
        <w:rPr>
          <w:sz w:val="20"/>
          <w:szCs w:val="20"/>
          <w:color w:val="auto"/>
        </w:rPr>
      </w:pPr>
      <w:r>
        <w:rPr>
          <w:rFonts w:ascii="Arial" w:cs="Arial" w:eastAsia="Arial" w:hAnsi="Arial"/>
          <w:sz w:val="18"/>
          <w:szCs w:val="18"/>
          <w:color w:val="auto"/>
        </w:rPr>
        <w:t>The Company is dependent on key suppliers for certain laboratory materials. For the years ended December 31, 2019 and 2018, approximately 97% and 95%, respectively, of the Company's inventories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payer category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29"/>
              <w:spacing w:after="0"/>
              <w:rPr>
                <w:sz w:val="20"/>
                <w:szCs w:val="20"/>
                <w:color w:val="auto"/>
              </w:rPr>
            </w:pPr>
            <w:r>
              <w:rPr>
                <w:rFonts w:ascii="Arial" w:cs="Arial" w:eastAsia="Arial" w:hAnsi="Arial"/>
                <w:sz w:val="13"/>
                <w:szCs w:val="13"/>
                <w:b w:val="1"/>
                <w:bCs w:val="1"/>
                <w:color w:val="auto"/>
              </w:rPr>
              <w:t>Years Ended 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2018</w:t>
            </w: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23,984</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21,070</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10,024</w:t>
            </w: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Client</w:t>
            </w: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4,392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608</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738</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1,476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r>
      <w:tr>
        <w:trPr>
          <w:trHeight w:val="22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40,387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32,440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4"/>
          <w:szCs w:val="14"/>
          <w:color w:val="auto"/>
        </w:rPr>
        <w:t>(1)</w:t>
        <w:tab/>
        <w:t>Includes patient self-pay that is immaterial</w:t>
      </w:r>
      <w:r>
        <w:rPr>
          <w:rFonts w:ascii="Arial" w:cs="Arial" w:eastAsia="Arial" w:hAnsi="Arial"/>
          <w:sz w:val="17"/>
          <w:szCs w:val="17"/>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jc w:val="both"/>
        <w:ind w:left="1700" w:right="260" w:hanging="1295"/>
        <w:spacing w:after="0" w:line="256" w:lineRule="auto"/>
        <w:rPr>
          <w:sz w:val="20"/>
          <w:szCs w:val="20"/>
          <w:color w:val="auto"/>
        </w:rPr>
      </w:pPr>
      <w:r>
        <w:rPr>
          <w:rFonts w:ascii="Arial" w:cs="Arial" w:eastAsia="Arial" w:hAnsi="Arial"/>
          <w:sz w:val="18"/>
          <w:szCs w:val="18"/>
          <w:color w:val="auto"/>
        </w:rPr>
        <w:t>Level 2 -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Unobservable inputs that are supported by little or no market activity for the related assets or liabilities.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Prior to the IPO, the Company's redeemable convertible preferred stock warrant liabilities were measured at fair value on a recurring basis and were classified as Level 3 liabilities. The Company recorded subsequent adjustments to reflect the increase or decrease in estimated fair value at each reporting date in current period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1" w:name="page102"/>
    <w:bookmarkEnd w:id="101"/>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09"/>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5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72,084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13,164</w:t>
            </w:r>
          </w:p>
        </w:tc>
      </w:tr>
      <w:tr>
        <w:trPr>
          <w:trHeight w:val="25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100</w:t>
            </w:r>
          </w:p>
        </w:tc>
      </w:tr>
      <w:tr>
        <w:trPr>
          <w:trHeight w:val="275"/>
        </w:trPr>
        <w:tc>
          <w:tcPr>
            <w:tcW w:w="8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72,184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13,264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other income or expense in the statements of operations in the period realized.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17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15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 impaired; otherwise, an impairment loss is recorded. There was no indication of impairment of goodwill for any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Expenses associated with clinical study activities are recorded in research and development expenses in the accompanying statement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Prior to the completion of the IPO, the Company had multiple classes of redeemable convertible preferred stock, all of which were classified as temporary equity in the accompanying balance sheet as the redemption of the shares were outside of the Company's control. Redeemable convertible preferred stock which was redeemable on or after a certain date at the option of the holder was accreted to its redemption value from the date of issuance to the earliest redemption date.</w:t>
      </w:r>
    </w:p>
    <w:p>
      <w:pPr>
        <w:spacing w:after="0" w:line="15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connection with the completion of the IPO in September 2019, all outstanding shares of redeemable convertible preferred stock were automatically converted into an aggregate of 7,816,643 shares of common stock, excluding warrant conversions.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Prior to the completion of the IPO, the Company accounted for its redeemable convertible preferred stock warrants as liabilities based upon the characteristics and provisions of each instrument. The redeemable convertible preferred stock warrants were recorded at their fair value on the date of issuance and were revalued on each subsequent balance sheet date, with fair value changes recognized as increases or reductions in the statements of operations. Upon the completion of the IPO, all remaining outstanding warrants to purchase shares of redeemable convertible preferred stock were automatically converted into warrants to purchase shares of common stock. As such, the warrants no longer require liability accounting and the then fair value of the warrant liability was reclassified into stockholders’ equity.</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performed the final remeasurement of the warrant liabilities as of the IPO closing date. See Note 7 for the amounts associated with the fair value measurements and Note 5 for further discussion on the remaining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 service is a single performance obligation that is completed upon the delivery of test results to the prescribing physician which triggers revenue recognition.</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The Company's portfolios are grouped per payer (i.e. each individual third-party insurance, Medicare, client payers, patient self-pay, etc.) and per test basis.</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30" w:lineRule="exact"/>
        <w:rPr>
          <w:sz w:val="20"/>
          <w:szCs w:val="20"/>
          <w:color w:val="auto"/>
        </w:rPr>
      </w:pPr>
    </w:p>
    <w:p>
      <w:pPr>
        <w:jc w:val="both"/>
        <w:ind w:right="40"/>
        <w:spacing w:after="0" w:line="313" w:lineRule="auto"/>
        <w:rPr>
          <w:sz w:val="20"/>
          <w:szCs w:val="20"/>
          <w:color w:val="auto"/>
        </w:rPr>
      </w:pPr>
      <w:r>
        <w:rPr>
          <w:rFonts w:ascii="Arial" w:cs="Arial" w:eastAsia="Arial" w:hAnsi="Arial"/>
          <w:sz w:val="17"/>
          <w:szCs w:val="17"/>
          <w:color w:val="auto"/>
        </w:rPr>
        <w:t xml:space="preserve">The Company early adopted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 of January 1, 2018 using a cumulative-effect adjustment to the opening balance of accumulated deficit and accounts receivable of $3.1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18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December 2018, the Company entered into a co-promotion agreement with Janssen (the Janssen agreement) to co-promote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The Company is responsible for the costs associated with its salesforce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103" w:name="page104"/>
    <w:bookmarkEnd w:id="103"/>
    <w:p>
      <w:pPr>
        <w:ind w:right="60"/>
        <w:spacing w:after="0" w:line="233" w:lineRule="auto"/>
        <w:rPr>
          <w:sz w:val="20"/>
          <w:szCs w:val="20"/>
          <w:color w:val="auto"/>
        </w:rPr>
      </w:pPr>
      <w:r>
        <w:rPr>
          <w:rFonts w:ascii="Arial" w:cs="Arial" w:eastAsia="Arial" w:hAnsi="Arial"/>
          <w:sz w:val="18"/>
          <w:szCs w:val="18"/>
          <w:color w:val="auto"/>
        </w:rPr>
        <w:t>over the course of such co-promotion. Janssen is responsible for all other aspects of the commercialization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is entitled to a quarterly tiered promotion fee ranging from $750 to $1,250 per prescription based on the incremental increase in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21"/>
          <w:szCs w:val="21"/>
          <w:color w:val="auto"/>
          <w:vertAlign w:val="superscript"/>
        </w:rPr>
        <w:t>®</w:t>
      </w:r>
      <w:r>
        <w:rPr>
          <w:rFonts w:ascii="Arial" w:cs="Arial" w:eastAsia="Arial" w:hAnsi="Arial"/>
          <w:sz w:val="18"/>
          <w:szCs w:val="18"/>
          <w:color w:val="auto"/>
        </w:rPr>
        <w:t>, depending on the number of increased prescriptions, and varies per increased prescription. In addition, during the term of the Janssen agreement, the Company is restricted from promoting any other biologic or Janus kinase inhibitor, or JAK inhibitor, used for treatment of indications covered by the agreement without first obtaining Janssen's written consent.</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2019, the Company exercised their option to extend the term of the Janssen agreement to December 31, 2021. Janssen can terminate the agreement at any time for any reason upon 30 days' notice to the Company, and the Company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5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series of single performance obligations since Janssen simultaneously receives and consumes benefits 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The Company recognized revenue of approximately $1.5 million during the year ended December 31, 2019. The related expenses for marketing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9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$1.6 million and $1.4 million for the years ended December 31, 2019 and 2018, respectively, and are included in selling, general and administrative expenses in the accompanying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totaled approximately $1.4 million and $1.2 million for the years ended December 31, 2019 and 2018,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4" w:name="page105"/>
    <w:bookmarkEnd w:id="104"/>
    <w:p>
      <w:pPr>
        <w:ind w:right="480"/>
        <w:spacing w:after="0" w:line="261" w:lineRule="auto"/>
        <w:rPr>
          <w:sz w:val="20"/>
          <w:szCs w:val="20"/>
          <w:color w:val="auto"/>
        </w:rPr>
      </w:pPr>
      <w:r>
        <w:rPr>
          <w:rFonts w:ascii="Arial" w:cs="Arial" w:eastAsia="Arial" w:hAnsi="Arial"/>
          <w:sz w:val="18"/>
          <w:szCs w:val="18"/>
          <w:color w:val="auto"/>
        </w:rPr>
        <w:t>based on the U.S. Treasury yield in effect at the time of grant. The dividend yield was zero, as the Company has never declared or paid dividends and has no plans to do so in the foreseeable future.</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Upon the effective date of the IPO, the Company began using the closing price of its common stock as the fair value of its common stock on the corresponding date. Prior to the completion of the IPO in September 2019, due to the absence of a public market for the Company's common stock, it was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and options outstanding under the Company's stock option plans. For the years ended December 31, 2019 and 2018, there is no difference in the number of shares used to calculate basic and diluted shares outstanding as the inclusion of the potentially dilutive securities would be antidilutive.</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6"/>
        </w:trPr>
        <w:tc>
          <w:tcPr>
            <w:tcW w:w="7840" w:type="dxa"/>
            <w:vAlign w:val="bottom"/>
          </w:tcPr>
          <w:p>
            <w:pPr>
              <w:spacing w:after="0"/>
              <w:rPr>
                <w:sz w:val="17"/>
                <w:szCs w:val="17"/>
                <w:color w:val="auto"/>
              </w:rPr>
            </w:pPr>
          </w:p>
        </w:tc>
        <w:tc>
          <w:tcPr>
            <w:tcW w:w="340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Years Ended December 31,</w:t>
            </w:r>
          </w:p>
        </w:tc>
      </w:tr>
      <w:tr>
        <w:trPr>
          <w:trHeight w:val="209"/>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5,202,940</w:t>
            </w: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Warrants to purchase redeemable convertible preferred stock</w:t>
            </w: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224,493</w:t>
            </w:r>
          </w:p>
        </w:tc>
      </w:tr>
      <w:tr>
        <w:trPr>
          <w:trHeight w:val="22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461,273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934,789</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options</w:t>
            </w: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1,375,542</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661,180</w:t>
            </w: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1,836,815</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7,023,402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3"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financial statements. The effective date of this guidance for public companies is for reporting periods beginning after December 15, 2018. As an emerging growth company as defined in the JOBS Act, the Company has elected to delay adoption of this ASU until January 1, 2021.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financial statements.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currently evaluating the impact of ASU 2018-13 on its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11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9"/>
                <w:szCs w:val="19"/>
                <w:color w:val="auto"/>
              </w:rPr>
            </w:pP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assets</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8"/>
                <w:szCs w:val="18"/>
                <w:color w:val="auto"/>
              </w:rPr>
            </w:pPr>
          </w:p>
        </w:tc>
      </w:tr>
      <w:tr>
        <w:trPr>
          <w:trHeight w:val="23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and other current assets</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3,451</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5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110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2,228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796</w:t>
            </w:r>
          </w:p>
        </w:tc>
        <w:tc>
          <w:tcPr>
            <w:tcW w:w="100" w:type="dxa"/>
            <w:vAlign w:val="bottom"/>
            <w:shd w:val="clear" w:color="auto" w:fill="CCEEFF"/>
          </w:tcPr>
          <w:p>
            <w:pPr>
              <w:spacing w:after="0"/>
              <w:rPr>
                <w:sz w:val="19"/>
                <w:szCs w:val="19"/>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10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9"/>
                <w:szCs w:val="19"/>
                <w:color w:val="auto"/>
              </w:rPr>
            </w:pPr>
          </w:p>
        </w:tc>
      </w:tr>
      <w:tr>
        <w:trPr>
          <w:trHeight w:val="204"/>
        </w:trPr>
        <w:tc>
          <w:tcPr>
            <w:tcW w:w="752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1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3,775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7"/>
                <w:szCs w:val="17"/>
                <w:color w:val="auto"/>
              </w:rPr>
            </w:pPr>
          </w:p>
        </w:tc>
      </w:tr>
      <w:tr>
        <w:trPr>
          <w:trHeight w:val="222"/>
        </w:trPr>
        <w:tc>
          <w:tcPr>
            <w:tcW w:w="7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9"/>
                <w:szCs w:val="19"/>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7"/>
                <w:szCs w:val="17"/>
                <w:color w:val="auto"/>
              </w:rPr>
            </w:pPr>
          </w:p>
        </w:tc>
      </w:tr>
      <w:tr>
        <w:trPr>
          <w:trHeight w:val="27"/>
        </w:trPr>
        <w:tc>
          <w:tcPr>
            <w:tcW w:w="7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Depreciation and amortization expense for the years ended December 31, 2019 and 2018, was approximately $0.6 million. At December 31, 2019 and December 31, 2018, the gross book value of assets under capital lease was $0.8 million and $0.4 million, respectively, and is classified in "Laboratory equipment" in the table above.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color w:val="auto"/>
              </w:rPr>
              <w:t>Accrued deferred offering costs</w:t>
            </w:r>
          </w:p>
        </w:tc>
        <w:tc>
          <w:tcPr>
            <w:tcW w:w="1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9"/>
                <w:szCs w:val="19"/>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11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royalties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9"/>
                <w:szCs w:val="19"/>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color w:val="auto"/>
              </w:rPr>
              <w:t>Accrued clinical study activity</w:t>
            </w:r>
          </w:p>
        </w:tc>
        <w:tc>
          <w:tcPr>
            <w:tcW w:w="114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 current portion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9"/>
                <w:szCs w:val="19"/>
                <w:color w:val="auto"/>
              </w:rPr>
            </w:pP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8"/>
                <w:szCs w:val="18"/>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4,419</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07" w:name="page108"/>
    <w:bookmarkEnd w:id="107"/>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December 31, 2019, no additional amounts remain available to borrow under the 2017 Term Loan.</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November 2019, the Company executed the First Amendment to the Loan and Security Agreement (Loan Amendment). The interest rate on all borrowings under the Loan Amendment is 8.5%, of which 2.0% is paid in-kind in the form of additional term loans, or PIK Loans, until December of 2022, after which interest accrues at an annual rate of 8.5%. The Company has estimated the effective interest rate of this loan to be approximately 10%. Accrued interest is due and payable monthly, unless the Company elects to pay PIK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$ 1.0 million. This obligation is being accreted into interest expense over the term of Loan Amendment using the effective interest method. For the years ended December 31, 2019 and 2018, the Company issued PIK Loans totaling $0.5 million.</w:t>
      </w:r>
    </w:p>
    <w:p>
      <w:pPr>
        <w:spacing w:after="0" w:line="15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If the Loan Amendment is prepaid after November 19, 2019, but before November 19, 2020, the Loan Amendment requires a prepayment premium of 3% of the aggregate outstanding principal. The prepayment premium decreases by 1% during each subsequent twelve-month period after November 19, 2020.</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on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5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and commencing with the quarter ending December 31, 2019. The consequences of failing to achieve the performance covenant will be waived if, within sixty days of failing to achieve the performance covenant, the Company issues additional equity securities or subordinated debt with net proceeds sufficient to fund any cash flow deficiency generated from operations, as defined. In addition, the Loan Amendment requires that the Company maintain certain levels of minimum liquidity. The Company is required to maintain an unrestricted cash balance of $2.0 million.</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was in compliance with all covenants of the Loan Amendment.</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financial statements. Accordingly, the Company has reflected the amounts of the Loan Amendment due beyond twelve months of the balance sheet date as non-current.</w:t>
      </w:r>
    </w:p>
    <w:p>
      <w:pPr>
        <w:spacing w:after="0" w:line="15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In connection with the 2017 Term Loan, the Company paid issuance costs of $0.4 million to Innovatus and an additional $0.1 million to third parties. These fees were recorded as discounts to the carrying value of the 2017 Term Loan. The Company also issued Innovatus warrants</w:t>
      </w:r>
    </w:p>
    <w:p>
      <w:pPr>
        <w:ind w:right="20" w:firstLine="8"/>
        <w:spacing w:after="0" w:line="256" w:lineRule="auto"/>
        <w:tabs>
          <w:tab w:leader="none" w:pos="2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closing date of the 2017 Term Loan, to purchase 15,384,615 shares of Series F redeemable convertible preferred stock at an exercise price of $0.078 per share and (ii) on December 7, 2018, to purchase 3,846,154 shares of Series F redeemable convertible preferred stock at an exercise price of $0.078 per share (Note 5). These warrants are immediately exercisable and will expire if</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8" w:name="page109"/>
    <w:bookmarkEnd w:id="108"/>
    <w:p>
      <w:pPr>
        <w:ind w:right="40"/>
        <w:spacing w:after="0" w:line="253" w:lineRule="auto"/>
        <w:rPr>
          <w:sz w:val="20"/>
          <w:szCs w:val="20"/>
          <w:color w:val="auto"/>
        </w:rPr>
      </w:pPr>
      <w:r>
        <w:rPr>
          <w:rFonts w:ascii="Arial" w:cs="Arial" w:eastAsia="Arial" w:hAnsi="Arial"/>
          <w:sz w:val="18"/>
          <w:szCs w:val="18"/>
          <w:color w:val="auto"/>
        </w:rPr>
        <w:t>unexercised seven years after their issuance. The fair value of the warrants on each of their dates of issuance, determined using BSM option pricing model, was recorded as a discount to long-term debt and an offsetting amount recognized as a liability. The resulting debt discount is being amortized to interest expense using the effective interest method over the term of the 2017 Term Loan. In connection with the completion of the IPO in September 2019, the Series F redeemable convertible preferred stock warrants automatically converted into warrants exercisable for an aggregate of 104,722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2019, future minimum aggregate payments, including interest, for outstanding borrowings under the Loan Amendment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6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Years Ending December 31,</w:t>
            </w:r>
          </w:p>
        </w:tc>
      </w:tr>
      <w:tr>
        <w:trPr>
          <w:trHeight w:val="216"/>
        </w:trPr>
        <w:tc>
          <w:tcPr>
            <w:tcW w:w="9460" w:type="dxa"/>
            <w:vAlign w:val="bottom"/>
            <w:shd w:val="clear" w:color="auto" w:fill="CCEEFF"/>
          </w:tcPr>
          <w:p>
            <w:pPr>
              <w:jc w:val="right"/>
              <w:ind w:right="9048"/>
              <w:spacing w:after="0"/>
              <w:rPr>
                <w:sz w:val="20"/>
                <w:szCs w:val="20"/>
                <w:color w:val="auto"/>
              </w:rPr>
            </w:pPr>
            <w:r>
              <w:rPr>
                <w:rFonts w:ascii="Arial" w:cs="Arial" w:eastAsia="Arial" w:hAnsi="Arial"/>
                <w:sz w:val="14"/>
                <w:szCs w:val="14"/>
                <w:color w:val="auto"/>
              </w:rPr>
              <w:t>2020</w:t>
            </w:r>
          </w:p>
        </w:tc>
        <w:tc>
          <w:tcPr>
            <w:tcW w:w="62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1,725</w:t>
            </w:r>
          </w:p>
        </w:tc>
      </w:tr>
      <w:tr>
        <w:trPr>
          <w:trHeight w:val="210"/>
        </w:trPr>
        <w:tc>
          <w:tcPr>
            <w:tcW w:w="9460" w:type="dxa"/>
            <w:vAlign w:val="bottom"/>
          </w:tcPr>
          <w:p>
            <w:pPr>
              <w:jc w:val="right"/>
              <w:ind w:right="9048"/>
              <w:spacing w:after="0"/>
              <w:rPr>
                <w:sz w:val="20"/>
                <w:szCs w:val="20"/>
                <w:color w:val="auto"/>
              </w:rPr>
            </w:pPr>
            <w:r>
              <w:rPr>
                <w:rFonts w:ascii="Arial" w:cs="Arial" w:eastAsia="Arial" w:hAnsi="Arial"/>
                <w:sz w:val="14"/>
                <w:szCs w:val="14"/>
                <w:color w:val="auto"/>
              </w:rPr>
              <w:t>2021</w:t>
            </w:r>
          </w:p>
        </w:tc>
        <w:tc>
          <w:tcPr>
            <w:tcW w:w="62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1,755</w:t>
            </w:r>
          </w:p>
        </w:tc>
      </w:tr>
      <w:tr>
        <w:trPr>
          <w:trHeight w:val="222"/>
        </w:trPr>
        <w:tc>
          <w:tcPr>
            <w:tcW w:w="9460" w:type="dxa"/>
            <w:vAlign w:val="bottom"/>
            <w:shd w:val="clear" w:color="auto" w:fill="CCEEFF"/>
          </w:tcPr>
          <w:p>
            <w:pPr>
              <w:jc w:val="right"/>
              <w:ind w:right="9048"/>
              <w:spacing w:after="0"/>
              <w:rPr>
                <w:sz w:val="20"/>
                <w:szCs w:val="20"/>
                <w:color w:val="auto"/>
              </w:rPr>
            </w:pPr>
            <w:r>
              <w:rPr>
                <w:rFonts w:ascii="Arial" w:cs="Arial" w:eastAsia="Arial" w:hAnsi="Arial"/>
                <w:sz w:val="14"/>
                <w:szCs w:val="14"/>
                <w:color w:val="auto"/>
              </w:rPr>
              <w:t>2022</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2,996</w:t>
            </w:r>
          </w:p>
        </w:tc>
      </w:tr>
      <w:tr>
        <w:trPr>
          <w:trHeight w:val="210"/>
        </w:trPr>
        <w:tc>
          <w:tcPr>
            <w:tcW w:w="9460" w:type="dxa"/>
            <w:vAlign w:val="bottom"/>
          </w:tcPr>
          <w:p>
            <w:pPr>
              <w:jc w:val="right"/>
              <w:ind w:right="9048"/>
              <w:spacing w:after="0"/>
              <w:rPr>
                <w:sz w:val="20"/>
                <w:szCs w:val="20"/>
                <w:color w:val="auto"/>
              </w:rPr>
            </w:pPr>
            <w:r>
              <w:rPr>
                <w:rFonts w:ascii="Arial" w:cs="Arial" w:eastAsia="Arial" w:hAnsi="Arial"/>
                <w:sz w:val="14"/>
                <w:szCs w:val="14"/>
                <w:color w:val="auto"/>
              </w:rPr>
              <w:t>2023</w:t>
            </w:r>
          </w:p>
        </w:tc>
        <w:tc>
          <w:tcPr>
            <w:tcW w:w="62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15,619</w:t>
            </w:r>
          </w:p>
        </w:tc>
      </w:tr>
      <w:tr>
        <w:trPr>
          <w:trHeight w:val="222"/>
        </w:trPr>
        <w:tc>
          <w:tcPr>
            <w:tcW w:w="9460" w:type="dxa"/>
            <w:vAlign w:val="bottom"/>
            <w:shd w:val="clear" w:color="auto" w:fill="CCEEFF"/>
          </w:tcPr>
          <w:p>
            <w:pPr>
              <w:jc w:val="right"/>
              <w:ind w:right="9048"/>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14,280</w:t>
            </w:r>
          </w:p>
        </w:tc>
      </w:tr>
      <w:tr>
        <w:trPr>
          <w:trHeight w:val="203"/>
        </w:trPr>
        <w:tc>
          <w:tcPr>
            <w:tcW w:w="94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36,375</w:t>
            </w:r>
          </w:p>
        </w:tc>
      </w:tr>
      <w:tr>
        <w:trPr>
          <w:trHeight w:val="202"/>
        </w:trPr>
        <w:tc>
          <w:tcPr>
            <w:tcW w:w="9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w:t>
            </w: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9460" w:type="dxa"/>
            <w:vAlign w:val="bottom"/>
          </w:tcPr>
          <w:p>
            <w:pPr>
              <w:ind w:left="660"/>
              <w:spacing w:after="0"/>
              <w:rPr>
                <w:sz w:val="20"/>
                <w:szCs w:val="20"/>
                <w:color w:val="auto"/>
              </w:rPr>
            </w:pPr>
            <w:r>
              <w:rPr>
                <w:rFonts w:ascii="Arial" w:cs="Arial" w:eastAsia="Arial" w:hAnsi="Arial"/>
                <w:sz w:val="14"/>
                <w:szCs w:val="14"/>
                <w:color w:val="auto"/>
              </w:rPr>
              <w:t>Unamortized debt discount and issuance costs</w:t>
            </w:r>
          </w:p>
        </w:tc>
        <w:tc>
          <w:tcPr>
            <w:tcW w:w="62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(390)</w:t>
            </w:r>
          </w:p>
        </w:tc>
      </w:tr>
      <w:tr>
        <w:trPr>
          <w:trHeight w:val="222"/>
        </w:trPr>
        <w:tc>
          <w:tcPr>
            <w:tcW w:w="9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(10,131)</w:t>
            </w:r>
          </w:p>
        </w:tc>
      </w:tr>
      <w:tr>
        <w:trPr>
          <w:trHeight w:val="203"/>
        </w:trPr>
        <w:tc>
          <w:tcPr>
            <w:tcW w:w="9460" w:type="dxa"/>
            <w:vAlign w:val="bottom"/>
          </w:tcPr>
          <w:p>
            <w:pPr>
              <w:ind w:left="340"/>
              <w:spacing w:after="0"/>
              <w:rPr>
                <w:sz w:val="20"/>
                <w:szCs w:val="20"/>
                <w:color w:val="auto"/>
              </w:rPr>
            </w:pPr>
            <w:r>
              <w:rPr>
                <w:rFonts w:ascii="Arial" w:cs="Arial" w:eastAsia="Arial" w:hAnsi="Arial"/>
                <w:sz w:val="14"/>
                <w:szCs w:val="14"/>
                <w:color w:val="auto"/>
              </w:rPr>
              <w:t>Total borrowings, net of discounts and debt issuance costs</w:t>
            </w:r>
          </w:p>
        </w:tc>
        <w:tc>
          <w:tcPr>
            <w:tcW w:w="6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25,854</w:t>
            </w:r>
          </w:p>
        </w:tc>
      </w:tr>
      <w:tr>
        <w:trPr>
          <w:trHeight w:val="27"/>
        </w:trPr>
        <w:tc>
          <w:tcPr>
            <w:tcW w:w="94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Warrants to Purchase Common or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completion of the Company's IPO in September 2019:</w:t>
      </w:r>
    </w:p>
    <w:p>
      <w:pPr>
        <w:spacing w:after="0" w:line="77" w:lineRule="exact"/>
        <w:rPr>
          <w:sz w:val="20"/>
          <w:szCs w:val="20"/>
          <w:color w:val="auto"/>
        </w:rPr>
      </w:pPr>
    </w:p>
    <w:p>
      <w:pPr>
        <w:ind w:left="660" w:right="80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remaining outstanding Series F redeemable convertible preferred stock warrants automatically converted into warrants exercisable for an aggregate 104,722 shares of common stock.</w:t>
      </w:r>
    </w:p>
    <w:p>
      <w:pPr>
        <w:spacing w:after="0" w:line="62" w:lineRule="exact"/>
        <w:rPr>
          <w:rFonts w:ascii="Arial" w:cs="Arial" w:eastAsia="Arial" w:hAnsi="Arial"/>
          <w:sz w:val="18"/>
          <w:szCs w:val="18"/>
          <w:color w:val="auto"/>
        </w:rPr>
      </w:pPr>
    </w:p>
    <w:p>
      <w:pPr>
        <w:ind w:left="660" w:right="36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 to purchase common stock for 569,184 shares of the Company's common stock were exercised via cashless exercise resulting in the issuance of 512,363 shares of common stock. Unexercised warrants to purchase common stock for 9,054 shares were terminated prior to the completion of the IPO.</w:t>
      </w:r>
    </w:p>
    <w:p>
      <w:pPr>
        <w:spacing w:after="0" w:line="5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 to purchase Series D and Series E redeemable convertible preferred stock for 119,771 shares of the Company's common stock were exercised via cashless exercise resulting in the issuance of 27,431 shares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common stock were outstanding as of December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Expiration date</w:t>
            </w:r>
          </w:p>
        </w:tc>
      </w:tr>
      <w:tr>
        <w:trPr>
          <w:trHeight w:val="215"/>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282,402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tcPr>
          <w:p>
            <w:pPr>
              <w:jc w:val="right"/>
              <w:spacing w:after="0"/>
              <w:rPr>
                <w:sz w:val="20"/>
                <w:szCs w:val="20"/>
                <w:color w:val="auto"/>
              </w:rPr>
            </w:pPr>
            <w:r>
              <w:rPr>
                <w:rFonts w:ascii="Arial" w:cs="Arial" w:eastAsia="Arial" w:hAnsi="Arial"/>
                <w:sz w:val="14"/>
                <w:szCs w:val="14"/>
                <w:color w:val="auto"/>
              </w:rPr>
              <w:t>74,018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22"/>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tcPr>
          <w:p>
            <w:pPr>
              <w:jc w:val="right"/>
              <w:spacing w:after="0"/>
              <w:rPr>
                <w:sz w:val="20"/>
                <w:szCs w:val="20"/>
                <w:color w:val="auto"/>
              </w:rPr>
            </w:pPr>
            <w:r>
              <w:rPr>
                <w:rFonts w:ascii="Arial" w:cs="Arial" w:eastAsia="Arial" w:hAnsi="Arial"/>
                <w:sz w:val="14"/>
                <w:szCs w:val="14"/>
                <w:color w:val="auto"/>
              </w:rPr>
              <w:t>83,778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color w:val="auto"/>
              </w:rPr>
              <w:t>September 8,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8, 2024</w:t>
            </w: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204"/>
        </w:trPr>
        <w:tc>
          <w:tcPr>
            <w:tcW w:w="33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461,273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(1) Prior to the conversion upon IPO, the remaining warrants were for the purchase of Series F redeemable convertible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warrants to purchase shares of common stock are equity classified at December 31, 2019.</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December 31, 2019, the Company leases an office and laboratory space in Vista, California, under a lease that expires in January 2021, with options to extend the lease for two additional 36-month periods. In addition, the Company also leases an office space in Vista, California, under a lease that expires in January 2021 with an option to extend the lease for an additional 24-month period. The Company's lease payments under each of these leases are subject to escalation clauses.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lease payments under non-cancelable lease arrangements at December 31, 2019 are as follows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 Leases</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w:t>
            </w:r>
          </w:p>
        </w:tc>
      </w:tr>
      <w:tr>
        <w:trPr>
          <w:trHeight w:val="210"/>
        </w:trPr>
        <w:tc>
          <w:tcPr>
            <w:tcW w:w="6300" w:type="dxa"/>
            <w:vAlign w:val="bottom"/>
          </w:tcPr>
          <w:p>
            <w:pPr>
              <w:ind w:left="20"/>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34</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630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5"/>
        </w:trPr>
        <w:tc>
          <w:tcPr>
            <w:tcW w:w="6540" w:type="dxa"/>
            <w:vAlign w:val="bottom"/>
            <w:gridSpan w:val="2"/>
          </w:tcPr>
          <w:p>
            <w:pPr>
              <w:ind w:left="120"/>
              <w:spacing w:after="0"/>
              <w:rPr>
                <w:sz w:val="20"/>
                <w:szCs w:val="20"/>
                <w:color w:val="auto"/>
              </w:rPr>
            </w:pPr>
            <w:r>
              <w:rPr>
                <w:rFonts w:ascii="Arial" w:cs="Arial" w:eastAsia="Arial" w:hAnsi="Arial"/>
                <w:sz w:val="14"/>
                <w:szCs w:val="14"/>
                <w:color w:val="auto"/>
              </w:rPr>
              <w:t>Total minimum lease payments</w:t>
            </w:r>
          </w:p>
        </w:tc>
        <w:tc>
          <w:tcPr>
            <w:tcW w:w="36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949</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445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Less: amount representing interest</w:t>
            </w:r>
          </w:p>
        </w:tc>
        <w:tc>
          <w:tcPr>
            <w:tcW w:w="36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09"/>
        </w:trPr>
        <w:tc>
          <w:tcPr>
            <w:tcW w:w="6540" w:type="dxa"/>
            <w:vAlign w:val="bottom"/>
            <w:gridSpan w:val="2"/>
          </w:tcPr>
          <w:p>
            <w:pPr>
              <w:ind w:left="120"/>
              <w:spacing w:after="0"/>
              <w:rPr>
                <w:sz w:val="20"/>
                <w:szCs w:val="20"/>
                <w:color w:val="auto"/>
              </w:rPr>
            </w:pPr>
            <w:r>
              <w:rPr>
                <w:rFonts w:ascii="Arial" w:cs="Arial" w:eastAsia="Arial" w:hAnsi="Arial"/>
                <w:sz w:val="14"/>
                <w:szCs w:val="14"/>
                <w:color w:val="auto"/>
              </w:rPr>
              <w:t>Present value of future minimum lease payments</w:t>
            </w:r>
          </w:p>
        </w:tc>
        <w:tc>
          <w:tcPr>
            <w:tcW w:w="360" w:type="dxa"/>
            <w:vAlign w:val="bottom"/>
          </w:tcPr>
          <w:p>
            <w:pPr>
              <w:spacing w:after="0"/>
              <w:rPr>
                <w:sz w:val="18"/>
                <w:szCs w:val="18"/>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color w:val="auto"/>
              </w:rPr>
              <w:t>874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Less: current portion</w:t>
            </w:r>
          </w:p>
        </w:tc>
        <w:tc>
          <w:tcPr>
            <w:tcW w:w="3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5"/>
        </w:trPr>
        <w:tc>
          <w:tcPr>
            <w:tcW w:w="6540" w:type="dxa"/>
            <w:vAlign w:val="bottom"/>
            <w:gridSpan w:val="2"/>
          </w:tcPr>
          <w:p>
            <w:pPr>
              <w:ind w:left="120"/>
              <w:spacing w:after="0"/>
              <w:rPr>
                <w:sz w:val="20"/>
                <w:szCs w:val="20"/>
                <w:color w:val="auto"/>
              </w:rPr>
            </w:pPr>
            <w:r>
              <w:rPr>
                <w:rFonts w:ascii="Arial" w:cs="Arial" w:eastAsia="Arial" w:hAnsi="Arial"/>
                <w:sz w:val="14"/>
                <w:szCs w:val="14"/>
                <w:color w:val="auto"/>
              </w:rPr>
              <w:t>Long-term capital lease obligations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
        </w:trPr>
        <w:tc>
          <w:tcPr>
            <w:tcW w:w="6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rent expense was $0.5 million and $0.4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All milestone payments other than one have been paid as of December 31, 2017. The remaining milestone obligation is for an additional $2.0 million payment due to Prometheus Laboratories, Inc. (Prometheus) for which the fair value was determined to be zero at December 31, 2019 and December 31, 2018.</w:t>
      </w:r>
    </w:p>
    <w:p>
      <w:pPr>
        <w:spacing w:after="0" w:line="1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ranging from 2.5% to 7.5%. Future royalties payable under these arrangements are limited to the lesser of an aggregate of $4.2 million (including an upfront payment of $100,000) or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9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January 2018, the Company entered into a supply agreement with one supplier for reagents which includes a minimum annual purchase commitment of $3.25 million for each of the three years covered by the agreement, which terminates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0" w:name="page111"/>
    <w:bookmarkEnd w:id="110"/>
    <w:p>
      <w:pPr>
        <w:ind w:right="20"/>
        <w:spacing w:after="0" w:line="270"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 From time to time, the Company may be subject to various legal proceedings that arise in the ordinary course of business activities.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98" w:lineRule="exact"/>
        <w:rPr>
          <w:sz w:val="20"/>
          <w:szCs w:val="20"/>
          <w:color w:val="auto"/>
        </w:rPr>
      </w:pPr>
    </w:p>
    <w:p>
      <w:pPr>
        <w:jc w:val="center"/>
        <w:ind w:left="6200"/>
        <w:spacing w:after="0"/>
        <w:rPr>
          <w:sz w:val="20"/>
          <w:szCs w:val="20"/>
          <w:color w:val="auto"/>
        </w:rPr>
      </w:pPr>
      <w:r>
        <w:rPr>
          <w:rFonts w:ascii="Arial" w:cs="Arial" w:eastAsia="Arial" w:hAnsi="Arial"/>
          <w:sz w:val="13"/>
          <w:szCs w:val="13"/>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89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47" w:lineRule="exact"/>
        <w:rPr>
          <w:sz w:val="20"/>
          <w:szCs w:val="20"/>
          <w:color w:val="auto"/>
        </w:rPr>
      </w:pPr>
    </w:p>
    <w:p>
      <w:pPr>
        <w:ind w:left="6660"/>
        <w:spacing w:after="0"/>
        <w:tabs>
          <w:tab w:leader="none" w:pos="7860" w:val="left"/>
          <w:tab w:leader="none" w:pos="9140" w:val="left"/>
          <w:tab w:leader="none" w:pos="10420" w:val="left"/>
        </w:tabs>
        <w:rPr>
          <w:sz w:val="20"/>
          <w:szCs w:val="20"/>
          <w:color w:val="auto"/>
        </w:rPr>
      </w:pPr>
      <w:r>
        <w:rPr>
          <w:rFonts w:ascii="Arial" w:cs="Arial" w:eastAsia="Arial" w:hAnsi="Arial"/>
          <w:sz w:val="13"/>
          <w:szCs w:val="13"/>
          <w:b w:val="1"/>
          <w:bCs w:val="1"/>
          <w:color w:val="auto"/>
        </w:rPr>
        <w:t>Total</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5760" w:type="dxa"/>
            <w:vAlign w:val="bottom"/>
          </w:tcPr>
          <w:p>
            <w:pPr>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
              <w:spacing w:after="0"/>
              <w:rPr>
                <w:sz w:val="20"/>
                <w:szCs w:val="20"/>
                <w:color w:val="auto"/>
              </w:rPr>
            </w:pPr>
            <w:r>
              <w:rPr>
                <w:rFonts w:ascii="Arial" w:cs="Arial" w:eastAsia="Arial" w:hAnsi="Arial"/>
                <w:sz w:val="14"/>
                <w:szCs w:val="14"/>
                <w:color w:val="auto"/>
              </w:rPr>
              <w:t>70,760</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4"/>
              <w:spacing w:after="0"/>
              <w:rPr>
                <w:sz w:val="20"/>
                <w:szCs w:val="20"/>
                <w:color w:val="auto"/>
              </w:rPr>
            </w:pPr>
            <w:r>
              <w:rPr>
                <w:rFonts w:ascii="Arial" w:cs="Arial" w:eastAsia="Arial" w:hAnsi="Arial"/>
                <w:sz w:val="14"/>
                <w:szCs w:val="14"/>
                <w:color w:val="auto"/>
              </w:rPr>
              <w:t>70,760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ind w:left="6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ind w:left="640"/>
              <w:spacing w:after="0"/>
              <w:rPr>
                <w:sz w:val="20"/>
                <w:szCs w:val="20"/>
                <w:color w:val="auto"/>
              </w:rPr>
            </w:pPr>
            <w:r>
              <w:rPr>
                <w:rFonts w:ascii="Arial" w:cs="Arial" w:eastAsia="Arial" w:hAnsi="Arial"/>
                <w:sz w:val="14"/>
                <w:szCs w:val="14"/>
                <w:color w:val="auto"/>
              </w:rPr>
              <w:t>—</w:t>
            </w:r>
          </w:p>
        </w:tc>
      </w:tr>
      <w:tr>
        <w:trPr>
          <w:trHeight w:val="613"/>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6"/>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53"/>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rPr>
              <w:t>Level 2</w:t>
            </w:r>
          </w:p>
        </w:tc>
        <w:tc>
          <w:tcPr>
            <w:tcW w:w="36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p>
      <w:pPr>
        <w:ind w:left="340"/>
        <w:spacing w:after="0"/>
        <w:tabs>
          <w:tab w:leader="none" w:pos="6100" w:val="left"/>
          <w:tab w:leader="none" w:pos="6780" w:val="left"/>
          <w:tab w:leader="none" w:pos="7420" w:val="left"/>
          <w:tab w:leader="none" w:pos="8100" w:val="left"/>
          <w:tab w:leader="none" w:pos="8720" w:val="left"/>
          <w:tab w:leader="none" w:pos="9620" w:val="left"/>
          <w:tab w:leader="none" w:pos="10040" w:val="left"/>
          <w:tab w:leader="none" w:pos="10920" w:val="left"/>
        </w:tabs>
        <w:rPr>
          <w:sz w:val="20"/>
          <w:szCs w:val="20"/>
          <w:color w:val="auto"/>
        </w:rPr>
      </w:pPr>
      <w:r>
        <w:rPr>
          <w:rFonts w:ascii="Arial" w:cs="Arial" w:eastAsia="Arial" w:hAnsi="Arial"/>
          <w:sz w:val="14"/>
          <w:szCs w:val="14"/>
          <w:color w:val="auto"/>
        </w:rPr>
        <w:t>Money market funds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8,618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8,618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73" w:lineRule="exact"/>
        <w:rPr>
          <w:sz w:val="20"/>
          <w:szCs w:val="20"/>
          <w:color w:val="auto"/>
        </w:rPr>
      </w:pPr>
    </w:p>
    <w:p>
      <w:pPr>
        <w:ind w:left="340"/>
        <w:spacing w:after="0"/>
        <w:tabs>
          <w:tab w:leader="none" w:pos="6100" w:val="left"/>
          <w:tab w:leader="none" w:pos="6780" w:val="left"/>
          <w:tab w:leader="none" w:pos="7420" w:val="left"/>
          <w:tab w:leader="none" w:pos="8300" w:val="left"/>
          <w:tab w:leader="none" w:pos="8720" w:val="left"/>
          <w:tab w:leader="none" w:pos="9620" w:val="left"/>
          <w:tab w:leader="none" w:pos="10040" w:val="left"/>
          <w:tab w:leader="none" w:pos="10720" w:val="left"/>
        </w:tabs>
        <w:rPr>
          <w:sz w:val="20"/>
          <w:szCs w:val="20"/>
          <w:color w:val="auto"/>
        </w:rPr>
      </w:pPr>
      <w:r>
        <w:rPr>
          <w:rFonts w:ascii="Arial" w:cs="Arial" w:eastAsia="Arial" w:hAnsi="Arial"/>
          <w:sz w:val="14"/>
          <w:szCs w:val="14"/>
          <w:color w:val="auto"/>
        </w:rPr>
        <w:t>Redeemable convertible preferred stock warrant liabilities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1,503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1,503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includes a roll-forward of the financial instruments measured on a recurring basis and classified within Level 3 of the fair value hierarchy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7"/>
              </w:rPr>
              <w:t>Liability</w:t>
            </w:r>
          </w:p>
        </w:tc>
      </w:tr>
      <w:tr>
        <w:trPr>
          <w:trHeight w:val="135"/>
        </w:trPr>
        <w:tc>
          <w:tcPr>
            <w:tcW w:w="9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Classified</w:t>
            </w:r>
          </w:p>
        </w:tc>
      </w:tr>
      <w:tr>
        <w:trPr>
          <w:trHeight w:val="177"/>
        </w:trPr>
        <w:tc>
          <w:tcPr>
            <w:tcW w:w="9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5"/>
              </w:rPr>
              <w:t>Warrants</w:t>
            </w:r>
          </w:p>
        </w:tc>
      </w:tr>
      <w:tr>
        <w:trPr>
          <w:trHeight w:val="216"/>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2017</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896</w:t>
            </w:r>
          </w:p>
        </w:tc>
      </w:tr>
      <w:tr>
        <w:trPr>
          <w:trHeight w:val="210"/>
        </w:trPr>
        <w:tc>
          <w:tcPr>
            <w:tcW w:w="9720" w:type="dxa"/>
            <w:vAlign w:val="bottom"/>
          </w:tcPr>
          <w:p>
            <w:pPr>
              <w:ind w:left="20"/>
              <w:spacing w:after="0"/>
              <w:rPr>
                <w:sz w:val="20"/>
                <w:szCs w:val="20"/>
                <w:color w:val="auto"/>
              </w:rPr>
            </w:pPr>
            <w:r>
              <w:rPr>
                <w:rFonts w:ascii="Arial" w:cs="Arial" w:eastAsia="Arial" w:hAnsi="Arial"/>
                <w:sz w:val="14"/>
                <w:szCs w:val="14"/>
                <w:color w:val="auto"/>
              </w:rPr>
              <w:t>Issuance of warrants to purchase shares of Series F redeemable convertible preferred stock in connection with 2017 Term Loan (Note 4)</w:t>
            </w:r>
          </w:p>
        </w:tc>
        <w:tc>
          <w:tcPr>
            <w:tcW w:w="28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289</w:t>
            </w:r>
          </w:p>
        </w:tc>
      </w:t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Remeasurement of financial instruments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318</w:t>
            </w:r>
          </w:p>
        </w:tc>
      </w:tr>
      <w:tr>
        <w:trPr>
          <w:trHeight w:val="203"/>
        </w:trPr>
        <w:tc>
          <w:tcPr>
            <w:tcW w:w="9720" w:type="dxa"/>
            <w:vAlign w:val="bottom"/>
          </w:tcPr>
          <w:p>
            <w:pPr>
              <w:ind w:left="20"/>
              <w:spacing w:after="0"/>
              <w:rPr>
                <w:sz w:val="20"/>
                <w:szCs w:val="20"/>
                <w:color w:val="auto"/>
              </w:rPr>
            </w:pPr>
            <w:r>
              <w:rPr>
                <w:rFonts w:ascii="Arial" w:cs="Arial" w:eastAsia="Arial" w:hAnsi="Arial"/>
                <w:sz w:val="14"/>
                <w:szCs w:val="14"/>
                <w:color w:val="auto"/>
              </w:rPr>
              <w:t>Balances at December 31, 2018</w:t>
            </w:r>
          </w:p>
        </w:tc>
        <w:tc>
          <w:tcPr>
            <w:tcW w:w="28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1,503</w:t>
            </w:r>
          </w:p>
        </w:tc>
      </w:t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Remeasurement of financial instruments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(267)</w:t>
            </w:r>
          </w:p>
        </w:tc>
      </w:tr>
      <w:tr>
        <w:trPr>
          <w:trHeight w:val="210"/>
        </w:trPr>
        <w:tc>
          <w:tcPr>
            <w:tcW w:w="9720" w:type="dxa"/>
            <w:vAlign w:val="bottom"/>
          </w:tcPr>
          <w:p>
            <w:pPr>
              <w:ind w:left="20"/>
              <w:spacing w:after="0"/>
              <w:rPr>
                <w:sz w:val="20"/>
                <w:szCs w:val="20"/>
                <w:color w:val="auto"/>
              </w:rPr>
            </w:pPr>
            <w:r>
              <w:rPr>
                <w:rFonts w:ascii="Arial" w:cs="Arial" w:eastAsia="Arial" w:hAnsi="Arial"/>
                <w:sz w:val="14"/>
                <w:szCs w:val="14"/>
                <w:color w:val="auto"/>
              </w:rPr>
              <w:t>Net exercise of preferred stock warrants</w:t>
            </w:r>
          </w:p>
        </w:tc>
        <w:tc>
          <w:tcPr>
            <w:tcW w:w="2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(510)</w:t>
            </w:r>
          </w:p>
        </w:tc>
      </w:t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liability classified warrants to stockholders' equity (deficit)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(726)</w:t>
            </w:r>
          </w:p>
        </w:tc>
      </w:tr>
      <w:tr>
        <w:trPr>
          <w:trHeight w:val="204"/>
        </w:trPr>
        <w:tc>
          <w:tcPr>
            <w:tcW w:w="972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r>
      <w:tr>
        <w:trPr>
          <w:trHeight w:val="26"/>
        </w:trPr>
        <w:tc>
          <w:tcPr>
            <w:tcW w:w="9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Changes in the fair value of the Company's liability classified warrants are recorded in the line item change in fair value of financial instruments in the accompanying statement of operations.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1" w:name="page112"/>
    <w:bookmarkEnd w:id="111"/>
    <w:p>
      <w:pPr>
        <w:ind w:right="140"/>
        <w:spacing w:after="0" w:line="256" w:lineRule="auto"/>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increase its authorized shares of convertible preferred stock from 750,300,000 to 955,500,000 shares, of which 205,200,000 shares are designated as Series G convertible preferred stock and set forth the rights, preferences and privileges of the Series G convertible preferred stock.</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July 11, 2019, the Company amended and restated its restated certificate of incorporation to among other things, increase its authorized shares of convertible preferred stock from 955,500,000 to 1,038,667,059 shares, of which 479,967,595 shares are designated as Series H redeemable convertible preferred stock and set forth the rights, preferences and privileges of the Series H redeemable convertible preferred stock.</w:t>
      </w:r>
    </w:p>
    <w:p>
      <w:pPr>
        <w:spacing w:after="0" w:line="15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Upon completion of the Company's IPO in September 2019,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 As a result, no shares of redeemable convertible preferred stock remain outstanding at December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Financing</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2017, the Company's Board of Directors authorized a third tranche closing of the issuance to existing preferred stockholders in connection with the Company's Series F financing, which was completed between December 2017 and January 2018. In December 2017, a group of existing investors of the Company purchased 54,246,756 shares of Series F redeemable convertible preferred stock at a per share price of $0.078 for aggregate gross proceeds of approximately $4.2 million. In early January 2018, a group of existing stockholders of the Company purchased an additional 34,914,327 shares of Series F redeemable convertible preferred stock at a per share price of $0.078 for aggregate gross proceeds of approximately $2.7 million.</w:t>
      </w:r>
    </w:p>
    <w:p>
      <w:pPr>
        <w:spacing w:after="0" w:line="15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 concluded that the third tranche closing of the Series F preferred stock purchase agreement contained a single freestanding financial instrument, shares of Series F redeemable convertible preferred stock, and the Company determined there were no embedded features requiring bifurcation in the shares of Series F redeemable convertible preferred stock issued in the third tranche closing. The Company accounted for the difference between the estimated fair value and the $0.078 per share purchase price of shares of Series F redeemable convertible preferred stock issued in the third tranche closing as a deemed dividend since all investors in the third closing are existing preferred stockholders of the Company, and the Company did not identify any elements to the transaction which it believes were compensatory in nature. As a result, the Company recognized a deemed dividend in the amount of $1.2 million in the first quarter of 2018, that was recorded as additional paid-in capital (in the absence of retained earnings) in the accompanying statement of redeemable convertible preferred stock and stockholders’ deficit.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January 2019, the Company entered into an agreement with new and certain existing preferred stockholders to issue shares of Series G redeemable convertible preferred stock in multiple separate closings at per share price of $0.078 in each closing. Shares of Series G redeemable convertible preferred stock were issuable under the Series G preferred stock purchase agreement until the earlier of March 31, 2019 or the issuance of all authorized shares of Series G redeemable convertible preferred stock, as specified in the Company's amended and restated certificate of incorporation.</w:t>
      </w:r>
    </w:p>
    <w:p>
      <w:pPr>
        <w:spacing w:after="0" w:line="151"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In January 2019 and March 2019, the Company sold 88,030,905 and 9,615,384 shares, respectively, of Series G redeemable convertible preferred stock for aggregate gross proceeds of approximately $7.6 million to new and existing investors, of which $3.75 million of gross proceeds were received as of December 31, 2018 and are included in the accompanying December 31, 2018 balance sheet.</w:t>
      </w:r>
    </w:p>
    <w:p>
      <w:pPr>
        <w:spacing w:after="0" w:line="131"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color w:val="auto"/>
        </w:rPr>
        <w:t>In May 2019, the Company sold an additional 51,282,048 shares of Series G redeemable convertible preferred stock for aggregate gross proceeds of approximately $4.0 million to existing investors.</w:t>
      </w:r>
    </w:p>
    <w:p>
      <w:pPr>
        <w:spacing w:after="0" w:line="14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in May 2019, the Series G preferred stock purchase agreement was amended to include the right of the Company to require certain holders of Series G redeemable convertible preferred stock to purchase an additional 32,051,280 shares of Series G redeemable convertible preferred stock at $0.078 per share, for total aggregate proceeds of $ 2.5 million, at any time after July 31, 2019 and prior to May 31, 2020. This right terminated in connection with the issuance of the Series H redeemable convertible stock in July 2019.</w:t>
      </w: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70" w:right="439" w:bottom="1440" w:gutter="0" w:footer="0" w:header="0"/>
        </w:sectPr>
      </w:pPr>
    </w:p>
    <w:bookmarkStart w:id="112" w:name="page113"/>
    <w:bookmarkEnd w:id="112"/>
    <w:p>
      <w:pPr>
        <w:spacing w:after="0" w:line="252" w:lineRule="auto"/>
        <w:rPr>
          <w:sz w:val="20"/>
          <w:szCs w:val="20"/>
          <w:color w:val="auto"/>
        </w:rPr>
      </w:pPr>
      <w:r>
        <w:rPr>
          <w:rFonts w:ascii="Arial" w:cs="Arial" w:eastAsia="Arial" w:hAnsi="Arial"/>
          <w:sz w:val="18"/>
          <w:szCs w:val="18"/>
          <w:color w:val="auto"/>
        </w:rPr>
        <w:t>The Company concluded that the closings of the Series G preferred stock purchase agreement in January and March 2019, contained a single freestanding financial instrument, shares of Series G redeemable convertible preferred stock, and the Company determined there were no embedded features requiring bifurcation in the shares of Series G redeemable convertible preferred stock issued. The Company concluded the closing in May 2019 contained two freestanding financial instruments, shares of Series G redeemable convertible preferred stock and the Company call right, and the Company concluded there were no embedded features requiring bifurcation in the shares of Series G redeemable convertible preferred stock issued. The Company call right was deemed to have nominal value since it was with insiders with knowledge of the imminent closing of Series H redeemable convertible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H Financing</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July 2019, the Company entered into an agreement with a new investor to issue shares of Series H redeemable convertible preferred stock at a per share price of $0.04712. Pursuant to the terms of the agreement, the new investor purchased 233,446,519 shares of Series H redeemable convertible preferred stock for gross proceeds of approximately $11.0 million. In connection with the Series H financing, the Company converted all of the 148,928,337 outstanding shares of the Company's Series G redeemable convertible preferred stock into 246,521,076 shares of Series H redeemable convertible preferred stock on a dollar-for-dollar basis.</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concluded that the closing of the Series H preferred stock purchase agreement contained a single freestanding financial instrument, shares of Series H redeemable convertible preferred stock, and the Company determined there were no embedded features requiring bifurcation in the shares of Series H redeemable convertible preferred stock issued at closing. The Company accounted for the difference between the effective conversion price of $0.04712 and the fair value of the underlying common stock at the commitment date as a beneficial conversion feature, which was immediately accreted as a deemed dividend. As a result, the Company recognized a beneficial conversion feature in the amount of $6.7 million in the third quarter of 2019, that was recorded as additional paid-in capital (in the absence of retained earnings) in the accompanying statement of redeemable convertible preferred stock and stockholders’ equity (deficit). Additionally, the Company concluded that the conversion of shares of Series G into shares of Series H redeemable convertible preferred stock in connection with the issuance of Series H redeemable convertible preferred stock represented an extinguishment of the Series G shares. As a result, the Company recognized a deemed dividend for the extinguishment charge in the amount of $6.9 million in the third quarter of 2019, that was recorded as additional paid-in capital (in the absence of retained earnings) in the accompanying statement of redeemable convertible preferred stock and stockholders' equity (deficit).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14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increase its authorized shares of common stock from 1,470,000,000 to 1,675,200,000 shares.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 July 11, 2019, the Company amended and restated its restated certificate of incorporation to, among other things, increase its authorized shares of common stock from 1,675,200,000 to 1,970,000,000 shares.</w:t>
      </w:r>
    </w:p>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filed its amended and restated certificate of incorporation on September 23, 2019, authorizing 200,000,000 shares of common stock and 10,000,000 shares of preferred stock.</w:t>
      </w:r>
    </w:p>
    <w:p>
      <w:pPr>
        <w:spacing w:after="0" w:line="14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On September 23, 2019, the Company closed its IPO of 4,140,000 shares of its common stock at a price to the public of $14.00 per share, including the exercise in full by the underwriters of their option to purchase 540,000 additional shares of the Company's common stock. Including the exercise of the option to purchase additional shares, the aggregate net proceeds to the Company from the offering was approximately $50.4 million, net of underwriting discounts, commissions and other offering expenses, for aggregate expenses of approximately $7.5 million. In addition, an aggregate of 7,816,643 shares of common stock, excluding warrant conversions, were issued to the holders of the Company's Series A-3, Series B-3, Series C, Series D, Series E, Series F and Series 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3" w:name="page114"/>
    <w:bookmarkEnd w:id="113"/>
    <w:p>
      <w:pPr>
        <w:ind w:right="440"/>
        <w:spacing w:after="0" w:line="261" w:lineRule="auto"/>
        <w:rPr>
          <w:sz w:val="20"/>
          <w:szCs w:val="20"/>
          <w:color w:val="auto"/>
        </w:rPr>
      </w:pPr>
      <w:r>
        <w:rPr>
          <w:rFonts w:ascii="Arial" w:cs="Arial" w:eastAsia="Arial" w:hAnsi="Arial"/>
          <w:sz w:val="18"/>
          <w:szCs w:val="18"/>
          <w:color w:val="auto"/>
        </w:rPr>
        <w:t>redeemable convertible preferred stockholders upon the automatic conversion of all shares of redeemable convertible preferred stock to common stock.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Option Plan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December 2012, the Company's Board of Directors adopted the 2013 Stock Option Plan (the Plan). Pursuant to the Plan, employees, consultants, and directors may be granted either incentive stock options or non-qualified stock options to purchase shares of the Company's common stock. In July 2019, the number of shares reserved for issuance under the Plan was increased from 669,806 to 1,663,681 shares.</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Under the 2019 Plan, the Company may grant stock options, stock appreciation rights, restricted stock, restricted stock units and other awards to individuals who are then employees, officers, non-employee directors or consultants of the Company or its subsidiaries. A total of (i) 2,011,832 shares of common stock plus (ii) shares subject to awards granted under the 2013 Plan on or before the effective date of the 2019 Plan became available for issuance under the 2019 Plan and will initially be reserved for issuance under the 2019 Plan. The</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of Directors. As of December 31, 2019, 1,283,996 shares remained available for future awards. Under the evergreen provision, on January 1, 2020, an additional 502,440 shares became available for issuance under the 2019 Plan.</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options generally expire ten years after the date of grant and are exercisable to the extent vested. Vesting is established by the Board of Directors and is generally four years from the date of grant.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Weighted-</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Weighted-</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1"/>
                <w:szCs w:val="11"/>
                <w:color w:val="auto"/>
              </w:rPr>
            </w:pPr>
          </w:p>
        </w:tc>
        <w:tc>
          <w:tcPr>
            <w:tcW w:w="106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jc w:val="right"/>
              <w:ind w:right="330"/>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Average</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06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7"/>
        </w:trPr>
        <w:tc>
          <w:tcPr>
            <w:tcW w:w="54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Term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2018</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661,180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6,198</w:t>
            </w:r>
          </w:p>
        </w:tc>
        <w:tc>
          <w:tcPr>
            <w:tcW w:w="0" w:type="dxa"/>
            <w:vAlign w:val="bottom"/>
          </w:tcPr>
          <w:p>
            <w:pPr>
              <w:spacing w:after="0"/>
              <w:rPr>
                <w:sz w:val="1"/>
                <w:szCs w:val="1"/>
                <w:color w:val="auto"/>
              </w:rPr>
            </w:pPr>
          </w:p>
        </w:tc>
      </w:tr>
      <w:tr>
        <w:trPr>
          <w:trHeight w:val="210"/>
        </w:trPr>
        <w:tc>
          <w:tcPr>
            <w:tcW w:w="5420" w:type="dxa"/>
            <w:vAlign w:val="bottom"/>
          </w:tcPr>
          <w:p>
            <w:pPr>
              <w:ind w:left="34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816,356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13.99</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340"/>
              <w:spacing w:after="0"/>
              <w:rPr>
                <w:sz w:val="20"/>
                <w:szCs w:val="20"/>
                <w:color w:val="auto"/>
              </w:rPr>
            </w:pPr>
            <w:r>
              <w:rPr>
                <w:rFonts w:ascii="Arial" w:cs="Arial" w:eastAsia="Arial" w:hAnsi="Arial"/>
                <w:sz w:val="14"/>
                <w:szCs w:val="14"/>
                <w:color w:val="auto"/>
              </w:rPr>
              <w:t>Forfeited</w:t>
            </w:r>
          </w:p>
        </w:tc>
        <w:tc>
          <w:tcPr>
            <w:tcW w:w="1440" w:type="dxa"/>
            <w:vAlign w:val="bottom"/>
          </w:tcPr>
          <w:p>
            <w:pPr>
              <w:jc w:val="right"/>
              <w:ind w:right="30"/>
              <w:spacing w:after="0"/>
              <w:rPr>
                <w:sz w:val="20"/>
                <w:szCs w:val="20"/>
                <w:color w:val="auto"/>
              </w:rPr>
            </w:pPr>
            <w:r>
              <w:rPr>
                <w:rFonts w:ascii="Arial" w:cs="Arial" w:eastAsia="Arial" w:hAnsi="Arial"/>
                <w:sz w:val="14"/>
                <w:szCs w:val="14"/>
                <w:color w:val="auto"/>
              </w:rPr>
              <w:t>(99,967)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Expired</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42.08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4"/>
                <w:szCs w:val="14"/>
                <w:color w:val="auto"/>
              </w:rPr>
              <w:t>Outstanding, December 31, 2019</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1,375,542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23,654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December 31, 2019</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1,375,542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8.33</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23,654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December 31, 2019</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203,344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weighted-average grant date fair value per share of employee options granted to employees during the years ended December 31, 2019 and 2018 was $7.79 and $0.17, respectively. The intrinsic value is calculated as the difference between the fair value of the Company's common stock and the exercise price of the stock options. The fair value of the Company's common stock is $25.40 and $9.92 per share at December 31, 2019 and 2018, respectively. The intrinsic value of options exercised for the years ended December 31, 2019 and 2018 was an immaterial amount and zero,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7"/>
        </w:trPr>
        <w:tc>
          <w:tcPr>
            <w:tcW w:w="8400" w:type="dxa"/>
            <w:vAlign w:val="bottom"/>
          </w:tcPr>
          <w:p>
            <w:pPr>
              <w:spacing w:after="0"/>
              <w:rPr>
                <w:sz w:val="15"/>
                <w:szCs w:val="15"/>
                <w:color w:val="auto"/>
              </w:rPr>
            </w:pPr>
          </w:p>
        </w:tc>
        <w:tc>
          <w:tcPr>
            <w:tcW w:w="28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3"/>
                <w:szCs w:val="13"/>
                <w:b w:val="1"/>
                <w:bCs w:val="1"/>
                <w:color w:val="auto"/>
              </w:rPr>
              <w:t>Years Ended December 31,</w:t>
            </w:r>
          </w:p>
        </w:tc>
      </w:tr>
      <w:tr>
        <w:trPr>
          <w:trHeight w:val="196"/>
        </w:trPr>
        <w:tc>
          <w:tcPr>
            <w:tcW w:w="84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2018</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46%-59%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4"/>
                <w:szCs w:val="14"/>
                <w:color w:val="auto"/>
              </w:rPr>
              <w:t>70%</w:t>
            </w:r>
          </w:p>
        </w:tc>
      </w:tr>
      <w:tr>
        <w:trPr>
          <w:trHeight w:val="216"/>
        </w:trPr>
        <w:tc>
          <w:tcPr>
            <w:tcW w:w="8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60" w:type="dxa"/>
            <w:vAlign w:val="bottom"/>
          </w:tcPr>
          <w:p>
            <w:pPr>
              <w:jc w:val="center"/>
              <w:spacing w:after="0"/>
              <w:rPr>
                <w:sz w:val="20"/>
                <w:szCs w:val="20"/>
                <w:color w:val="auto"/>
              </w:rPr>
            </w:pPr>
            <w:r>
              <w:rPr>
                <w:rFonts w:ascii="Arial" w:cs="Arial" w:eastAsia="Arial" w:hAnsi="Arial"/>
                <w:sz w:val="14"/>
                <w:szCs w:val="14"/>
                <w:color w:val="auto"/>
              </w:rPr>
              <w:t>1.6%-2.6%</w:t>
            </w:r>
          </w:p>
        </w:tc>
        <w:tc>
          <w:tcPr>
            <w:tcW w:w="12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4"/>
                <w:szCs w:val="14"/>
                <w:color w:val="auto"/>
              </w:rPr>
              <w:t>1.4% - 2.6%</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17"/>
        </w:trPr>
        <w:tc>
          <w:tcPr>
            <w:tcW w:w="8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60" w:type="dxa"/>
            <w:vAlign w:val="bottom"/>
          </w:tcPr>
          <w:p>
            <w:pPr>
              <w:jc w:val="center"/>
              <w:spacing w:after="0"/>
              <w:rPr>
                <w:sz w:val="20"/>
                <w:szCs w:val="20"/>
                <w:color w:val="auto"/>
              </w:rPr>
            </w:pPr>
            <w:r>
              <w:rPr>
                <w:rFonts w:ascii="Arial" w:cs="Arial" w:eastAsia="Arial" w:hAnsi="Arial"/>
                <w:sz w:val="14"/>
                <w:szCs w:val="14"/>
                <w:color w:val="auto"/>
              </w:rPr>
              <w:t>5.75-6.08</w:t>
            </w:r>
          </w:p>
        </w:tc>
        <w:tc>
          <w:tcPr>
            <w:tcW w:w="120" w:type="dxa"/>
            <w:vAlign w:val="bottom"/>
          </w:tcPr>
          <w:p>
            <w:pPr>
              <w:spacing w:after="0"/>
              <w:rPr>
                <w:sz w:val="18"/>
                <w:szCs w:val="18"/>
                <w:color w:val="auto"/>
              </w:rPr>
            </w:pPr>
          </w:p>
        </w:tc>
        <w:tc>
          <w:tcPr>
            <w:tcW w:w="1360" w:type="dxa"/>
            <w:vAlign w:val="bottom"/>
          </w:tcPr>
          <w:p>
            <w:pPr>
              <w:ind w:left="540"/>
              <w:spacing w:after="0"/>
              <w:rPr>
                <w:sz w:val="20"/>
                <w:szCs w:val="20"/>
                <w:color w:val="auto"/>
              </w:rPr>
            </w:pPr>
            <w:r>
              <w:rPr>
                <w:rFonts w:ascii="Arial" w:cs="Arial" w:eastAsia="Arial" w:hAnsi="Arial"/>
                <w:sz w:val="14"/>
                <w:szCs w:val="14"/>
                <w:color w:val="auto"/>
              </w:rPr>
              <w:t>6.08</w:t>
            </w:r>
          </w:p>
        </w:tc>
      </w:tr>
    </w:tbl>
    <w:p>
      <w:pPr>
        <w:spacing w:after="0" w:line="36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in the statement of operations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4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2018</w:t>
            </w:r>
          </w:p>
        </w:tc>
        <w:tc>
          <w:tcPr>
            <w:tcW w:w="520" w:type="dxa"/>
            <w:vAlign w:val="bottom"/>
            <w:tcBorders>
              <w:bottom w:val="single" w:sz="8" w:color="auto"/>
            </w:tcBorders>
          </w:tcPr>
          <w:p>
            <w:pPr>
              <w:spacing w:after="0"/>
              <w:rPr>
                <w:sz w:val="17"/>
                <w:szCs w:val="17"/>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80" w:type="dxa"/>
            <w:vAlign w:val="bottom"/>
            <w:shd w:val="clear" w:color="auto" w:fill="CCEEFF"/>
          </w:tcPr>
          <w:p>
            <w:pPr>
              <w:jc w:val="right"/>
              <w:ind w:right="91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8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93</w:t>
            </w:r>
          </w:p>
        </w:tc>
      </w:tr>
      <w:tr>
        <w:trPr>
          <w:trHeight w:val="22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r>
      <w:tr>
        <w:trPr>
          <w:trHeight w:val="203"/>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w:t>
            </w:r>
          </w:p>
        </w:tc>
      </w:tr>
      <w:tr>
        <w:trPr>
          <w:trHeight w:val="27"/>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of December 31, 2019, total unrecognized compensation cost was $5.6 million, which is expected to be recognized over a remaining weighted-average vesting period of 3.3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September 2019, the Board of Directors adopted the Employee Stock Purchase Plan (the ESPP). The ESPP became effective on the day the ESPP was adopted by the Company's Board of Directors. The ESPP permits participants to purchase common stock through payroll deductions of up to 20% of their eligible compensation. A total of 120,000 shares of common stock was initially reserved for issuance under the ESPP. In addition, the number of shares of common stock available for issuance under the ESPP will be annually increased on the first day of each fiscal year during the term of the ESPP, beginning with the 2020 calendar year through January 1, 2029 in an amount equal to the lesser of (i) 1% of the outstanding capital stock on December 31st, or (ii) such lesser amount determined by the Board of Directors. Under the evergreen provision, on January 1, 2020, an additional 125,610 shares became available for issuances under the ESPP. There has been no stock-based compensation expense incurred related to the ESPP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2019: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461,273</w:t>
            </w:r>
          </w:p>
        </w:tc>
      </w:tr>
      <w:tr>
        <w:trPr>
          <w:trHeight w:val="210"/>
        </w:trPr>
        <w:tc>
          <w:tcPr>
            <w:tcW w:w="902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20" w:type="dxa"/>
            <w:vAlign w:val="bottom"/>
          </w:tcPr>
          <w:p>
            <w:pPr>
              <w:jc w:val="right"/>
              <w:ind w:right="68"/>
              <w:spacing w:after="0"/>
              <w:rPr>
                <w:sz w:val="20"/>
                <w:szCs w:val="20"/>
                <w:color w:val="auto"/>
              </w:rPr>
            </w:pPr>
            <w:r>
              <w:rPr>
                <w:rFonts w:ascii="Arial" w:cs="Arial" w:eastAsia="Arial" w:hAnsi="Arial"/>
                <w:sz w:val="14"/>
                <w:szCs w:val="14"/>
                <w:color w:val="auto"/>
              </w:rPr>
              <w:t>1,375,542</w:t>
            </w:r>
          </w:p>
        </w:tc>
      </w:tr>
      <w:tr>
        <w:trPr>
          <w:trHeight w:val="222"/>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available for grant under the stock option plan</w:t>
            </w:r>
          </w:p>
        </w:tc>
        <w:tc>
          <w:tcPr>
            <w:tcW w:w="2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1,283,996</w:t>
            </w:r>
          </w:p>
        </w:tc>
      </w:tr>
      <w:tr>
        <w:trPr>
          <w:trHeight w:val="21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shares available for future issuance under ESPP</w:t>
            </w:r>
          </w:p>
        </w:tc>
        <w:tc>
          <w:tcPr>
            <w:tcW w:w="2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120,000</w:t>
            </w:r>
          </w:p>
        </w:tc>
      </w:tr>
      <w:tr>
        <w:trPr>
          <w:trHeight w:val="240"/>
        </w:trPr>
        <w:tc>
          <w:tcPr>
            <w:tcW w:w="9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2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3,240,811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7"/>
                <w:szCs w:val="17"/>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8"/>
                <w:szCs w:val="18"/>
                <w:color w:val="auto"/>
              </w:rPr>
            </w:pP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0"/>
        </w:trPr>
        <w:tc>
          <w:tcPr>
            <w:tcW w:w="7600" w:type="dxa"/>
            <w:vAlign w:val="bottom"/>
          </w:tcPr>
          <w:p>
            <w:pPr>
              <w:ind w:left="220"/>
              <w:spacing w:after="0"/>
              <w:rPr>
                <w:sz w:val="20"/>
                <w:szCs w:val="20"/>
                <w:color w:val="auto"/>
              </w:rPr>
            </w:pPr>
            <w:r>
              <w:rPr>
                <w:rFonts w:ascii="Arial" w:cs="Arial" w:eastAsia="Arial" w:hAnsi="Arial"/>
                <w:sz w:val="14"/>
                <w:szCs w:val="14"/>
                <w:color w:val="auto"/>
              </w:rPr>
              <w:t>Federal</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State</w:t>
            </w:r>
          </w:p>
        </w:tc>
        <w:tc>
          <w:tcPr>
            <w:tcW w:w="1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r>
      <w:tr>
        <w:trPr>
          <w:trHeight w:val="209"/>
        </w:trPr>
        <w:tc>
          <w:tcPr>
            <w:tcW w:w="7600" w:type="dxa"/>
            <w:vAlign w:val="bottom"/>
          </w:tcPr>
          <w:p>
            <w:pPr>
              <w:ind w:left="440"/>
              <w:spacing w:after="0"/>
              <w:rPr>
                <w:sz w:val="20"/>
                <w:szCs w:val="20"/>
                <w:color w:val="auto"/>
              </w:rPr>
            </w:pPr>
            <w:r>
              <w:rPr>
                <w:rFonts w:ascii="Arial" w:cs="Arial" w:eastAsia="Arial" w:hAnsi="Arial"/>
                <w:sz w:val="14"/>
                <w:szCs w:val="14"/>
                <w:color w:val="auto"/>
              </w:rPr>
              <w:t>Total current</w:t>
            </w:r>
          </w:p>
        </w:tc>
        <w:tc>
          <w:tcPr>
            <w:tcW w:w="124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27</w:t>
            </w:r>
          </w:p>
        </w:tc>
      </w:tr>
      <w:tr>
        <w:trPr>
          <w:trHeight w:val="22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0"/>
        </w:trPr>
        <w:tc>
          <w:tcPr>
            <w:tcW w:w="7600" w:type="dxa"/>
            <w:vAlign w:val="bottom"/>
          </w:tcPr>
          <w:p>
            <w:pPr>
              <w:ind w:left="220"/>
              <w:spacing w:after="0"/>
              <w:rPr>
                <w:sz w:val="20"/>
                <w:szCs w:val="20"/>
                <w:color w:val="auto"/>
              </w:rPr>
            </w:pPr>
            <w:r>
              <w:rPr>
                <w:rFonts w:ascii="Arial" w:cs="Arial" w:eastAsia="Arial" w:hAnsi="Arial"/>
                <w:sz w:val="14"/>
                <w:szCs w:val="14"/>
                <w:color w:val="auto"/>
              </w:rPr>
              <w:t>Federal</w:t>
            </w:r>
          </w:p>
        </w:tc>
        <w:tc>
          <w:tcPr>
            <w:tcW w:w="124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State</w:t>
            </w:r>
          </w:p>
        </w:tc>
        <w:tc>
          <w:tcPr>
            <w:tcW w:w="1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r>
      <w:tr>
        <w:trPr>
          <w:trHeight w:val="209"/>
        </w:trPr>
        <w:tc>
          <w:tcPr>
            <w:tcW w:w="76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deferred</w:t>
            </w: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r>
      <w:tr>
        <w:trPr>
          <w:trHeight w:val="24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200" w:lineRule="exact"/>
        <w:rPr>
          <w:sz w:val="20"/>
          <w:szCs w:val="20"/>
          <w:color w:val="auto"/>
        </w:rPr>
      </w:pPr>
    </w:p>
    <w:p>
      <w:pPr>
        <w:spacing w:after="0" w:line="310"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26035</wp:posOffset>
            </wp:positionV>
            <wp:extent cx="20745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r>
      <w:tr>
        <w:trPr>
          <w:trHeight w:val="21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10"/>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benefits</w:t>
            </w:r>
          </w:p>
        </w:tc>
        <w:tc>
          <w:tcPr>
            <w:tcW w:w="58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22"/>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 of preferred stock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(36.1)%</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Limitation of net operating losses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59.8 %</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1.6 %</w:t>
            </w:r>
          </w:p>
        </w:tc>
      </w:tr>
      <w:tr>
        <w:trPr>
          <w:trHeight w:val="23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Significant components of the Company’s deferred tax assets at December 31, 2019 and 2018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0"/>
        </w:trPr>
        <w:tc>
          <w:tcPr>
            <w:tcW w:w="7600" w:type="dxa"/>
            <w:vAlign w:val="bottom"/>
          </w:tcPr>
          <w:p>
            <w:pPr>
              <w:ind w:left="220"/>
              <w:spacing w:after="0"/>
              <w:rPr>
                <w:sz w:val="20"/>
                <w:szCs w:val="20"/>
                <w:color w:val="auto"/>
              </w:rPr>
            </w:pPr>
            <w:r>
              <w:rPr>
                <w:rFonts w:ascii="Arial" w:cs="Arial" w:eastAsia="Arial" w:hAnsi="Arial"/>
                <w:sz w:val="14"/>
                <w:szCs w:val="14"/>
                <w:color w:val="auto"/>
              </w:rPr>
              <w:t>Net operating loss carryforwards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15,287</w:t>
            </w:r>
          </w:p>
        </w:tc>
        <w:tc>
          <w:tcPr>
            <w:tcW w:w="140" w:type="dxa"/>
            <w:vAlign w:val="bottom"/>
          </w:tcPr>
          <w:p>
            <w:pPr>
              <w:spacing w:after="0"/>
              <w:rPr>
                <w:sz w:val="18"/>
                <w:szCs w:val="18"/>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18,937</w:t>
            </w:r>
          </w:p>
        </w:tc>
      </w:tr>
      <w:tr>
        <w:trPr>
          <w:trHeight w:val="22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tax credits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r>
      <w:tr>
        <w:trPr>
          <w:trHeight w:val="210"/>
        </w:trPr>
        <w:tc>
          <w:tcPr>
            <w:tcW w:w="7600" w:type="dxa"/>
            <w:vAlign w:val="bottom"/>
          </w:tcPr>
          <w:p>
            <w:pPr>
              <w:ind w:left="220"/>
              <w:spacing w:after="0"/>
              <w:rPr>
                <w:sz w:val="20"/>
                <w:szCs w:val="20"/>
                <w:color w:val="auto"/>
              </w:rPr>
            </w:pPr>
            <w:r>
              <w:rPr>
                <w:rFonts w:ascii="Arial" w:cs="Arial" w:eastAsia="Arial" w:hAnsi="Arial"/>
                <w:sz w:val="14"/>
                <w:szCs w:val="14"/>
                <w:color w:val="auto"/>
              </w:rPr>
              <w:t>Accruals, reserves and other</w:t>
            </w:r>
          </w:p>
        </w:tc>
        <w:tc>
          <w:tcPr>
            <w:tcW w:w="106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590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1,394</w:t>
            </w:r>
          </w:p>
        </w:tc>
      </w:tr>
      <w:tr>
        <w:trPr>
          <w:trHeight w:val="22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691</w:t>
            </w:r>
          </w:p>
        </w:tc>
      </w:tr>
      <w:tr>
        <w:trPr>
          <w:trHeight w:val="21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Basis differences in fixed and intangible assets</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w:t>
            </w:r>
          </w:p>
        </w:tc>
      </w:tr>
      <w:tr>
        <w:trPr>
          <w:trHeight w:val="215"/>
        </w:trPr>
        <w:tc>
          <w:tcPr>
            <w:tcW w:w="7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gross deferred tax assets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17,265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21,565</w:t>
            </w:r>
          </w:p>
        </w:tc>
      </w:tr>
      <w:tr>
        <w:trPr>
          <w:trHeight w:val="21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Valuation allowance</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(16,797)</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(21,138)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468</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427</w:t>
            </w: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Financing and acquisition-related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r>
      <w:tr>
        <w:trPr>
          <w:trHeight w:val="21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Indefinite lived assets</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(732)</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r>
      <w:tr>
        <w:trPr>
          <w:trHeight w:val="216"/>
        </w:trPr>
        <w:tc>
          <w:tcPr>
            <w:tcW w:w="760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r>
      <w:tr>
        <w:trPr>
          <w:trHeight w:val="20"/>
        </w:trPr>
        <w:tc>
          <w:tcPr>
            <w:tcW w:w="7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Changes in the valuation allowance for deferred tax assets during the years ended December 31, 2019 and 2018, which related primarily to increases in net operating loss carryforwards, accrued revenue and accruals and reserves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21,138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19,929</w:t>
            </w:r>
          </w:p>
        </w:tc>
      </w:tr>
      <w:tr>
        <w:trPr>
          <w:trHeight w:val="210"/>
        </w:trPr>
        <w:tc>
          <w:tcPr>
            <w:tcW w:w="7600" w:type="dxa"/>
            <w:vAlign w:val="bottom"/>
          </w:tcPr>
          <w:p>
            <w:pPr>
              <w:ind w:left="20"/>
              <w:spacing w:after="0"/>
              <w:rPr>
                <w:sz w:val="20"/>
                <w:szCs w:val="20"/>
                <w:color w:val="auto"/>
              </w:rPr>
            </w:pPr>
            <w:r>
              <w:rPr>
                <w:rFonts w:ascii="Arial" w:cs="Arial" w:eastAsia="Arial" w:hAnsi="Arial"/>
                <w:sz w:val="14"/>
                <w:szCs w:val="14"/>
                <w:color w:val="auto"/>
              </w:rPr>
              <w:t>Decreases recorded as benefits to income tax provision</w:t>
            </w:r>
          </w:p>
        </w:tc>
        <w:tc>
          <w:tcPr>
            <w:tcW w:w="110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(4,341)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1,209</w:t>
            </w:r>
          </w:p>
        </w:tc>
      </w:tr>
      <w:tr>
        <w:trPr>
          <w:trHeight w:val="215"/>
        </w:trPr>
        <w:tc>
          <w:tcPr>
            <w:tcW w:w="7600" w:type="dxa"/>
            <w:vAlign w:val="bottom"/>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1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16,797</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21,138</w:t>
            </w: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December 31, 2019 and 2018, the Company had federal net operating loss carryforwards of approximately $60.7 million and $80.8 million, respectively. At December 31, 2019 and 2018, the Company had state net operating loss carryforwards of $43.5 million and $30.6 million, respectively. Approximately $43.5 million of the federal tax loss carryforwards will begin to expire in 2022, unless previously utilized. The federal net operating loss carryforwards generated in after December 31, 2017 of $17.2 million will carryforward indefinitely and be available to offset up to 80% of future taxable income each year. The Company’s state tax loss carryforwards will expire in 2032, unless previously utilized.</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2019, the Company's deferred tax assets are primarily comprised of federal and state tax net operating loss carryforwards. The Company completed a formal study through the year ended December 31, 2019 and determined ownership changes within the meaning of Internal Revenue Code (IRC), Section 382 had occurred in 2003, 2008, 2012, 2017 and 2019. Based on the analysis, $61.8 million of the Company's tax attribute carryforwards through December 31, 2017 cannot be utilized under IRC Section 382. The Company's ability to utilize net operating loss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15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7" w:name="page118"/>
    <w:bookmarkEnd w:id="117"/>
    <w:p>
      <w:pPr>
        <w:ind w:right="220"/>
        <w:spacing w:after="0" w:line="261" w:lineRule="auto"/>
        <w:rPr>
          <w:sz w:val="20"/>
          <w:szCs w:val="20"/>
          <w:color w:val="auto"/>
        </w:rPr>
      </w:pPr>
      <w:r>
        <w:rPr>
          <w:rFonts w:ascii="Arial" w:cs="Arial" w:eastAsia="Arial" w:hAnsi="Arial"/>
          <w:sz w:val="18"/>
          <w:szCs w:val="18"/>
          <w:color w:val="auto"/>
        </w:rPr>
        <w:t>The Company recognizes interest and / or penalties related to income tax matters in its provision for income taxes. The Company does not have any accruals for, and did not recognize any, interest or penalties in these financial statements in any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the Company had no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balance of unrecognized tax benefits will materially change within the next twelve months.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Parties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entered into a consulting services agreement, as amended, with a member of the Company's Board of Directors under which this board member provides certain scientific consulting services to the Company. Under this agreement, as amended in June 2018, this board member is compensated at a bi-weekly rate of $5,000 (plus reimbursement for certain administrative and travel related expenses) and received options to purchase 544 shares of common stock in November 2017, the commencement date of the agreement. Total amounts paid to this board member under this agreement for the years ended December 31, 2019 and 2018, were $130,000 and $126,000, respectively, which was recorded in research and development expenses in the accompanying statements of operations. The Company accounted for the grant of options as an award to a non-employee and measures compensation cost for this award based on the value of the award at the date the consulting services are complete. The options granted to this board member were granted at an exercise price of $0.367 (the estimated fair value of share of common stock on the grant date using an OPM model), and vests over a three-year term expected to coincide with the period the board member is expected to provide consulting services to the Company. The estimated fair value of the awards and related compensation cost recognized during the years ended December 31, 2019 and 2018 was immaterial. All compensation cost related to these awards is recorded in research and development expenses in the accompanying statements of operations. Effective July 12, 2019, this consultant no longer serves on the Company's Board of Directors.</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2011, the Company entered into a license agreement with the Company's former Chief Scientific Officer, and a related company, De Novo Diagnostics, Inc. The license agreement, covering novel methods for monitoring low-dose methotrexate therapy, relates to technology developed by the Company's former Chief Scientific Officer prior to joining the Company. The technology has yet to be used by the Company. Under the agreement, the Company's Chief Scientific Officer will be eligible to receive up to $0.6 million upon the achievement of certain sales milestones and an ongoing royalty of 5% on sales.</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third tranche closing of the Series F financing, the closings of the Series G financing and the Series H financing described in Note 8 were issued to existing holders of the Company's redeemable convertible preferred stock, including certain members of our Board of Directors.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401(k) Plan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years ended December 31, 2019 and 2018, the Company made contributions to the Plan at 3% of qualified employee compensation, which totaled approximately $0.4 million.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93"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Subsequent to December 31, 2019, stock options for 290,000 shares of the Company's common stock were granted to Company employees.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March 2020, the Company entered into a new lease agreement related to expanded office and laboratory space in the building attached to the Company's existing headquarters. The initial term of the lease agreement is five years and nine months, expiring in January 2026. The lease agreement provides for monthly base rent of $12,724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8" w:name="page119"/>
    <w:bookmarkEnd w:id="118"/>
    <w:p>
      <w:pPr>
        <w:ind w:right="220"/>
        <w:spacing w:after="0" w:line="261" w:lineRule="auto"/>
        <w:rPr>
          <w:sz w:val="20"/>
          <w:szCs w:val="20"/>
          <w:color w:val="auto"/>
        </w:rPr>
      </w:pPr>
      <w:r>
        <w:rPr>
          <w:rFonts w:ascii="Arial" w:cs="Arial" w:eastAsia="Arial" w:hAnsi="Arial"/>
          <w:sz w:val="18"/>
          <w:szCs w:val="18"/>
          <w:color w:val="auto"/>
        </w:rPr>
        <w:t>beginning in May 2020, which amount shall increase 3% annually beginning in February 2022. The lease agreement does not include any right or option to extend the term after its expiration.</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March 2020, the Company entered into a lease extension on our existing office space located adjacent to the Company's headquarters. The lease extension extends the term from February 2021, until its new expiration in January 2026. The lease extension provides that the base monthly rent for the leased space shall be $19,000, for the 12-month period beginning in February 2021, which amount shall increase $600 on a monthly basis each additional 12-month period until its expiration. In addition, the lease extension added an option for the Company to extend the term of the lease for one five year period, commencing when the prior term expires.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in March 2020, the Company entered into a lease amendment relating to its headquarters. The lease amendment extends to the term of the lease from April 2020, until its new expiration in January 2026. The lease amendment provides that the base monthly rent for the leased space shall be $16,308.57, for the 10-month period beginning in April 2020, which amount shall increase to $17,325 in February 2021, and shall increase 3% annually thereafter. In addition, the lease amendment added an option for the Company to extend the term of the lease for one five year period, commencing when the prior term expires.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As a result, the Company is taking the steps to protect the health, safety and well-being of its employees, Associates, and communities by equipping various staff members to work remotely for an uncertain period of time. The Company has started to experience challenges resulting from social distancing and stay-at home orders through a reduction in testing volumes. The Company cannot reasonably estimate the length or severity of this pandemic, which may result in a material adverse impact on its balance sheets, results of operations and cash flows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119" w:name="page120"/>
    <w:bookmarkEnd w:id="119"/>
    <w:p>
      <w:pPr>
        <w:jc w:val="center"/>
        <w:ind w:right="-24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r>
      <w:tr>
        <w:trPr>
          <w:trHeight w:val="175"/>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Exhibit Filing</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w w:val="99"/>
              </w:rPr>
              <w:t>Filed/Furnished</w:t>
            </w: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20" w:type="dxa"/>
            <w:vAlign w:val="bottom"/>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60693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9279"/>
          </w:cols>
          <w:pgMar w:left="1180" w:top="886" w:right="144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10.1#</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10.5#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7" w:right="280"/>
        <w:spacing w:after="0" w:line="229" w:lineRule="auto"/>
        <w:rPr>
          <w:rFonts w:ascii="Arial" w:cs="Arial" w:eastAsia="Arial" w:hAnsi="Arial"/>
          <w:sz w:val="14"/>
          <w:szCs w:val="14"/>
          <w:u w:val="single" w:color="auto"/>
          <w:color w:val="0000FF"/>
        </w:rPr>
      </w:pPr>
      <w:hyperlink r:id="rId145">
        <w:r>
          <w:rPr>
            <w:rFonts w:ascii="Arial" w:cs="Arial" w:eastAsia="Arial" w:hAnsi="Arial"/>
            <w:sz w:val="14"/>
            <w:szCs w:val="14"/>
            <w:u w:val="single" w:color="auto"/>
            <w:color w:val="0000FF"/>
          </w:rPr>
          <w:t>Form of Amended and Restated Certificate of</w:t>
        </w:r>
      </w:hyperlink>
      <w:r>
        <w:rPr>
          <w:rFonts w:ascii="Arial" w:cs="Arial" w:eastAsia="Arial" w:hAnsi="Arial"/>
          <w:sz w:val="14"/>
          <w:szCs w:val="14"/>
          <w:u w:val="single" w:color="auto"/>
          <w:color w:val="0000FF"/>
        </w:rPr>
        <w:t xml:space="preserve"> </w:t>
      </w:r>
      <w:hyperlink r:id="rId145">
        <w:r>
          <w:rPr>
            <w:rFonts w:ascii="Arial" w:cs="Arial" w:eastAsia="Arial" w:hAnsi="Arial"/>
            <w:sz w:val="14"/>
            <w:szCs w:val="14"/>
            <w:u w:val="single" w:color="auto"/>
            <w:color w:val="0000FF"/>
          </w:rPr>
          <w:t>Incorporation.</w:t>
        </w:r>
      </w:hyperlink>
    </w:p>
    <w:p>
      <w:pPr>
        <w:spacing w:after="0" w:line="44" w:lineRule="exact"/>
        <w:rPr>
          <w:sz w:val="20"/>
          <w:szCs w:val="20"/>
          <w:color w:val="auto"/>
        </w:rPr>
      </w:pPr>
    </w:p>
    <w:p>
      <w:pPr>
        <w:ind w:left="7"/>
        <w:spacing w:after="0"/>
        <w:rPr>
          <w:rFonts w:ascii="Arial" w:cs="Arial" w:eastAsia="Arial" w:hAnsi="Arial"/>
          <w:sz w:val="14"/>
          <w:szCs w:val="14"/>
          <w:u w:val="single" w:color="auto"/>
          <w:color w:val="0000FF"/>
        </w:rPr>
      </w:pPr>
      <w:hyperlink r:id="rId146">
        <w:r>
          <w:rPr>
            <w:rFonts w:ascii="Arial" w:cs="Arial" w:eastAsia="Arial" w:hAnsi="Arial"/>
            <w:sz w:val="14"/>
            <w:szCs w:val="14"/>
            <w:u w:val="single" w:color="auto"/>
            <w:color w:val="0000FF"/>
          </w:rPr>
          <w:t>Form of Amended Restated Bylaws.</w:t>
        </w:r>
      </w:hyperlink>
    </w:p>
    <w:p>
      <w:pPr>
        <w:spacing w:after="0" w:line="28" w:lineRule="exact"/>
        <w:rPr>
          <w:sz w:val="20"/>
          <w:szCs w:val="20"/>
          <w:color w:val="auto"/>
        </w:rPr>
      </w:pPr>
    </w:p>
    <w:p>
      <w:pPr>
        <w:ind w:left="7" w:right="60"/>
        <w:spacing w:after="0" w:line="229" w:lineRule="auto"/>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Specimen stock certificate evidencing the shares</w:t>
        </w:r>
      </w:hyperlink>
      <w:r>
        <w:rPr>
          <w:rFonts w:ascii="Arial" w:cs="Arial" w:eastAsia="Arial" w:hAnsi="Arial"/>
          <w:sz w:val="14"/>
          <w:szCs w:val="14"/>
          <w:u w:val="single" w:color="auto"/>
          <w:color w:val="0000FF"/>
        </w:rPr>
        <w:t xml:space="preserve"> </w:t>
      </w:r>
      <w:hyperlink r:id="rId147">
        <w:r>
          <w:rPr>
            <w:rFonts w:ascii="Arial" w:cs="Arial" w:eastAsia="Arial" w:hAnsi="Arial"/>
            <w:sz w:val="14"/>
            <w:szCs w:val="14"/>
            <w:u w:val="single" w:color="auto"/>
            <w:color w:val="0000FF"/>
          </w:rPr>
          <w:t>of common stock.</w:t>
        </w:r>
      </w:hyperlink>
    </w:p>
    <w:p>
      <w:pPr>
        <w:spacing w:after="0" w:line="17" w:lineRule="exact"/>
        <w:rPr>
          <w:sz w:val="20"/>
          <w:szCs w:val="20"/>
          <w:color w:val="auto"/>
        </w:rPr>
      </w:pPr>
    </w:p>
    <w:p>
      <w:pPr>
        <w:ind w:left="7" w:right="140"/>
        <w:spacing w:after="0" w:line="219" w:lineRule="auto"/>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Amended and Restated Investors’ Rights</w:t>
        </w:r>
      </w:hyperlink>
      <w:r>
        <w:rPr>
          <w:rFonts w:ascii="Arial" w:cs="Arial" w:eastAsia="Arial" w:hAnsi="Arial"/>
          <w:sz w:val="14"/>
          <w:szCs w:val="14"/>
          <w:u w:val="single" w:color="auto"/>
          <w:color w:val="0000FF"/>
        </w:rPr>
        <w:t xml:space="preserve"> </w:t>
      </w:r>
      <w:hyperlink r:id="rId148">
        <w:r>
          <w:rPr>
            <w:rFonts w:ascii="Arial" w:cs="Arial" w:eastAsia="Arial" w:hAnsi="Arial"/>
            <w:sz w:val="14"/>
            <w:szCs w:val="14"/>
            <w:u w:val="single" w:color="auto"/>
            <w:color w:val="0000FF"/>
          </w:rPr>
          <w:t>Agreement, dated July 12, 2019, by and among</w:t>
        </w:r>
      </w:hyperlink>
      <w:r>
        <w:rPr>
          <w:rFonts w:ascii="Arial" w:cs="Arial" w:eastAsia="Arial" w:hAnsi="Arial"/>
          <w:sz w:val="14"/>
          <w:szCs w:val="14"/>
          <w:u w:val="single" w:color="auto"/>
          <w:color w:val="0000FF"/>
        </w:rPr>
        <w:t xml:space="preserve"> </w:t>
      </w:r>
      <w:hyperlink r:id="rId148">
        <w:r>
          <w:rPr>
            <w:rFonts w:ascii="Arial" w:cs="Arial" w:eastAsia="Arial" w:hAnsi="Arial"/>
            <w:sz w:val="14"/>
            <w:szCs w:val="14"/>
            <w:u w:val="single" w:color="auto"/>
            <w:color w:val="0000FF"/>
          </w:rPr>
          <w:t>the Registrant and certain of its stockholders.</w:t>
        </w:r>
      </w:hyperlink>
    </w:p>
    <w:p>
      <w:pPr>
        <w:spacing w:after="0" w:line="18" w:lineRule="exact"/>
        <w:rPr>
          <w:rFonts w:ascii="Arial" w:cs="Arial" w:eastAsia="Arial" w:hAnsi="Arial"/>
          <w:sz w:val="14"/>
          <w:szCs w:val="14"/>
          <w:u w:val="single" w:color="auto"/>
          <w:color w:val="0000FF"/>
        </w:rPr>
      </w:pPr>
    </w:p>
    <w:p>
      <w:pPr>
        <w:ind w:left="7" w:right="280"/>
        <w:spacing w:after="0" w:line="219" w:lineRule="auto"/>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Form of Common Stock Purchase Warrant</w:t>
        </w:r>
      </w:hyperlink>
      <w:r>
        <w:rPr>
          <w:rFonts w:ascii="Arial" w:cs="Arial" w:eastAsia="Arial" w:hAnsi="Arial"/>
          <w:sz w:val="14"/>
          <w:szCs w:val="14"/>
          <w:u w:val="single" w:color="auto"/>
          <w:color w:val="0000FF"/>
        </w:rPr>
        <w:t xml:space="preserve"> </w:t>
      </w:r>
      <w:hyperlink r:id="rId149">
        <w:r>
          <w:rPr>
            <w:rFonts w:ascii="Arial" w:cs="Arial" w:eastAsia="Arial" w:hAnsi="Arial"/>
            <w:sz w:val="14"/>
            <w:szCs w:val="14"/>
            <w:u w:val="single" w:color="auto"/>
            <w:color w:val="0000FF"/>
          </w:rPr>
          <w:t>issued to investors by the Registrant in</w:t>
        </w:r>
      </w:hyperlink>
      <w:r>
        <w:rPr>
          <w:rFonts w:ascii="Arial" w:cs="Arial" w:eastAsia="Arial" w:hAnsi="Arial"/>
          <w:sz w:val="14"/>
          <w:szCs w:val="14"/>
          <w:u w:val="single" w:color="auto"/>
          <w:color w:val="0000FF"/>
        </w:rPr>
        <w:t xml:space="preserve"> </w:t>
      </w:r>
      <w:hyperlink r:id="rId149">
        <w:r>
          <w:rPr>
            <w:rFonts w:ascii="Arial" w:cs="Arial" w:eastAsia="Arial" w:hAnsi="Arial"/>
            <w:sz w:val="14"/>
            <w:szCs w:val="14"/>
            <w:u w:val="single" w:color="auto"/>
            <w:color w:val="0000FF"/>
          </w:rPr>
          <w:t>connection with private placement financings.</w:t>
        </w:r>
      </w:hyperlink>
    </w:p>
    <w:p>
      <w:pPr>
        <w:spacing w:after="0" w:line="18" w:lineRule="exact"/>
        <w:rPr>
          <w:rFonts w:ascii="Arial" w:cs="Arial" w:eastAsia="Arial" w:hAnsi="Arial"/>
          <w:sz w:val="14"/>
          <w:szCs w:val="14"/>
          <w:u w:val="single" w:color="auto"/>
          <w:color w:val="0000FF"/>
        </w:rPr>
      </w:pPr>
    </w:p>
    <w:p>
      <w:pPr>
        <w:ind w:left="7" w:right="80"/>
        <w:spacing w:after="0" w:line="201" w:lineRule="auto"/>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Form of Preferred Stock Purchase Warrant</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issued to Capital Royalty Partners and related</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advisors by the Registrant in connection with the</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Term Loan Agreement, by and between Capital</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Royalty Partners II L.P., Capital Royalty Partners</w:t>
        </w:r>
      </w:hyperlink>
    </w:p>
    <w:p>
      <w:pPr>
        <w:spacing w:after="0" w:line="1" w:lineRule="exact"/>
        <w:rPr>
          <w:rFonts w:ascii="Arial" w:cs="Arial" w:eastAsia="Arial" w:hAnsi="Arial"/>
          <w:sz w:val="14"/>
          <w:szCs w:val="14"/>
          <w:u w:val="single" w:color="auto"/>
          <w:color w:val="0000FF"/>
        </w:rPr>
      </w:pPr>
    </w:p>
    <w:p>
      <w:pPr>
        <w:ind w:left="7" w:right="80" w:hanging="7"/>
        <w:spacing w:after="0" w:line="229" w:lineRule="auto"/>
        <w:tabs>
          <w:tab w:leader="none" w:pos="127" w:val="left"/>
        </w:tabs>
        <w:numPr>
          <w:ilvl w:val="0"/>
          <w:numId w:val="38"/>
        </w:numPr>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 Parallel Fund "A" L.P., Parallel Investment</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Opportunities Partners II L.P. and the Registrant.</w:t>
        </w:r>
      </w:hyperlink>
    </w:p>
    <w:p>
      <w:pPr>
        <w:spacing w:after="0" w:line="17" w:lineRule="exact"/>
        <w:rPr>
          <w:rFonts w:ascii="Arial" w:cs="Arial" w:eastAsia="Arial" w:hAnsi="Arial"/>
          <w:sz w:val="14"/>
          <w:szCs w:val="14"/>
          <w:u w:val="single" w:color="auto"/>
          <w:color w:val="0000FF"/>
        </w:rPr>
      </w:pPr>
    </w:p>
    <w:p>
      <w:pPr>
        <w:ind w:left="7" w:right="20"/>
        <w:spacing w:after="0" w:line="219" w:lineRule="auto"/>
        <w:rPr>
          <w:rFonts w:ascii="Arial" w:cs="Arial" w:eastAsia="Arial" w:hAnsi="Arial"/>
          <w:sz w:val="14"/>
          <w:szCs w:val="14"/>
          <w:u w:val="single" w:color="auto"/>
          <w:color w:val="0000FF"/>
        </w:rPr>
      </w:pPr>
      <w:hyperlink r:id="rId151">
        <w:r>
          <w:rPr>
            <w:rFonts w:ascii="Arial" w:cs="Arial" w:eastAsia="Arial" w:hAnsi="Arial"/>
            <w:sz w:val="14"/>
            <w:szCs w:val="14"/>
            <w:u w:val="single" w:color="auto"/>
            <w:color w:val="0000FF"/>
          </w:rPr>
          <w:t>Form of Warrant to Purchase Shares of Preferred</w:t>
        </w:r>
      </w:hyperlink>
      <w:r>
        <w:rPr>
          <w:rFonts w:ascii="Arial" w:cs="Arial" w:eastAsia="Arial" w:hAnsi="Arial"/>
          <w:sz w:val="14"/>
          <w:szCs w:val="14"/>
          <w:u w:val="single" w:color="auto"/>
          <w:color w:val="0000FF"/>
        </w:rPr>
        <w:t xml:space="preserve"> </w:t>
      </w:r>
      <w:hyperlink r:id="rId151">
        <w:r>
          <w:rPr>
            <w:rFonts w:ascii="Arial" w:cs="Arial" w:eastAsia="Arial" w:hAnsi="Arial"/>
            <w:sz w:val="14"/>
            <w:szCs w:val="14"/>
            <w:u w:val="single" w:color="auto"/>
            <w:color w:val="0000FF"/>
          </w:rPr>
          <w:t>Stock issued to investors by the Registrant in</w:t>
        </w:r>
      </w:hyperlink>
      <w:r>
        <w:rPr>
          <w:rFonts w:ascii="Arial" w:cs="Arial" w:eastAsia="Arial" w:hAnsi="Arial"/>
          <w:sz w:val="14"/>
          <w:szCs w:val="14"/>
          <w:u w:val="single" w:color="auto"/>
          <w:color w:val="0000FF"/>
        </w:rPr>
        <w:t xml:space="preserve"> </w:t>
      </w:r>
      <w:hyperlink r:id="rId151">
        <w:r>
          <w:rPr>
            <w:rFonts w:ascii="Arial" w:cs="Arial" w:eastAsia="Arial" w:hAnsi="Arial"/>
            <w:sz w:val="14"/>
            <w:szCs w:val="14"/>
            <w:u w:val="single" w:color="auto"/>
            <w:color w:val="0000FF"/>
          </w:rPr>
          <w:t>October 2015.</w:t>
        </w:r>
      </w:hyperlink>
    </w:p>
    <w:p>
      <w:pPr>
        <w:spacing w:after="0" w:line="18" w:lineRule="exact"/>
        <w:rPr>
          <w:rFonts w:ascii="Arial" w:cs="Arial" w:eastAsia="Arial" w:hAnsi="Arial"/>
          <w:sz w:val="14"/>
          <w:szCs w:val="14"/>
          <w:u w:val="single" w:color="auto"/>
          <w:color w:val="0000FF"/>
        </w:rPr>
      </w:pPr>
    </w:p>
    <w:p>
      <w:pPr>
        <w:ind w:left="7"/>
        <w:spacing w:after="0" w:line="229" w:lineRule="auto"/>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Amendment to Convertible Promissory Notes and</w:t>
        </w:r>
      </w:hyperlink>
      <w:r>
        <w:rPr>
          <w:rFonts w:ascii="Arial" w:cs="Arial" w:eastAsia="Arial" w:hAnsi="Arial"/>
          <w:sz w:val="14"/>
          <w:szCs w:val="14"/>
          <w:u w:val="single" w:color="auto"/>
          <w:color w:val="0000FF"/>
        </w:rPr>
        <w:t xml:space="preserve"> </w:t>
      </w:r>
      <w:hyperlink r:id="rId152">
        <w:r>
          <w:rPr>
            <w:rFonts w:ascii="Arial" w:cs="Arial" w:eastAsia="Arial" w:hAnsi="Arial"/>
            <w:sz w:val="14"/>
            <w:szCs w:val="14"/>
            <w:u w:val="single" w:color="auto"/>
            <w:color w:val="0000FF"/>
          </w:rPr>
          <w:t>Warrants, dated January 19, 2016.</w:t>
        </w:r>
      </w:hyperlink>
    </w:p>
    <w:p>
      <w:pPr>
        <w:spacing w:after="0" w:line="17" w:lineRule="exact"/>
        <w:rPr>
          <w:sz w:val="20"/>
          <w:szCs w:val="20"/>
          <w:color w:val="auto"/>
        </w:rPr>
      </w:pPr>
    </w:p>
    <w:p>
      <w:pPr>
        <w:ind w:left="7" w:right="180"/>
        <w:spacing w:after="0" w:line="219" w:lineRule="auto"/>
        <w:rPr>
          <w:rFonts w:ascii="Arial" w:cs="Arial" w:eastAsia="Arial" w:hAnsi="Arial"/>
          <w:sz w:val="14"/>
          <w:szCs w:val="14"/>
          <w:u w:val="single" w:color="auto"/>
          <w:color w:val="0000FF"/>
        </w:rPr>
      </w:pPr>
      <w:hyperlink r:id="rId153">
        <w:r>
          <w:rPr>
            <w:rFonts w:ascii="Arial" w:cs="Arial" w:eastAsia="Arial" w:hAnsi="Arial"/>
            <w:sz w:val="14"/>
            <w:szCs w:val="14"/>
            <w:u w:val="single" w:color="auto"/>
            <w:color w:val="0000FF"/>
          </w:rPr>
          <w:t>Form of Common Stock Purchase Warrant to</w:t>
        </w:r>
      </w:hyperlink>
      <w:r>
        <w:rPr>
          <w:rFonts w:ascii="Arial" w:cs="Arial" w:eastAsia="Arial" w:hAnsi="Arial"/>
          <w:sz w:val="14"/>
          <w:szCs w:val="14"/>
          <w:u w:val="single" w:color="auto"/>
          <w:color w:val="0000FF"/>
        </w:rPr>
        <w:t xml:space="preserve"> </w:t>
      </w:r>
      <w:hyperlink r:id="rId153">
        <w:r>
          <w:rPr>
            <w:rFonts w:ascii="Arial" w:cs="Arial" w:eastAsia="Arial" w:hAnsi="Arial"/>
            <w:sz w:val="14"/>
            <w:szCs w:val="14"/>
            <w:u w:val="single" w:color="auto"/>
            <w:color w:val="0000FF"/>
          </w:rPr>
          <w:t>purchase common stock issued to investors by</w:t>
        </w:r>
      </w:hyperlink>
      <w:r>
        <w:rPr>
          <w:rFonts w:ascii="Arial" w:cs="Arial" w:eastAsia="Arial" w:hAnsi="Arial"/>
          <w:sz w:val="14"/>
          <w:szCs w:val="14"/>
          <w:u w:val="single" w:color="auto"/>
          <w:color w:val="0000FF"/>
        </w:rPr>
        <w:t xml:space="preserve"> </w:t>
      </w:r>
      <w:hyperlink r:id="rId153">
        <w:r>
          <w:rPr>
            <w:rFonts w:ascii="Arial" w:cs="Arial" w:eastAsia="Arial" w:hAnsi="Arial"/>
            <w:sz w:val="14"/>
            <w:szCs w:val="14"/>
            <w:u w:val="single" w:color="auto"/>
            <w:color w:val="0000FF"/>
          </w:rPr>
          <w:t>the Registrant in 2016.</w:t>
        </w:r>
      </w:hyperlink>
    </w:p>
    <w:p>
      <w:pPr>
        <w:spacing w:after="0" w:line="18" w:lineRule="exact"/>
        <w:rPr>
          <w:rFonts w:ascii="Arial" w:cs="Arial" w:eastAsia="Arial" w:hAnsi="Arial"/>
          <w:sz w:val="14"/>
          <w:szCs w:val="14"/>
          <w:u w:val="single" w:color="auto"/>
          <w:color w:val="0000FF"/>
        </w:rPr>
      </w:pPr>
    </w:p>
    <w:p>
      <w:pPr>
        <w:ind w:left="7" w:right="240"/>
        <w:spacing w:after="0" w:line="215" w:lineRule="auto"/>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Form of Warrant to Purchase Stock issued to</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Innovatus Life Sciences Lending Fund I, LP in</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connection with the Registrant's 2018 loan</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agreement.</w:t>
        </w:r>
      </w:hyperlink>
    </w:p>
    <w:p>
      <w:pPr>
        <w:spacing w:after="0" w:line="17" w:lineRule="exact"/>
        <w:rPr>
          <w:rFonts w:ascii="Arial" w:cs="Arial" w:eastAsia="Arial" w:hAnsi="Arial"/>
          <w:sz w:val="14"/>
          <w:szCs w:val="14"/>
          <w:u w:val="single" w:color="auto"/>
          <w:color w:val="0000FF"/>
        </w:rPr>
      </w:pPr>
    </w:p>
    <w:p>
      <w:pPr>
        <w:ind w:left="7" w:right="100"/>
        <w:spacing w:after="0" w:line="219" w:lineRule="auto"/>
        <w:rPr>
          <w:rFonts w:ascii="Arial" w:cs="Arial" w:eastAsia="Arial" w:hAnsi="Arial"/>
          <w:sz w:val="14"/>
          <w:szCs w:val="14"/>
          <w:u w:val="single" w:color="auto"/>
          <w:color w:val="0000FF"/>
        </w:rPr>
      </w:pPr>
      <w:hyperlink r:id="rId155">
        <w:r>
          <w:rPr>
            <w:rFonts w:ascii="Arial" w:cs="Arial" w:eastAsia="Arial" w:hAnsi="Arial"/>
            <w:sz w:val="14"/>
            <w:szCs w:val="14"/>
            <w:u w:val="single" w:color="auto"/>
            <w:color w:val="0000FF"/>
          </w:rPr>
          <w:t>Exagen Corporation 2002 Stock Option Plan, as</w:t>
        </w:r>
      </w:hyperlink>
      <w:r>
        <w:rPr>
          <w:rFonts w:ascii="Arial" w:cs="Arial" w:eastAsia="Arial" w:hAnsi="Arial"/>
          <w:sz w:val="14"/>
          <w:szCs w:val="14"/>
          <w:u w:val="single" w:color="auto"/>
          <w:color w:val="0000FF"/>
        </w:rPr>
        <w:t xml:space="preserve"> </w:t>
      </w:r>
      <w:hyperlink r:id="rId155">
        <w:r>
          <w:rPr>
            <w:rFonts w:ascii="Arial" w:cs="Arial" w:eastAsia="Arial" w:hAnsi="Arial"/>
            <w:sz w:val="14"/>
            <w:szCs w:val="14"/>
            <w:u w:val="single" w:color="auto"/>
            <w:color w:val="0000FF"/>
          </w:rPr>
          <w:t>amended, and form of option agreement</w:t>
        </w:r>
      </w:hyperlink>
      <w:r>
        <w:rPr>
          <w:rFonts w:ascii="Arial" w:cs="Arial" w:eastAsia="Arial" w:hAnsi="Arial"/>
          <w:sz w:val="14"/>
          <w:szCs w:val="14"/>
          <w:u w:val="single" w:color="auto"/>
          <w:color w:val="0000FF"/>
        </w:rPr>
        <w:t xml:space="preserve"> </w:t>
      </w:r>
      <w:hyperlink r:id="rId155">
        <w:r>
          <w:rPr>
            <w:rFonts w:ascii="Arial" w:cs="Arial" w:eastAsia="Arial" w:hAnsi="Arial"/>
            <w:sz w:val="14"/>
            <w:szCs w:val="14"/>
            <w:u w:val="single" w:color="auto"/>
            <w:color w:val="0000FF"/>
          </w:rPr>
          <w:t>thereunder.</w:t>
        </w:r>
      </w:hyperlink>
    </w:p>
    <w:p>
      <w:pPr>
        <w:spacing w:after="0" w:line="18" w:lineRule="exact"/>
        <w:rPr>
          <w:rFonts w:ascii="Arial" w:cs="Arial" w:eastAsia="Arial" w:hAnsi="Arial"/>
          <w:sz w:val="14"/>
          <w:szCs w:val="14"/>
          <w:u w:val="single" w:color="auto"/>
          <w:color w:val="0000FF"/>
        </w:rPr>
      </w:pPr>
    </w:p>
    <w:p>
      <w:pPr>
        <w:ind w:left="7" w:right="40"/>
        <w:spacing w:after="0" w:line="219" w:lineRule="auto"/>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Exagen Diagnostics, Inc. 2013 Stock Option</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Plan, as amended, and form of option agreement</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thereunder.</w:t>
        </w:r>
      </w:hyperlink>
    </w:p>
    <w:p>
      <w:pPr>
        <w:spacing w:after="0" w:line="45" w:lineRule="exact"/>
        <w:rPr>
          <w:rFonts w:ascii="Arial" w:cs="Arial" w:eastAsia="Arial" w:hAnsi="Arial"/>
          <w:sz w:val="14"/>
          <w:szCs w:val="14"/>
          <w:u w:val="single" w:color="auto"/>
          <w:color w:val="0000FF"/>
        </w:rPr>
      </w:pPr>
    </w:p>
    <w:p>
      <w:pPr>
        <w:ind w:left="7"/>
        <w:spacing w:after="0"/>
        <w:rPr>
          <w:rFonts w:ascii="Arial" w:cs="Arial" w:eastAsia="Arial" w:hAnsi="Arial"/>
          <w:sz w:val="14"/>
          <w:szCs w:val="14"/>
          <w:u w:val="single" w:color="auto"/>
          <w:color w:val="0000FF"/>
        </w:rPr>
      </w:pPr>
      <w:hyperlink r:id="rId157">
        <w:r>
          <w:rPr>
            <w:rFonts w:ascii="Arial" w:cs="Arial" w:eastAsia="Arial" w:hAnsi="Arial"/>
            <w:sz w:val="14"/>
            <w:szCs w:val="14"/>
            <w:u w:val="single" w:color="auto"/>
            <w:color w:val="0000FF"/>
          </w:rPr>
          <w:t>Exagen Inc. 2019 Incentive Award Plan.</w:t>
        </w:r>
      </w:hyperlink>
    </w:p>
    <w:p>
      <w:pPr>
        <w:spacing w:after="0" w:line="2" w:lineRule="exact"/>
        <w:rPr>
          <w:rFonts w:ascii="Arial" w:cs="Arial" w:eastAsia="Arial" w:hAnsi="Arial"/>
          <w:sz w:val="14"/>
          <w:szCs w:val="14"/>
          <w:u w:val="single" w:color="auto"/>
          <w:color w:val="0000FF"/>
        </w:rPr>
      </w:pPr>
    </w:p>
    <w:p>
      <w:pPr>
        <w:ind w:left="7"/>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Form of Option Agreement under Exagen Inc.</w:t>
        </w:r>
      </w:hyperlink>
    </w:p>
    <w:p>
      <w:pPr>
        <w:ind w:left="7"/>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2019 Incentive Award Plan.</w:t>
        </w:r>
      </w:hyperlink>
    </w:p>
    <w:p>
      <w:pPr>
        <w:spacing w:after="0" w:line="28" w:lineRule="exact"/>
        <w:rPr>
          <w:rFonts w:ascii="Arial" w:cs="Arial" w:eastAsia="Arial" w:hAnsi="Arial"/>
          <w:sz w:val="14"/>
          <w:szCs w:val="14"/>
          <w:u w:val="single" w:color="auto"/>
          <w:color w:val="0000FF"/>
        </w:rPr>
      </w:pPr>
    </w:p>
    <w:p>
      <w:pPr>
        <w:ind w:left="7" w:right="320"/>
        <w:spacing w:after="0" w:line="229" w:lineRule="auto"/>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Exagen Inc. 2019 Employee Stock Purchase</w:t>
        </w:r>
      </w:hyperlink>
      <w:r>
        <w:rPr>
          <w:rFonts w:ascii="Arial" w:cs="Arial" w:eastAsia="Arial" w:hAnsi="Arial"/>
          <w:sz w:val="14"/>
          <w:szCs w:val="14"/>
          <w:u w:val="single" w:color="auto"/>
          <w:color w:val="0000FF"/>
        </w:rPr>
        <w:t xml:space="preserve"> </w:t>
      </w:r>
      <w:hyperlink r:id="rId159">
        <w:r>
          <w:rPr>
            <w:rFonts w:ascii="Arial" w:cs="Arial" w:eastAsia="Arial" w:hAnsi="Arial"/>
            <w:sz w:val="14"/>
            <w:szCs w:val="14"/>
            <w:u w:val="single" w:color="auto"/>
            <w:color w:val="0000FF"/>
          </w:rPr>
          <w:t>Plan.</w:t>
        </w:r>
      </w:hyperlink>
    </w:p>
    <w:p>
      <w:pPr>
        <w:spacing w:after="0" w:line="17" w:lineRule="exact"/>
        <w:rPr>
          <w:sz w:val="20"/>
          <w:szCs w:val="20"/>
          <w:color w:val="auto"/>
        </w:rPr>
      </w:pPr>
    </w:p>
    <w:p>
      <w:pPr>
        <w:ind w:left="7" w:right="100"/>
        <w:spacing w:after="0" w:line="215" w:lineRule="auto"/>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License Agreement, dated September 13, 2007,</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by and between Prometheus Laboratories Inc.</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and the Registrant (as successor in interest to</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Proprius, Inc.).</w:t>
        </w:r>
      </w:hyperlink>
    </w:p>
    <w:p>
      <w:pPr>
        <w:spacing w:after="0" w:line="17" w:lineRule="exact"/>
        <w:rPr>
          <w:rFonts w:ascii="Arial" w:cs="Arial" w:eastAsia="Arial" w:hAnsi="Arial"/>
          <w:sz w:val="14"/>
          <w:szCs w:val="14"/>
          <w:u w:val="single" w:color="auto"/>
          <w:color w:val="0000FF"/>
        </w:rPr>
      </w:pPr>
    </w:p>
    <w:p>
      <w:pPr>
        <w:ind w:left="7" w:right="140"/>
        <w:spacing w:after="0" w:line="212" w:lineRule="auto"/>
        <w:rPr>
          <w:rFonts w:ascii="Arial" w:cs="Arial" w:eastAsia="Arial" w:hAnsi="Arial"/>
          <w:sz w:val="14"/>
          <w:szCs w:val="14"/>
          <w:u w:val="single" w:color="auto"/>
          <w:color w:val="0000FF"/>
        </w:rPr>
      </w:pPr>
      <w:hyperlink r:id="rId161">
        <w:r>
          <w:rPr>
            <w:rFonts w:ascii="Arial" w:cs="Arial" w:eastAsia="Arial" w:hAnsi="Arial"/>
            <w:sz w:val="14"/>
            <w:szCs w:val="14"/>
            <w:u w:val="single" w:color="auto"/>
            <w:color w:val="0000FF"/>
          </w:rPr>
          <w:t>First Amendment to License Agreement, dated</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October 23, 2013, by and between Prometheus</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Laboratories Inc. and the Registrant (as</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successor in interest to Cypress Bioscience,</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Inc.).</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45"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20" w:type="dxa"/>
            <w:vAlign w:val="bottom"/>
          </w:tcPr>
          <w:p>
            <w:pPr>
              <w:jc w:val="center"/>
              <w:spacing w:after="0"/>
              <w:rPr>
                <w:sz w:val="20"/>
                <w:szCs w:val="20"/>
                <w:color w:val="auto"/>
              </w:rPr>
            </w:pPr>
            <w:r>
              <w:rPr>
                <w:rFonts w:ascii="Arial" w:cs="Arial" w:eastAsia="Arial" w:hAnsi="Arial"/>
                <w:sz w:val="14"/>
                <w:szCs w:val="14"/>
                <w:color w:val="auto"/>
              </w:rPr>
              <w:t>3.1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9/23/2019</w:t>
            </w:r>
          </w:p>
        </w:tc>
      </w:tr>
      <w:tr>
        <w:trPr>
          <w:trHeight w:val="216"/>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20" w:type="dxa"/>
            <w:vAlign w:val="bottom"/>
          </w:tcPr>
          <w:p>
            <w:pPr>
              <w:jc w:val="center"/>
              <w:spacing w:after="0"/>
              <w:rPr>
                <w:sz w:val="20"/>
                <w:szCs w:val="20"/>
                <w:color w:val="auto"/>
              </w:rPr>
            </w:pPr>
            <w:r>
              <w:rPr>
                <w:rFonts w:ascii="Arial" w:cs="Arial" w:eastAsia="Arial" w:hAnsi="Arial"/>
                <w:sz w:val="14"/>
                <w:szCs w:val="14"/>
                <w:color w:val="auto"/>
              </w:rPr>
              <w:t>3.2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9/23/2019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4.4</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99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4.5</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4.6</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4.7</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4.8</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4.9</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216"/>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10.3</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10.4</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10.5</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10.6</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20" w:type="dxa"/>
            <w:vAlign w:val="bottom"/>
          </w:tcPr>
          <w:p>
            <w:pPr>
              <w:jc w:val="center"/>
              <w:spacing w:after="0"/>
              <w:rPr>
                <w:sz w:val="20"/>
                <w:szCs w:val="20"/>
                <w:color w:val="auto"/>
              </w:rPr>
            </w:pPr>
            <w:r>
              <w:rPr>
                <w:rFonts w:ascii="Arial" w:cs="Arial" w:eastAsia="Arial" w:hAnsi="Arial"/>
                <w:sz w:val="14"/>
                <w:szCs w:val="14"/>
                <w:color w:val="auto"/>
              </w:rPr>
              <w:t>10.7</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9/9/2019</w:t>
            </w:r>
          </w:p>
        </w:tc>
      </w:tr>
    </w:tbl>
    <w:p>
      <w:pPr>
        <w:spacing w:after="0" w:line="212" w:lineRule="exact"/>
        <w:rPr>
          <w:rFonts w:ascii="Arial" w:cs="Arial" w:eastAsia="Arial" w:hAnsi="Arial"/>
          <w:sz w:val="14"/>
          <w:szCs w:val="14"/>
          <w:u w:val="single" w:color="auto"/>
          <w:color w:val="0000FF"/>
        </w:rPr>
      </w:pPr>
    </w:p>
    <w:p>
      <w:pPr>
        <w:sectPr>
          <w:pgSz w:w="11900" w:h="16838" w:orient="portrait"/>
          <w:cols w:equalWidth="0" w:num="3">
            <w:col w:w="360" w:space="453"/>
            <w:col w:w="3167" w:space="300"/>
            <w:col w:w="4999"/>
          </w:cols>
          <w:pgMar w:left="1180" w:top="886" w:right="1440" w:bottom="1440" w:gutter="0" w:footer="0" w:header="0"/>
          <w:type w:val="continuous"/>
        </w:sectPr>
      </w:pPr>
    </w:p>
    <w:p>
      <w:pPr>
        <w:spacing w:after="0" w:line="200" w:lineRule="exact"/>
        <w:rPr>
          <w:rFonts w:ascii="Arial" w:cs="Arial" w:eastAsia="Arial" w:hAnsi="Arial"/>
          <w:sz w:val="14"/>
          <w:szCs w:val="14"/>
          <w:u w:val="single" w:color="auto"/>
          <w:color w:val="0000FF"/>
        </w:rPr>
      </w:pPr>
    </w:p>
    <w:p>
      <w:pPr>
        <w:spacing w:after="0" w:line="247" w:lineRule="exact"/>
        <w:rPr>
          <w:rFonts w:ascii="Arial" w:cs="Arial" w:eastAsia="Arial" w:hAnsi="Arial"/>
          <w:sz w:val="14"/>
          <w:szCs w:val="14"/>
          <w:u w:val="single" w:color="auto"/>
          <w:color w:val="0000FF"/>
        </w:rPr>
      </w:pPr>
    </w:p>
    <w:p>
      <w:pPr>
        <w:jc w:val="center"/>
        <w:ind w:right="-260"/>
        <w:spacing w:after="0"/>
        <w:rPr>
          <w:sz w:val="20"/>
          <w:szCs w:val="20"/>
          <w:color w:val="auto"/>
        </w:rPr>
      </w:pPr>
      <w:r>
        <w:rPr>
          <w:rFonts w:ascii="Arial" w:cs="Arial" w:eastAsia="Arial" w:hAnsi="Arial"/>
          <w:sz w:val="15"/>
          <w:szCs w:val="15"/>
          <w:color w:val="auto"/>
        </w:rPr>
        <w:t>117</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-540385</wp:posOffset>
            </wp:positionH>
            <wp:positionV relativeFrom="paragraph">
              <wp:posOffset>105410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79"/>
          </w:cols>
          <w:pgMar w:left="1180" w:top="886" w:right="1440" w:bottom="1440" w:gutter="0" w:footer="0" w:header="0"/>
          <w:type w:val="continuous"/>
        </w:sectPr>
      </w:pPr>
    </w:p>
    <w:bookmarkStart w:id="120" w:name="page121"/>
    <w:bookmarkEnd w:id="120"/>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10.10</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10.11†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10.17†</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10.18†</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10.19†</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10.20†</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10.21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10.22†</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10.23†</w:t>
      </w:r>
    </w:p>
    <w:p>
      <w:pPr>
        <w:spacing w:after="0" w:line="20" w:lineRule="exact"/>
        <w:rPr>
          <w:sz w:val="20"/>
          <w:szCs w:val="20"/>
          <w:color w:val="auto"/>
        </w:rPr>
      </w:pPr>
      <w:r>
        <w:rPr>
          <w:sz w:val="20"/>
          <w:szCs w:val="20"/>
          <w:color w:val="auto"/>
        </w:rPr>
        <w:br w:type="column"/>
      </w:r>
    </w:p>
    <w:p>
      <w:pPr>
        <w:spacing w:after="0" w:line="215" w:lineRule="auto"/>
        <w:rPr>
          <w:rFonts w:ascii="Arial" w:cs="Arial" w:eastAsia="Arial" w:hAnsi="Arial"/>
          <w:sz w:val="14"/>
          <w:szCs w:val="14"/>
          <w:u w:val="single" w:color="auto"/>
          <w:color w:val="0000FF"/>
        </w:rPr>
      </w:pPr>
      <w:hyperlink r:id="rId163">
        <w:r>
          <w:rPr>
            <w:rFonts w:ascii="Arial" w:cs="Arial" w:eastAsia="Arial" w:hAnsi="Arial"/>
            <w:sz w:val="14"/>
            <w:szCs w:val="14"/>
            <w:u w:val="single" w:color="auto"/>
            <w:color w:val="0000FF"/>
          </w:rPr>
          <w:t>Asset Purchase Agreement, dated February 9,</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2009, by and between the Registrant (as</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successor in interest to Cypress Bioscience, Inc.)</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and Cellatope Corporation.</w:t>
        </w:r>
      </w:hyperlink>
    </w:p>
    <w:p>
      <w:pPr>
        <w:spacing w:after="0" w:line="17" w:lineRule="exact"/>
        <w:rPr>
          <w:rFonts w:ascii="Arial" w:cs="Arial" w:eastAsia="Arial" w:hAnsi="Arial"/>
          <w:sz w:val="14"/>
          <w:szCs w:val="14"/>
          <w:u w:val="single" w:color="auto"/>
          <w:color w:val="0000FF"/>
        </w:rPr>
      </w:pPr>
    </w:p>
    <w:p>
      <w:pPr>
        <w:ind w:right="160"/>
        <w:spacing w:after="0" w:line="215" w:lineRule="auto"/>
        <w:rPr>
          <w:rFonts w:ascii="Arial" w:cs="Arial" w:eastAsia="Arial" w:hAnsi="Arial"/>
          <w:sz w:val="14"/>
          <w:szCs w:val="14"/>
          <w:u w:val="single" w:color="auto"/>
          <w:color w:val="0000FF"/>
        </w:rPr>
      </w:pPr>
      <w:hyperlink r:id="rId164">
        <w:r>
          <w:rPr>
            <w:rFonts w:ascii="Arial" w:cs="Arial" w:eastAsia="Arial" w:hAnsi="Arial"/>
            <w:sz w:val="14"/>
            <w:szCs w:val="14"/>
            <w:u w:val="single" w:color="auto"/>
            <w:color w:val="0000FF"/>
          </w:rPr>
          <w:t>Amendment No. One to Asset Purchase</w:t>
        </w:r>
      </w:hyperlink>
      <w:r>
        <w:rPr>
          <w:rFonts w:ascii="Arial" w:cs="Arial" w:eastAsia="Arial" w:hAnsi="Arial"/>
          <w:sz w:val="14"/>
          <w:szCs w:val="14"/>
          <w:u w:val="single" w:color="auto"/>
          <w:color w:val="0000FF"/>
        </w:rPr>
        <w:t xml:space="preserve"> </w:t>
      </w:r>
      <w:hyperlink r:id="rId164">
        <w:r>
          <w:rPr>
            <w:rFonts w:ascii="Arial" w:cs="Arial" w:eastAsia="Arial" w:hAnsi="Arial"/>
            <w:sz w:val="14"/>
            <w:szCs w:val="14"/>
            <w:u w:val="single" w:color="auto"/>
            <w:color w:val="0000FF"/>
          </w:rPr>
          <w:t>Agreement, dated December 14, 2012, by and</w:t>
        </w:r>
      </w:hyperlink>
      <w:r>
        <w:rPr>
          <w:rFonts w:ascii="Arial" w:cs="Arial" w:eastAsia="Arial" w:hAnsi="Arial"/>
          <w:sz w:val="14"/>
          <w:szCs w:val="14"/>
          <w:u w:val="single" w:color="auto"/>
          <w:color w:val="0000FF"/>
        </w:rPr>
        <w:t xml:space="preserve"> </w:t>
      </w:r>
      <w:hyperlink r:id="rId164">
        <w:r>
          <w:rPr>
            <w:rFonts w:ascii="Arial" w:cs="Arial" w:eastAsia="Arial" w:hAnsi="Arial"/>
            <w:sz w:val="14"/>
            <w:szCs w:val="14"/>
            <w:u w:val="single" w:color="auto"/>
            <w:color w:val="0000FF"/>
          </w:rPr>
          <w:t>between the Registrant and Cellatope</w:t>
        </w:r>
      </w:hyperlink>
      <w:r>
        <w:rPr>
          <w:rFonts w:ascii="Arial" w:cs="Arial" w:eastAsia="Arial" w:hAnsi="Arial"/>
          <w:sz w:val="14"/>
          <w:szCs w:val="14"/>
          <w:u w:val="single" w:color="auto"/>
          <w:color w:val="0000FF"/>
        </w:rPr>
        <w:t xml:space="preserve"> </w:t>
      </w:r>
      <w:hyperlink r:id="rId164">
        <w:r>
          <w:rPr>
            <w:rFonts w:ascii="Arial" w:cs="Arial" w:eastAsia="Arial" w:hAnsi="Arial"/>
            <w:sz w:val="14"/>
            <w:szCs w:val="14"/>
            <w:u w:val="single" w:color="auto"/>
            <w:color w:val="0000FF"/>
          </w:rPr>
          <w:t>Corporation.</w:t>
        </w:r>
      </w:hyperlink>
    </w:p>
    <w:p>
      <w:pPr>
        <w:spacing w:after="0" w:line="17" w:lineRule="exact"/>
        <w:rPr>
          <w:rFonts w:ascii="Arial" w:cs="Arial" w:eastAsia="Arial" w:hAnsi="Arial"/>
          <w:sz w:val="14"/>
          <w:szCs w:val="14"/>
          <w:u w:val="single" w:color="auto"/>
          <w:color w:val="0000FF"/>
        </w:rPr>
      </w:pPr>
    </w:p>
    <w:p>
      <w:pPr>
        <w:ind w:right="320"/>
        <w:spacing w:after="0" w:line="215" w:lineRule="auto"/>
        <w:rPr>
          <w:rFonts w:ascii="Arial" w:cs="Arial" w:eastAsia="Arial" w:hAnsi="Arial"/>
          <w:sz w:val="14"/>
          <w:szCs w:val="14"/>
          <w:u w:val="single" w:color="auto"/>
          <w:color w:val="0000FF"/>
        </w:rPr>
      </w:pPr>
      <w:hyperlink r:id="rId165">
        <w:r>
          <w:rPr>
            <w:rFonts w:ascii="Arial" w:cs="Arial" w:eastAsia="Arial" w:hAnsi="Arial"/>
            <w:sz w:val="14"/>
            <w:szCs w:val="14"/>
            <w:u w:val="single" w:color="auto"/>
            <w:color w:val="0000FF"/>
          </w:rPr>
          <w:t>Amendment No. Two to Asset Purchase</w:t>
        </w:r>
      </w:hyperlink>
      <w:r>
        <w:rPr>
          <w:rFonts w:ascii="Arial" w:cs="Arial" w:eastAsia="Arial" w:hAnsi="Arial"/>
          <w:sz w:val="14"/>
          <w:szCs w:val="14"/>
          <w:u w:val="single" w:color="auto"/>
          <w:color w:val="0000FF"/>
        </w:rPr>
        <w:t xml:space="preserve"> </w:t>
      </w:r>
      <w:hyperlink r:id="rId165">
        <w:r>
          <w:rPr>
            <w:rFonts w:ascii="Arial" w:cs="Arial" w:eastAsia="Arial" w:hAnsi="Arial"/>
            <w:sz w:val="14"/>
            <w:szCs w:val="14"/>
            <w:u w:val="single" w:color="auto"/>
            <w:color w:val="0000FF"/>
          </w:rPr>
          <w:t>Agreement, dated January 11, 2017, by and</w:t>
        </w:r>
      </w:hyperlink>
      <w:r>
        <w:rPr>
          <w:rFonts w:ascii="Arial" w:cs="Arial" w:eastAsia="Arial" w:hAnsi="Arial"/>
          <w:sz w:val="14"/>
          <w:szCs w:val="14"/>
          <w:u w:val="single" w:color="auto"/>
          <w:color w:val="0000FF"/>
        </w:rPr>
        <w:t xml:space="preserve"> </w:t>
      </w:r>
      <w:hyperlink r:id="rId165">
        <w:r>
          <w:rPr>
            <w:rFonts w:ascii="Arial" w:cs="Arial" w:eastAsia="Arial" w:hAnsi="Arial"/>
            <w:sz w:val="14"/>
            <w:szCs w:val="14"/>
            <w:u w:val="single" w:color="auto"/>
            <w:color w:val="0000FF"/>
          </w:rPr>
          <w:t>between the Registrant and Cellatope</w:t>
        </w:r>
      </w:hyperlink>
      <w:r>
        <w:rPr>
          <w:rFonts w:ascii="Arial" w:cs="Arial" w:eastAsia="Arial" w:hAnsi="Arial"/>
          <w:sz w:val="14"/>
          <w:szCs w:val="14"/>
          <w:u w:val="single" w:color="auto"/>
          <w:color w:val="0000FF"/>
        </w:rPr>
        <w:t xml:space="preserve"> </w:t>
      </w:r>
      <w:hyperlink r:id="rId165">
        <w:r>
          <w:rPr>
            <w:rFonts w:ascii="Arial" w:cs="Arial" w:eastAsia="Arial" w:hAnsi="Arial"/>
            <w:sz w:val="14"/>
            <w:szCs w:val="14"/>
            <w:u w:val="single" w:color="auto"/>
            <w:color w:val="0000FF"/>
          </w:rPr>
          <w:t>Corporation.</w:t>
        </w:r>
      </w:hyperlink>
    </w:p>
    <w:p>
      <w:pPr>
        <w:spacing w:after="0" w:line="17" w:lineRule="exact"/>
        <w:rPr>
          <w:rFonts w:ascii="Arial" w:cs="Arial" w:eastAsia="Arial" w:hAnsi="Arial"/>
          <w:sz w:val="14"/>
          <w:szCs w:val="14"/>
          <w:u w:val="single" w:color="auto"/>
          <w:color w:val="0000FF"/>
        </w:rPr>
      </w:pPr>
    </w:p>
    <w:p>
      <w:pPr>
        <w:ind w:right="60"/>
        <w:spacing w:after="0" w:line="219" w:lineRule="auto"/>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Asset Purchase Agreement, dated October 8,</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2010, by and between Cypress Bioscience, Inc.,</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Proprius, Inc. and the Registrant.</w:t>
        </w:r>
      </w:hyperlink>
    </w:p>
    <w:p>
      <w:pPr>
        <w:spacing w:after="0" w:line="18" w:lineRule="exact"/>
        <w:rPr>
          <w:rFonts w:ascii="Arial" w:cs="Arial" w:eastAsia="Arial" w:hAnsi="Arial"/>
          <w:sz w:val="14"/>
          <w:szCs w:val="14"/>
          <w:u w:val="single" w:color="auto"/>
          <w:color w:val="0000FF"/>
        </w:rPr>
      </w:pPr>
    </w:p>
    <w:p>
      <w:pPr>
        <w:ind w:right="40"/>
        <w:spacing w:after="0" w:line="215" w:lineRule="auto"/>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Amendment No. One to Asset Purchase</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Agreement, dated March 10, 2011, by and</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between Cypress Bioscience, Inc., Proprius, Inc.</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and the Registrant.</w:t>
        </w:r>
      </w:hyperlink>
    </w:p>
    <w:p>
      <w:pPr>
        <w:spacing w:after="0" w:line="17" w:lineRule="exact"/>
        <w:rPr>
          <w:rFonts w:ascii="Arial" w:cs="Arial" w:eastAsia="Arial" w:hAnsi="Arial"/>
          <w:sz w:val="14"/>
          <w:szCs w:val="14"/>
          <w:u w:val="single" w:color="auto"/>
          <w:color w:val="0000FF"/>
        </w:rPr>
      </w:pPr>
    </w:p>
    <w:p>
      <w:pPr>
        <w:ind w:right="380"/>
        <w:spacing w:after="0" w:line="215" w:lineRule="auto"/>
        <w:rPr>
          <w:rFonts w:ascii="Arial" w:cs="Arial" w:eastAsia="Arial" w:hAnsi="Arial"/>
          <w:sz w:val="14"/>
          <w:szCs w:val="14"/>
          <w:u w:val="single" w:color="auto"/>
          <w:color w:val="0000FF"/>
        </w:rPr>
      </w:pPr>
      <w:hyperlink r:id="rId168">
        <w:r>
          <w:rPr>
            <w:rFonts w:ascii="Arial" w:cs="Arial" w:eastAsia="Arial" w:hAnsi="Arial"/>
            <w:sz w:val="14"/>
            <w:szCs w:val="14"/>
            <w:u w:val="single" w:color="auto"/>
            <w:color w:val="0000FF"/>
          </w:rPr>
          <w:t>Amendment No. Two to Asset Purchase</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Agreement, dated August 21, 2012, by and</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between Royalty Pharma Collection Trust,</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Proprius, Inc. and the Registrant.</w:t>
        </w:r>
      </w:hyperlink>
    </w:p>
    <w:p>
      <w:pPr>
        <w:spacing w:after="0" w:line="17" w:lineRule="exact"/>
        <w:rPr>
          <w:rFonts w:ascii="Arial" w:cs="Arial" w:eastAsia="Arial" w:hAnsi="Arial"/>
          <w:sz w:val="14"/>
          <w:szCs w:val="14"/>
          <w:u w:val="single" w:color="auto"/>
          <w:color w:val="0000FF"/>
        </w:rPr>
      </w:pPr>
    </w:p>
    <w:p>
      <w:pPr>
        <w:ind w:right="340"/>
        <w:spacing w:after="0" w:line="215" w:lineRule="auto"/>
        <w:rPr>
          <w:rFonts w:ascii="Arial" w:cs="Arial" w:eastAsia="Arial" w:hAnsi="Arial"/>
          <w:sz w:val="14"/>
          <w:szCs w:val="14"/>
          <w:u w:val="single" w:color="auto"/>
          <w:color w:val="0000FF"/>
        </w:rPr>
      </w:pPr>
      <w:hyperlink r:id="rId169">
        <w:r>
          <w:rPr>
            <w:rFonts w:ascii="Arial" w:cs="Arial" w:eastAsia="Arial" w:hAnsi="Arial"/>
            <w:sz w:val="14"/>
            <w:szCs w:val="14"/>
            <w:u w:val="single" w:color="auto"/>
            <w:color w:val="0000FF"/>
          </w:rPr>
          <w:t>Amendment No. Three to Asset Purchase</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Agreement, dated February 6, 2013, by and</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between Royalty Pharma Collection Trust,</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Proprius, Inc. and the Registrant.</w:t>
        </w:r>
      </w:hyperlink>
    </w:p>
    <w:p>
      <w:pPr>
        <w:spacing w:after="0" w:line="17" w:lineRule="exact"/>
        <w:rPr>
          <w:rFonts w:ascii="Arial" w:cs="Arial" w:eastAsia="Arial" w:hAnsi="Arial"/>
          <w:sz w:val="14"/>
          <w:szCs w:val="14"/>
          <w:u w:val="single" w:color="auto"/>
          <w:color w:val="0000FF"/>
        </w:rPr>
      </w:pPr>
    </w:p>
    <w:p>
      <w:pPr>
        <w:ind w:right="400"/>
        <w:spacing w:after="0" w:line="215" w:lineRule="auto"/>
        <w:rPr>
          <w:rFonts w:ascii="Arial" w:cs="Arial" w:eastAsia="Arial" w:hAnsi="Arial"/>
          <w:sz w:val="14"/>
          <w:szCs w:val="14"/>
          <w:u w:val="single" w:color="auto"/>
          <w:color w:val="0000FF"/>
        </w:rPr>
      </w:pPr>
      <w:hyperlink r:id="rId170">
        <w:r>
          <w:rPr>
            <w:rFonts w:ascii="Arial" w:cs="Arial" w:eastAsia="Arial" w:hAnsi="Arial"/>
            <w:sz w:val="14"/>
            <w:szCs w:val="14"/>
            <w:u w:val="single" w:color="auto"/>
            <w:color w:val="0000FF"/>
          </w:rPr>
          <w:t>Amendment No. Four to Asset Purchase</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Agreement, dated October 8, 2013, by and</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between Royalty Pharma Collection Trust,</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Proprius, Inc. and the Registrant.</w:t>
        </w:r>
      </w:hyperlink>
    </w:p>
    <w:p>
      <w:pPr>
        <w:spacing w:after="0" w:line="17" w:lineRule="exact"/>
        <w:rPr>
          <w:rFonts w:ascii="Arial" w:cs="Arial" w:eastAsia="Arial" w:hAnsi="Arial"/>
          <w:sz w:val="14"/>
          <w:szCs w:val="14"/>
          <w:u w:val="single" w:color="auto"/>
          <w:color w:val="0000FF"/>
        </w:rPr>
      </w:pPr>
    </w:p>
    <w:p>
      <w:pPr>
        <w:ind w:right="320"/>
        <w:spacing w:after="0" w:line="215" w:lineRule="auto"/>
        <w:rPr>
          <w:rFonts w:ascii="Arial" w:cs="Arial" w:eastAsia="Arial" w:hAnsi="Arial"/>
          <w:sz w:val="14"/>
          <w:szCs w:val="14"/>
          <w:u w:val="single" w:color="auto"/>
          <w:color w:val="0000FF"/>
        </w:rPr>
      </w:pPr>
      <w:hyperlink r:id="rId171">
        <w:r>
          <w:rPr>
            <w:rFonts w:ascii="Arial" w:cs="Arial" w:eastAsia="Arial" w:hAnsi="Arial"/>
            <w:sz w:val="14"/>
            <w:szCs w:val="14"/>
            <w:u w:val="single" w:color="auto"/>
            <w:color w:val="0000FF"/>
          </w:rPr>
          <w:t>Amendment No. Five to Asset Purchase</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Agreement, dated January 26, 2016, by and</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between Royalty Pharma Collection Trust,</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Proprius, Inc. and the Registrant.</w:t>
        </w:r>
      </w:hyperlink>
    </w:p>
    <w:p>
      <w:pPr>
        <w:spacing w:after="0" w:line="17" w:lineRule="exact"/>
        <w:rPr>
          <w:rFonts w:ascii="Arial" w:cs="Arial" w:eastAsia="Arial" w:hAnsi="Arial"/>
          <w:sz w:val="14"/>
          <w:szCs w:val="14"/>
          <w:u w:val="single" w:color="auto"/>
          <w:color w:val="0000FF"/>
        </w:rPr>
      </w:pPr>
    </w:p>
    <w:p>
      <w:pPr>
        <w:ind w:right="260"/>
        <w:spacing w:after="0" w:line="215" w:lineRule="auto"/>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Amendment No. Six to Asset Purchase</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Agreement, dated February 16, 2017, by and</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between Royalty Pharma Collection Trust,</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Proprius, Inc. and the Registrant.</w:t>
        </w:r>
      </w:hyperlink>
    </w:p>
    <w:p>
      <w:pPr>
        <w:spacing w:after="0" w:line="17" w:lineRule="exact"/>
        <w:rPr>
          <w:rFonts w:ascii="Arial" w:cs="Arial" w:eastAsia="Arial" w:hAnsi="Arial"/>
          <w:sz w:val="14"/>
          <w:szCs w:val="14"/>
          <w:u w:val="single" w:color="auto"/>
          <w:color w:val="0000FF"/>
        </w:rPr>
      </w:pPr>
    </w:p>
    <w:p>
      <w:pPr>
        <w:ind w:right="20"/>
        <w:spacing w:after="0" w:line="212" w:lineRule="auto"/>
        <w:rPr>
          <w:rFonts w:ascii="Arial" w:cs="Arial" w:eastAsia="Arial" w:hAnsi="Arial"/>
          <w:sz w:val="14"/>
          <w:szCs w:val="14"/>
          <w:u w:val="single" w:color="auto"/>
          <w:color w:val="0000FF"/>
        </w:rPr>
      </w:pPr>
      <w:hyperlink r:id="rId173">
        <w:r>
          <w:rPr>
            <w:rFonts w:ascii="Arial" w:cs="Arial" w:eastAsia="Arial" w:hAnsi="Arial"/>
            <w:sz w:val="14"/>
            <w:szCs w:val="14"/>
            <w:u w:val="single" w:color="auto"/>
            <w:color w:val="0000FF"/>
          </w:rPr>
          <w:t>Amended and Restated Exclusive License</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Agreement, dated August 2, 2011, by and</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between the University of Pittsburgh—Of the</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Commonwealth System of Higher Education and</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the Registrant.</w:t>
        </w:r>
      </w:hyperlink>
    </w:p>
    <w:p>
      <w:pPr>
        <w:spacing w:after="0" w:line="18" w:lineRule="exact"/>
        <w:rPr>
          <w:rFonts w:ascii="Arial" w:cs="Arial" w:eastAsia="Arial" w:hAnsi="Arial"/>
          <w:sz w:val="14"/>
          <w:szCs w:val="14"/>
          <w:u w:val="single" w:color="auto"/>
          <w:color w:val="0000FF"/>
        </w:rPr>
      </w:pPr>
    </w:p>
    <w:p>
      <w:pPr>
        <w:ind w:right="220"/>
        <w:spacing w:after="0" w:line="212" w:lineRule="auto"/>
        <w:rPr>
          <w:rFonts w:ascii="Arial" w:cs="Arial" w:eastAsia="Arial" w:hAnsi="Arial"/>
          <w:sz w:val="14"/>
          <w:szCs w:val="14"/>
          <w:u w:val="single" w:color="auto"/>
          <w:color w:val="0000FF"/>
        </w:rPr>
      </w:pPr>
      <w:hyperlink r:id="rId174">
        <w:r>
          <w:rPr>
            <w:rFonts w:ascii="Arial" w:cs="Arial" w:eastAsia="Arial" w:hAnsi="Arial"/>
            <w:sz w:val="14"/>
            <w:szCs w:val="14"/>
            <w:u w:val="single" w:color="auto"/>
            <w:color w:val="0000FF"/>
          </w:rPr>
          <w:t>First Amendment to Amended and Restated</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Exclusive License Agreement, dated May 17,</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2012, by and between the University of</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Pittsburgh—Of the Commonwealth System of</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Higher Education and the Registrant.</w:t>
        </w:r>
      </w:hyperlink>
    </w:p>
    <w:p>
      <w:pPr>
        <w:spacing w:after="0" w:line="18" w:lineRule="exact"/>
        <w:rPr>
          <w:rFonts w:ascii="Arial" w:cs="Arial" w:eastAsia="Arial" w:hAnsi="Arial"/>
          <w:sz w:val="14"/>
          <w:szCs w:val="14"/>
          <w:u w:val="single" w:color="auto"/>
          <w:color w:val="0000FF"/>
        </w:rPr>
      </w:pPr>
    </w:p>
    <w:p>
      <w:pPr>
        <w:ind w:right="60"/>
        <w:spacing w:after="0" w:line="212" w:lineRule="auto"/>
        <w:rPr>
          <w:rFonts w:ascii="Arial" w:cs="Arial" w:eastAsia="Arial" w:hAnsi="Arial"/>
          <w:sz w:val="14"/>
          <w:szCs w:val="14"/>
          <w:u w:val="single" w:color="auto"/>
          <w:color w:val="0000FF"/>
        </w:rPr>
      </w:pPr>
      <w:hyperlink r:id="rId175">
        <w:r>
          <w:rPr>
            <w:rFonts w:ascii="Arial" w:cs="Arial" w:eastAsia="Arial" w:hAnsi="Arial"/>
            <w:sz w:val="14"/>
            <w:szCs w:val="14"/>
            <w:u w:val="single" w:color="auto"/>
            <w:color w:val="0000FF"/>
          </w:rPr>
          <w:t>Second Amendment to Amended and Restated</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30, 2013, by and between the University of</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Pittsburgh—Of the Commonwealth System of</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Higher Education and the Registrant.</w:t>
        </w:r>
      </w:hyperlink>
    </w:p>
    <w:p>
      <w:pPr>
        <w:spacing w:after="0" w:line="18" w:lineRule="exact"/>
        <w:rPr>
          <w:rFonts w:ascii="Arial" w:cs="Arial" w:eastAsia="Arial" w:hAnsi="Arial"/>
          <w:sz w:val="14"/>
          <w:szCs w:val="14"/>
          <w:u w:val="single" w:color="auto"/>
          <w:color w:val="0000FF"/>
        </w:rPr>
      </w:pPr>
    </w:p>
    <w:p>
      <w:pPr>
        <w:ind w:right="200"/>
        <w:spacing w:after="0" w:line="212" w:lineRule="auto"/>
        <w:rPr>
          <w:rFonts w:ascii="Arial" w:cs="Arial" w:eastAsia="Arial" w:hAnsi="Arial"/>
          <w:sz w:val="14"/>
          <w:szCs w:val="14"/>
          <w:u w:val="single" w:color="auto"/>
          <w:color w:val="0000FF"/>
        </w:rPr>
      </w:pPr>
      <w:hyperlink r:id="rId176">
        <w:r>
          <w:rPr>
            <w:rFonts w:ascii="Arial" w:cs="Arial" w:eastAsia="Arial" w:hAnsi="Arial"/>
            <w:sz w:val="14"/>
            <w:szCs w:val="14"/>
            <w:u w:val="single" w:color="auto"/>
            <w:color w:val="0000FF"/>
          </w:rPr>
          <w:t>Third Amendment to Amended and Restated</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Exclusive License Agreement, dated June 24,</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2016, by and between the University of</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Pittsburgh—Of the Commonwealth System of</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Higher Education and the Registrant.</w:t>
        </w:r>
      </w:hyperlink>
    </w:p>
    <w:p>
      <w:pPr>
        <w:spacing w:after="0" w:line="18" w:lineRule="exact"/>
        <w:rPr>
          <w:rFonts w:ascii="Arial" w:cs="Arial" w:eastAsia="Arial" w:hAnsi="Arial"/>
          <w:sz w:val="14"/>
          <w:szCs w:val="14"/>
          <w:u w:val="single" w:color="auto"/>
          <w:color w:val="0000FF"/>
        </w:rPr>
      </w:pPr>
    </w:p>
    <w:p>
      <w:pPr>
        <w:ind w:right="60"/>
        <w:spacing w:after="0" w:line="215" w:lineRule="auto"/>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30, 2013, by and between the University of</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Pittsburgh—Of the Commonwealth System of</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Higher Education and the Registrant.</w:t>
        </w:r>
      </w:hyperlink>
    </w:p>
    <w:p>
      <w:pPr>
        <w:spacing w:after="0" w:line="17" w:lineRule="exact"/>
        <w:rPr>
          <w:rFonts w:ascii="Arial" w:cs="Arial" w:eastAsia="Arial" w:hAnsi="Arial"/>
          <w:sz w:val="14"/>
          <w:szCs w:val="14"/>
          <w:u w:val="single" w:color="auto"/>
          <w:color w:val="0000FF"/>
        </w:rPr>
      </w:pPr>
    </w:p>
    <w:p>
      <w:pPr>
        <w:jc w:val="both"/>
        <w:ind w:right="20"/>
        <w:spacing w:after="0" w:line="219" w:lineRule="auto"/>
        <w:rPr>
          <w:rFonts w:ascii="Arial" w:cs="Arial" w:eastAsia="Arial" w:hAnsi="Arial"/>
          <w:sz w:val="14"/>
          <w:szCs w:val="14"/>
          <w:u w:val="single" w:color="auto"/>
          <w:color w:val="0000FF"/>
        </w:rPr>
      </w:pPr>
      <w:hyperlink r:id="rId178">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5, 2011, by and between Thierry Dervieux, Ph.D.</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and the Registrant.</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372"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10.8</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10.9</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10.10</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10.11</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10.12</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10.13</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10.14</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10.15</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10.16</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10.17</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10.18</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10.19</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10.20</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10.21</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10.22</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10.23</w:t>
            </w:r>
          </w:p>
        </w:tc>
        <w:tc>
          <w:tcPr>
            <w:tcW w:w="820" w:type="dxa"/>
            <w:vAlign w:val="bottom"/>
          </w:tcPr>
          <w:p>
            <w:pPr>
              <w:jc w:val="right"/>
              <w:spacing w:after="0"/>
              <w:rPr>
                <w:sz w:val="20"/>
                <w:szCs w:val="20"/>
                <w:color w:val="auto"/>
              </w:rPr>
            </w:pPr>
            <w:r>
              <w:rPr>
                <w:rFonts w:ascii="Arial" w:cs="Arial" w:eastAsia="Arial" w:hAnsi="Arial"/>
                <w:sz w:val="14"/>
                <w:szCs w:val="14"/>
                <w:color w:val="auto"/>
              </w:rPr>
              <w:t>9/9/2019</w:t>
            </w:r>
          </w:p>
        </w:tc>
      </w:tr>
    </w:tbl>
    <w:p>
      <w:pPr>
        <w:spacing w:after="0" w:line="211" w:lineRule="exact"/>
        <w:rPr>
          <w:rFonts w:ascii="Arial" w:cs="Arial" w:eastAsia="Arial" w:hAnsi="Arial"/>
          <w:sz w:val="14"/>
          <w:szCs w:val="14"/>
          <w:u w:val="single" w:color="auto"/>
          <w:color w:val="0000FF"/>
        </w:rPr>
      </w:pPr>
    </w:p>
    <w:p>
      <w:pPr>
        <w:sectPr>
          <w:pgSz w:w="11900" w:h="16838" w:orient="portrait"/>
          <w:cols w:equalWidth="0" w:num="3">
            <w:col w:w="440" w:space="380"/>
            <w:col w:w="3120" w:space="340"/>
            <w:col w:w="4999"/>
          </w:cols>
          <w:pgMar w:left="1180" w:top="954" w:right="1440" w:bottom="1440" w:gutter="0" w:footer="0" w:header="0"/>
        </w:sectPr>
      </w:pPr>
    </w:p>
    <w:p>
      <w:pPr>
        <w:spacing w:after="0" w:line="200" w:lineRule="exact"/>
        <w:rPr>
          <w:rFonts w:ascii="Arial" w:cs="Arial" w:eastAsia="Arial" w:hAnsi="Arial"/>
          <w:sz w:val="14"/>
          <w:szCs w:val="14"/>
          <w:u w:val="single" w:color="auto"/>
          <w:color w:val="0000FF"/>
        </w:rPr>
      </w:pPr>
    </w:p>
    <w:p>
      <w:pPr>
        <w:spacing w:after="0" w:line="247" w:lineRule="exact"/>
        <w:rPr>
          <w:rFonts w:ascii="Arial" w:cs="Arial" w:eastAsia="Arial" w:hAnsi="Arial"/>
          <w:sz w:val="14"/>
          <w:szCs w:val="14"/>
          <w:u w:val="single" w:color="auto"/>
          <w:color w:val="0000FF"/>
        </w:rPr>
      </w:pPr>
    </w:p>
    <w:p>
      <w:pPr>
        <w:jc w:val="center"/>
        <w:ind w:right="-260"/>
        <w:spacing w:after="0"/>
        <w:rPr>
          <w:sz w:val="20"/>
          <w:szCs w:val="20"/>
          <w:color w:val="auto"/>
        </w:rPr>
      </w:pPr>
      <w:r>
        <w:rPr>
          <w:rFonts w:ascii="Arial" w:cs="Arial" w:eastAsia="Arial" w:hAnsi="Arial"/>
          <w:sz w:val="15"/>
          <w:szCs w:val="15"/>
          <w:color w:val="auto"/>
        </w:rPr>
        <w:t>118</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-540385</wp:posOffset>
            </wp:positionH>
            <wp:positionV relativeFrom="paragraph">
              <wp:posOffset>105410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79"/>
          </w:cols>
          <w:pgMar w:left="1180" w:top="954" w:right="1440"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020" w:type="dxa"/>
            <w:vAlign w:val="bottom"/>
            <w:tcBorders>
              <w:bottom w:val="single" w:sz="8" w:color="0000FF"/>
            </w:tcBorders>
            <w:gridSpan w:val="36"/>
          </w:tcPr>
          <w:p>
            <w:pPr>
              <w:spacing w:after="0"/>
              <w:rPr>
                <w:rFonts w:ascii="Arial" w:cs="Arial" w:eastAsia="Arial" w:hAnsi="Arial"/>
                <w:sz w:val="14"/>
                <w:szCs w:val="14"/>
                <w:color w:val="0000FF"/>
              </w:rPr>
            </w:pPr>
            <w:hyperlink r:id="rId180">
              <w:r>
                <w:rPr>
                  <w:rFonts w:ascii="Arial" w:cs="Arial" w:eastAsia="Arial" w:hAnsi="Arial"/>
                  <w:sz w:val="14"/>
                  <w:szCs w:val="14"/>
                  <w:color w:val="0000FF"/>
                </w:rPr>
                <w:t>Co-Promotion Agreement, dated December 10,</w:t>
              </w:r>
            </w:hyperlink>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10.24†</w:t>
            </w:r>
          </w:p>
        </w:tc>
        <w:tc>
          <w:tcPr>
            <w:tcW w:w="3240" w:type="dxa"/>
            <w:vAlign w:val="bottom"/>
            <w:gridSpan w:val="47"/>
          </w:tcPr>
          <w:p>
            <w:pPr>
              <w:spacing w:after="0" w:line="115" w:lineRule="exact"/>
              <w:rPr>
                <w:rFonts w:ascii="Arial" w:cs="Arial" w:eastAsia="Arial" w:hAnsi="Arial"/>
                <w:sz w:val="13"/>
                <w:szCs w:val="13"/>
                <w:color w:val="0000FF"/>
              </w:rPr>
            </w:pPr>
            <w:hyperlink r:id="rId180">
              <w:r>
                <w:rPr>
                  <w:rFonts w:ascii="Arial" w:cs="Arial" w:eastAsia="Arial" w:hAnsi="Arial"/>
                  <w:sz w:val="13"/>
                  <w:szCs w:val="13"/>
                  <w:color w:val="0000FF"/>
                </w:rPr>
                <w:t>2018, by and between Janssen Biotech, Inc. and</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60" w:type="dxa"/>
            <w:vAlign w:val="bottom"/>
            <w:tcBorders>
              <w:top w:val="single" w:sz="8" w:color="0000FF"/>
            </w:tcBorders>
            <w:gridSpan w:val="43"/>
          </w:tcPr>
          <w:p>
            <w:pPr>
              <w:spacing w:after="0" w:line="115" w:lineRule="exact"/>
              <w:rPr>
                <w:rFonts w:ascii="Arial" w:cs="Arial" w:eastAsia="Arial" w:hAnsi="Arial"/>
                <w:sz w:val="13"/>
                <w:szCs w:val="13"/>
                <w:color w:val="0000FF"/>
              </w:rPr>
            </w:pPr>
            <w:hyperlink r:id="rId180">
              <w:r>
                <w:rPr>
                  <w:rFonts w:ascii="Arial" w:cs="Arial" w:eastAsia="Arial" w:hAnsi="Arial"/>
                  <w:sz w:val="13"/>
                  <w:szCs w:val="13"/>
                  <w:color w:val="0000FF"/>
                </w:rPr>
                <w:t>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60" w:type="dxa"/>
            <w:vAlign w:val="bottom"/>
            <w:tcBorders>
              <w:bottom w:val="single" w:sz="8" w:color="0000FF"/>
            </w:tcBorders>
            <w:gridSpan w:val="27"/>
          </w:tcPr>
          <w:p>
            <w:pPr>
              <w:spacing w:after="0"/>
              <w:rPr>
                <w:rFonts w:ascii="Arial" w:cs="Arial" w:eastAsia="Arial" w:hAnsi="Arial"/>
                <w:sz w:val="14"/>
                <w:szCs w:val="14"/>
                <w:color w:val="0000FF"/>
              </w:rPr>
            </w:pPr>
            <w:hyperlink r:id="rId181">
              <w:r>
                <w:rPr>
                  <w:rFonts w:ascii="Arial" w:cs="Arial" w:eastAsia="Arial" w:hAnsi="Arial"/>
                  <w:sz w:val="14"/>
                  <w:szCs w:val="14"/>
                  <w:color w:val="0000FF"/>
                </w:rPr>
                <w:t>Standard Industrial/Commercial Multi-Tenant</w:t>
              </w:r>
            </w:hyperlink>
          </w:p>
        </w:tc>
        <w:tc>
          <w:tcPr>
            <w:tcW w:w="38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10.25</w:t>
            </w:r>
          </w:p>
        </w:tc>
        <w:tc>
          <w:tcPr>
            <w:tcW w:w="3240" w:type="dxa"/>
            <w:vAlign w:val="bottom"/>
            <w:gridSpan w:val="47"/>
          </w:tcPr>
          <w:p>
            <w:pPr>
              <w:spacing w:after="0" w:line="115" w:lineRule="exact"/>
              <w:rPr>
                <w:rFonts w:ascii="Arial" w:cs="Arial" w:eastAsia="Arial" w:hAnsi="Arial"/>
                <w:sz w:val="13"/>
                <w:szCs w:val="13"/>
                <w:color w:val="0000FF"/>
              </w:rPr>
            </w:pPr>
            <w:hyperlink r:id="rId181">
              <w:r>
                <w:rPr>
                  <w:rFonts w:ascii="Arial" w:cs="Arial" w:eastAsia="Arial" w:hAnsi="Arial"/>
                  <w:sz w:val="13"/>
                  <w:szCs w:val="13"/>
                  <w:color w:val="0000FF"/>
                </w:rPr>
                <w:t>Lease, dated January 13, 2012, by and between</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26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r:id="rId181">
              <w:r>
                <w:rPr>
                  <w:rFonts w:ascii="Arial" w:cs="Arial" w:eastAsia="Arial" w:hAnsi="Arial"/>
                  <w:sz w:val="13"/>
                  <w:szCs w:val="13"/>
                  <w:color w:val="0000FF"/>
                </w:rPr>
                <w:t>RGS Properties and the Registrant.</w:t>
              </w:r>
            </w:hyperlink>
          </w:p>
        </w:tc>
        <w:tc>
          <w:tcPr>
            <w:tcW w:w="8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r:id="rId182">
              <w:r>
                <w:rPr>
                  <w:rFonts w:ascii="Arial" w:cs="Arial" w:eastAsia="Arial" w:hAnsi="Arial"/>
                  <w:sz w:val="14"/>
                  <w:szCs w:val="14"/>
                  <w:color w:val="0000FF"/>
                </w:rPr>
                <w:t>First Amendment to Standard</w:t>
              </w:r>
            </w:hyperlink>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900" w:type="dxa"/>
            <w:vAlign w:val="bottom"/>
            <w:tcBorders>
              <w:top w:val="single" w:sz="8" w:color="0000FF"/>
            </w:tcBorders>
            <w:gridSpan w:val="8"/>
          </w:tcPr>
          <w:p>
            <w:pPr>
              <w:spacing w:after="0" w:line="122" w:lineRule="exact"/>
              <w:rPr>
                <w:rFonts w:ascii="Arial" w:cs="Arial" w:eastAsia="Arial" w:hAnsi="Arial"/>
                <w:sz w:val="14"/>
                <w:szCs w:val="14"/>
                <w:color w:val="0000FF"/>
              </w:rPr>
            </w:pPr>
            <w:hyperlink r:id="rId182">
              <w:r>
                <w:rPr>
                  <w:rFonts w:ascii="Arial" w:cs="Arial" w:eastAsia="Arial" w:hAnsi="Arial"/>
                  <w:sz w:val="14"/>
                  <w:szCs w:val="14"/>
                  <w:color w:val="0000FF"/>
                </w:rPr>
                <w:t>Industrial/Commercial Multi-</w:t>
              </w:r>
            </w:hyperlink>
          </w:p>
        </w:tc>
        <w:tc>
          <w:tcPr>
            <w:tcW w:w="1340" w:type="dxa"/>
            <w:vAlign w:val="bottom"/>
            <w:gridSpan w:val="39"/>
          </w:tcPr>
          <w:p>
            <w:pPr>
              <w:spacing w:after="0" w:line="122" w:lineRule="exact"/>
              <w:rPr>
                <w:rFonts w:ascii="Arial" w:cs="Arial" w:eastAsia="Arial" w:hAnsi="Arial"/>
                <w:sz w:val="14"/>
                <w:szCs w:val="14"/>
                <w:color w:val="0000FF"/>
              </w:rPr>
            </w:pPr>
            <w:hyperlink r:id="rId182">
              <w:r>
                <w:rPr>
                  <w:rFonts w:ascii="Arial" w:cs="Arial" w:eastAsia="Arial" w:hAnsi="Arial"/>
                  <w:sz w:val="14"/>
                  <w:szCs w:val="14"/>
                  <w:color w:val="0000FF"/>
                </w:rPr>
                <w:t>Tenant Lease, dated</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10.26</w:t>
            </w: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82">
              <w:r>
                <w:rPr>
                  <w:rFonts w:ascii="Arial" w:cs="Arial" w:eastAsia="Arial" w:hAnsi="Arial"/>
                  <w:sz w:val="13"/>
                  <w:szCs w:val="13"/>
                  <w:color w:val="0000FF"/>
                </w:rPr>
                <w:t>December 1, 2013,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92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rPr>
            </w:pPr>
            <w:hyperlink r:id="rId182">
              <w:r>
                <w:rPr>
                  <w:rFonts w:ascii="Arial" w:cs="Arial" w:eastAsia="Arial" w:hAnsi="Arial"/>
                  <w:sz w:val="13"/>
                  <w:szCs w:val="13"/>
                  <w:color w:val="0000FF"/>
                </w:rPr>
                <w:t>Properties and the Registrant.</w:t>
              </w:r>
            </w:hyperlink>
          </w:p>
        </w:tc>
        <w:tc>
          <w:tcPr>
            <w:tcW w:w="720" w:type="dxa"/>
            <w:vAlign w:val="bottom"/>
            <w:tcBorders>
              <w:top w:val="single" w:sz="8" w:color="0000FF"/>
            </w:tcBorders>
            <w:gridSpan w:val="13"/>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w:anchor="page126">
              <w:r>
                <w:rPr>
                  <w:rFonts w:ascii="Arial" w:cs="Arial" w:eastAsia="Arial" w:hAnsi="Arial"/>
                  <w:sz w:val="14"/>
                  <w:szCs w:val="14"/>
                  <w:color w:val="0000FF"/>
                </w:rPr>
                <w:t>Second Amendment to Standard</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240" w:type="dxa"/>
            <w:vAlign w:val="bottom"/>
            <w:gridSpan w:val="47"/>
          </w:tcPr>
          <w:p>
            <w:pPr>
              <w:spacing w:after="0" w:line="115" w:lineRule="exact"/>
              <w:rPr>
                <w:rFonts w:ascii="Arial" w:cs="Arial" w:eastAsia="Arial" w:hAnsi="Arial"/>
                <w:sz w:val="13"/>
                <w:szCs w:val="13"/>
                <w:color w:val="0000FF"/>
              </w:rPr>
            </w:pPr>
            <w:hyperlink w:anchor="page126">
              <w:r>
                <w:rPr>
                  <w:rFonts w:ascii="Arial" w:cs="Arial" w:eastAsia="Arial" w:hAnsi="Arial"/>
                  <w:sz w:val="13"/>
                  <w:szCs w:val="13"/>
                  <w:color w:val="0000FF"/>
                </w:rPr>
                <w:t>Industrial/Commercial Multi-Tenant Lease, dated</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10.27</w:t>
            </w: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w:anchor="page126">
              <w:r>
                <w:rPr>
                  <w:rFonts w:ascii="Arial" w:cs="Arial" w:eastAsia="Arial" w:hAnsi="Arial"/>
                  <w:sz w:val="13"/>
                  <w:szCs w:val="13"/>
                  <w:color w:val="0000FF"/>
                </w:rPr>
                <w:t>April 29, 2016, by and between RGS Properties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w:anchor="page126">
              <w:r>
                <w:rPr>
                  <w:rFonts w:ascii="Arial" w:cs="Arial" w:eastAsia="Arial" w:hAnsi="Arial"/>
                  <w:sz w:val="13"/>
                  <w:szCs w:val="13"/>
                  <w:color w:val="0000FF"/>
                </w:rPr>
                <w:t>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920" w:type="dxa"/>
            <w:vAlign w:val="bottom"/>
            <w:tcBorders>
              <w:bottom w:val="single" w:sz="8" w:color="0000FF"/>
            </w:tcBorders>
            <w:gridSpan w:val="9"/>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Third Amendment to Standard</w:t>
              </w:r>
            </w:hyperlink>
          </w:p>
        </w:tc>
        <w:tc>
          <w:tcPr>
            <w:tcW w:w="1320" w:type="dxa"/>
            <w:vAlign w:val="bottom"/>
            <w:gridSpan w:val="38"/>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40" w:type="dxa"/>
            <w:vAlign w:val="bottom"/>
            <w:gridSpan w:val="47"/>
          </w:tcPr>
          <w:p>
            <w:pPr>
              <w:spacing w:after="0" w:line="115" w:lineRule="exact"/>
              <w:rPr>
                <w:rFonts w:ascii="Arial" w:cs="Arial" w:eastAsia="Arial" w:hAnsi="Arial"/>
                <w:sz w:val="13"/>
                <w:szCs w:val="13"/>
                <w:color w:val="0000FF"/>
              </w:rPr>
            </w:pPr>
            <w:hyperlink w:anchor="page127">
              <w:r>
                <w:rPr>
                  <w:rFonts w:ascii="Arial" w:cs="Arial" w:eastAsia="Arial" w:hAnsi="Arial"/>
                  <w:sz w:val="13"/>
                  <w:szCs w:val="13"/>
                  <w:color w:val="0000FF"/>
                </w:rPr>
                <w:t>Industrial/Commercial Multi-Tenant Lease, dated</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10.28</w:t>
            </w: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w:anchor="page127">
              <w:r>
                <w:rPr>
                  <w:rFonts w:ascii="Arial" w:cs="Arial" w:eastAsia="Arial" w:hAnsi="Arial"/>
                  <w:sz w:val="13"/>
                  <w:szCs w:val="13"/>
                  <w:color w:val="0000FF"/>
                </w:rPr>
                <w:t>June 16, 2017, by and between RGS Properties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4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w:anchor="page127">
              <w:r>
                <w:rPr>
                  <w:rFonts w:ascii="Arial" w:cs="Arial" w:eastAsia="Arial" w:hAnsi="Arial"/>
                  <w:sz w:val="13"/>
                  <w:szCs w:val="13"/>
                  <w:color w:val="0000FF"/>
                </w:rPr>
                <w:t>and the Registrant.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020" w:type="dxa"/>
            <w:vAlign w:val="bottom"/>
            <w:tcBorders>
              <w:bottom w:val="single" w:sz="8" w:color="0000FF"/>
            </w:tcBorders>
            <w:gridSpan w:val="12"/>
          </w:tcPr>
          <w:p>
            <w:pPr>
              <w:spacing w:after="0"/>
              <w:rPr>
                <w:rFonts w:ascii="Arial" w:cs="Arial" w:eastAsia="Arial" w:hAnsi="Arial"/>
                <w:sz w:val="14"/>
                <w:szCs w:val="14"/>
                <w:color w:val="0000FF"/>
              </w:rPr>
            </w:pPr>
            <w:hyperlink w:anchor="page129">
              <w:r>
                <w:rPr>
                  <w:rFonts w:ascii="Arial" w:cs="Arial" w:eastAsia="Arial" w:hAnsi="Arial"/>
                  <w:sz w:val="14"/>
                  <w:szCs w:val="14"/>
                  <w:color w:val="0000FF"/>
                </w:rPr>
                <w:t>Fourth Amendment to Standard</w:t>
              </w:r>
            </w:hyperlink>
          </w:p>
        </w:tc>
        <w:tc>
          <w:tcPr>
            <w:tcW w:w="1220" w:type="dxa"/>
            <w:vAlign w:val="bottom"/>
            <w:gridSpan w:val="35"/>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40" w:type="dxa"/>
            <w:vAlign w:val="bottom"/>
            <w:gridSpan w:val="47"/>
          </w:tcPr>
          <w:p>
            <w:pPr>
              <w:spacing w:after="0" w:line="115" w:lineRule="exact"/>
              <w:rPr>
                <w:rFonts w:ascii="Arial" w:cs="Arial" w:eastAsia="Arial" w:hAnsi="Arial"/>
                <w:sz w:val="13"/>
                <w:szCs w:val="13"/>
                <w:color w:val="0000FF"/>
              </w:rPr>
            </w:pPr>
            <w:hyperlink w:anchor="page129">
              <w:r>
                <w:rPr>
                  <w:rFonts w:ascii="Arial" w:cs="Arial" w:eastAsia="Arial" w:hAnsi="Arial"/>
                  <w:sz w:val="13"/>
                  <w:szCs w:val="13"/>
                  <w:color w:val="0000FF"/>
                </w:rPr>
                <w:t>Industrial/Commercial Multi-Tenant Lease, dated</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10.29</w:t>
            </w:r>
          </w:p>
        </w:tc>
        <w:tc>
          <w:tcPr>
            <w:tcW w:w="3120" w:type="dxa"/>
            <w:vAlign w:val="bottom"/>
            <w:tcBorders>
              <w:top w:val="single" w:sz="8" w:color="0000FF"/>
              <w:bottom w:val="single" w:sz="8" w:color="0000FF"/>
            </w:tcBorders>
            <w:gridSpan w:val="41"/>
          </w:tcPr>
          <w:p>
            <w:pPr>
              <w:spacing w:after="0" w:line="115" w:lineRule="exact"/>
              <w:rPr>
                <w:rFonts w:ascii="Arial" w:cs="Arial" w:eastAsia="Arial" w:hAnsi="Arial"/>
                <w:sz w:val="13"/>
                <w:szCs w:val="13"/>
                <w:color w:val="0000FF"/>
              </w:rPr>
            </w:pPr>
            <w:hyperlink w:anchor="page129">
              <w:r>
                <w:rPr>
                  <w:rFonts w:ascii="Arial" w:cs="Arial" w:eastAsia="Arial" w:hAnsi="Arial"/>
                  <w:sz w:val="13"/>
                  <w:szCs w:val="13"/>
                  <w:color w:val="0000FF"/>
                </w:rPr>
                <w:t>March 16, 2020, by and between RGS Properties</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220" w:type="dxa"/>
            <w:vAlign w:val="bottom"/>
            <w:gridSpan w:val="46"/>
          </w:tcPr>
          <w:p>
            <w:pPr>
              <w:spacing w:after="0" w:line="115" w:lineRule="exact"/>
              <w:rPr>
                <w:rFonts w:ascii="Arial" w:cs="Arial" w:eastAsia="Arial" w:hAnsi="Arial"/>
                <w:sz w:val="13"/>
                <w:szCs w:val="13"/>
                <w:color w:val="0000FF"/>
              </w:rPr>
            </w:pPr>
            <w:hyperlink w:anchor="page129">
              <w:r>
                <w:rPr>
                  <w:rFonts w:ascii="Arial" w:cs="Arial" w:eastAsia="Arial" w:hAnsi="Arial"/>
                  <w:sz w:val="13"/>
                  <w:szCs w:val="13"/>
                  <w:color w:val="0000FF"/>
                </w:rPr>
                <w:t>and the Registrant.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r:id="rId183">
              <w:r>
                <w:rPr>
                  <w:rFonts w:ascii="Arial" w:cs="Arial" w:eastAsia="Arial" w:hAnsi="Arial"/>
                  <w:sz w:val="14"/>
                  <w:szCs w:val="14"/>
                  <w:color w:val="0000FF"/>
                </w:rPr>
                <w:t>Standard Industrial/Commercial Single-Tenant</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10.30</w:t>
            </w:r>
          </w:p>
        </w:tc>
        <w:tc>
          <w:tcPr>
            <w:tcW w:w="2620" w:type="dxa"/>
            <w:vAlign w:val="bottom"/>
            <w:tcBorders>
              <w:top w:val="single" w:sz="8" w:color="0000FF"/>
              <w:bottom w:val="single" w:sz="8" w:color="0000FF"/>
            </w:tcBorders>
            <w:gridSpan w:val="21"/>
          </w:tcPr>
          <w:p>
            <w:pPr>
              <w:spacing w:after="0" w:line="115" w:lineRule="exact"/>
              <w:rPr>
                <w:rFonts w:ascii="Arial" w:cs="Arial" w:eastAsia="Arial" w:hAnsi="Arial"/>
                <w:sz w:val="13"/>
                <w:szCs w:val="13"/>
                <w:color w:val="0000FF"/>
              </w:rPr>
            </w:pPr>
            <w:hyperlink r:id="rId183">
              <w:r>
                <w:rPr>
                  <w:rFonts w:ascii="Arial" w:cs="Arial" w:eastAsia="Arial" w:hAnsi="Arial"/>
                  <w:sz w:val="13"/>
                  <w:szCs w:val="13"/>
                  <w:color w:val="0000FF"/>
                </w:rPr>
                <w:t>Lease, dated September 4, 2014, by and</w:t>
              </w:r>
            </w:hyperlink>
          </w:p>
        </w:tc>
        <w:tc>
          <w:tcPr>
            <w:tcW w:w="3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bottom w:val="single" w:sz="8" w:color="0000FF"/>
            </w:tcBorders>
            <w:gridSpan w:val="36"/>
          </w:tcPr>
          <w:p>
            <w:pPr>
              <w:spacing w:after="0" w:line="115" w:lineRule="exact"/>
              <w:rPr>
                <w:rFonts w:ascii="Arial" w:cs="Arial" w:eastAsia="Arial" w:hAnsi="Arial"/>
                <w:sz w:val="13"/>
                <w:szCs w:val="13"/>
                <w:color w:val="0000FF"/>
              </w:rPr>
            </w:pPr>
            <w:hyperlink r:id="rId183">
              <w:r>
                <w:rPr>
                  <w:rFonts w:ascii="Arial" w:cs="Arial" w:eastAsia="Arial" w:hAnsi="Arial"/>
                  <w:sz w:val="13"/>
                  <w:szCs w:val="13"/>
                  <w:color w:val="0000FF"/>
                </w:rPr>
                <w:t>between Geiger Court, LLC and the Registrant.</w:t>
              </w:r>
            </w:hyperlink>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w:anchor="page135">
              <w:r>
                <w:rPr>
                  <w:rFonts w:ascii="Arial" w:cs="Arial" w:eastAsia="Arial" w:hAnsi="Arial"/>
                  <w:sz w:val="14"/>
                  <w:szCs w:val="14"/>
                  <w:color w:val="0000FF"/>
                </w:rPr>
                <w:t>First Amendment to Standard</w:t>
              </w:r>
            </w:hyperlink>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7"/>
          </w:tcPr>
          <w:p>
            <w:pPr>
              <w:spacing w:after="0" w:line="122" w:lineRule="exact"/>
              <w:rPr>
                <w:rFonts w:ascii="Arial" w:cs="Arial" w:eastAsia="Arial" w:hAnsi="Arial"/>
                <w:sz w:val="14"/>
                <w:szCs w:val="14"/>
                <w:color w:val="0000FF"/>
              </w:rPr>
            </w:pPr>
            <w:hyperlink w:anchor="page135">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7"/>
          </w:tcPr>
          <w:p>
            <w:pPr>
              <w:spacing w:after="0" w:line="122" w:lineRule="exact"/>
              <w:rPr>
                <w:rFonts w:ascii="Arial" w:cs="Arial" w:eastAsia="Arial" w:hAnsi="Arial"/>
                <w:sz w:val="14"/>
                <w:szCs w:val="14"/>
                <w:color w:val="0000FF"/>
                <w:w w:val="98"/>
              </w:rPr>
            </w:pPr>
            <w:hyperlink w:anchor="page135">
              <w:r>
                <w:rPr>
                  <w:rFonts w:ascii="Arial" w:cs="Arial" w:eastAsia="Arial" w:hAnsi="Arial"/>
                  <w:sz w:val="14"/>
                  <w:szCs w:val="14"/>
                  <w:color w:val="0000FF"/>
                  <w:w w:val="98"/>
                </w:rPr>
                <w:t>Tenant Lease,</w:t>
              </w:r>
            </w:hyperlink>
          </w:p>
        </w:tc>
        <w:tc>
          <w:tcPr>
            <w:tcW w:w="46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10.31</w:t>
            </w:r>
          </w:p>
        </w:tc>
        <w:tc>
          <w:tcPr>
            <w:tcW w:w="3240" w:type="dxa"/>
            <w:vAlign w:val="bottom"/>
            <w:gridSpan w:val="47"/>
          </w:tcPr>
          <w:p>
            <w:pPr>
              <w:spacing w:after="0" w:line="115" w:lineRule="exact"/>
              <w:rPr>
                <w:rFonts w:ascii="Arial" w:cs="Arial" w:eastAsia="Arial" w:hAnsi="Arial"/>
                <w:sz w:val="13"/>
                <w:szCs w:val="13"/>
                <w:color w:val="0000FF"/>
              </w:rPr>
            </w:pPr>
            <w:hyperlink w:anchor="page135">
              <w:r>
                <w:rPr>
                  <w:rFonts w:ascii="Arial" w:cs="Arial" w:eastAsia="Arial" w:hAnsi="Arial"/>
                  <w:sz w:val="13"/>
                  <w:szCs w:val="13"/>
                  <w:color w:val="0000FF"/>
                </w:rPr>
                <w:t>dated August 2, 2017, by and between Geiger</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w:anchor="page135">
              <w:r>
                <w:rPr>
                  <w:rFonts w:ascii="Arial" w:cs="Arial" w:eastAsia="Arial" w:hAnsi="Arial"/>
                  <w:sz w:val="13"/>
                  <w:szCs w:val="13"/>
                  <w:color w:val="0000FF"/>
                </w:rPr>
                <w:t>Court, LLC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w:anchor="page137">
              <w:r>
                <w:rPr>
                  <w:rFonts w:ascii="Arial" w:cs="Arial" w:eastAsia="Arial" w:hAnsi="Arial"/>
                  <w:sz w:val="14"/>
                  <w:szCs w:val="14"/>
                  <w:color w:val="0000FF"/>
                </w:rPr>
                <w:t>Extension of Lease to Standard</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2780" w:type="dxa"/>
            <w:vAlign w:val="bottom"/>
            <w:tcBorders>
              <w:bottom w:val="single" w:sz="8" w:color="0000FF"/>
            </w:tcBorders>
            <w:gridSpan w:val="24"/>
          </w:tcPr>
          <w:p>
            <w:pPr>
              <w:spacing w:after="0" w:line="115" w:lineRule="exact"/>
              <w:rPr>
                <w:rFonts w:ascii="Arial" w:cs="Arial" w:eastAsia="Arial" w:hAnsi="Arial"/>
                <w:sz w:val="13"/>
                <w:szCs w:val="13"/>
                <w:color w:val="0000FF"/>
              </w:rPr>
            </w:pPr>
            <w:hyperlink w:anchor="page137">
              <w:r>
                <w:rPr>
                  <w:rFonts w:ascii="Arial" w:cs="Arial" w:eastAsia="Arial" w:hAnsi="Arial"/>
                  <w:sz w:val="13"/>
                  <w:szCs w:val="13"/>
                  <w:color w:val="0000FF"/>
                </w:rPr>
                <w:t>Industrial/Commercial Single-Tenant Lease,</w:t>
              </w:r>
            </w:hyperlink>
          </w:p>
        </w:tc>
        <w:tc>
          <w:tcPr>
            <w:tcW w:w="46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240" w:type="dxa"/>
            <w:vAlign w:val="bottom"/>
            <w:gridSpan w:val="47"/>
          </w:tcPr>
          <w:p>
            <w:pPr>
              <w:spacing w:after="0" w:line="115" w:lineRule="exact"/>
              <w:rPr>
                <w:rFonts w:ascii="Arial" w:cs="Arial" w:eastAsia="Arial" w:hAnsi="Arial"/>
                <w:sz w:val="13"/>
                <w:szCs w:val="13"/>
                <w:color w:val="0000FF"/>
              </w:rPr>
            </w:pPr>
            <w:hyperlink w:anchor="page137">
              <w:r>
                <w:rPr>
                  <w:rFonts w:ascii="Arial" w:cs="Arial" w:eastAsia="Arial" w:hAnsi="Arial"/>
                  <w:sz w:val="13"/>
                  <w:szCs w:val="13"/>
                  <w:color w:val="0000FF"/>
                </w:rPr>
                <w:t>dated March 12, 2020, by and between Liberty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w:anchor="page137">
              <w:r>
                <w:rPr>
                  <w:rFonts w:ascii="Arial" w:cs="Arial" w:eastAsia="Arial" w:hAnsi="Arial"/>
                  <w:sz w:val="13"/>
                  <w:szCs w:val="13"/>
                  <w:color w:val="0000FF"/>
                </w:rPr>
                <w:t>Vista and the Registrant.</w:t>
              </w:r>
            </w:hyperlink>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w:anchor="page139">
              <w:r>
                <w:rPr>
                  <w:rFonts w:ascii="Arial" w:cs="Arial" w:eastAsia="Arial" w:hAnsi="Arial"/>
                  <w:sz w:val="14"/>
                  <w:szCs w:val="14"/>
                  <w:color w:val="0000FF"/>
                </w:rPr>
                <w:t>Standard Industrial/Commercial Multi -Tenant</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2860" w:type="dxa"/>
            <w:vAlign w:val="bottom"/>
            <w:tcBorders>
              <w:top w:val="single" w:sz="8" w:color="0000FF"/>
              <w:bottom w:val="single" w:sz="8" w:color="0000FF"/>
            </w:tcBorders>
            <w:gridSpan w:val="27"/>
          </w:tcPr>
          <w:p>
            <w:pPr>
              <w:spacing w:after="0" w:line="115" w:lineRule="exact"/>
              <w:rPr>
                <w:rFonts w:ascii="Arial" w:cs="Arial" w:eastAsia="Arial" w:hAnsi="Arial"/>
                <w:sz w:val="13"/>
                <w:szCs w:val="13"/>
                <w:color w:val="0000FF"/>
              </w:rPr>
            </w:pPr>
            <w:hyperlink w:anchor="page139">
              <w:r>
                <w:rPr>
                  <w:rFonts w:ascii="Arial" w:cs="Arial" w:eastAsia="Arial" w:hAnsi="Arial"/>
                  <w:sz w:val="13"/>
                  <w:szCs w:val="13"/>
                  <w:color w:val="0000FF"/>
                </w:rPr>
                <w:t>Lease, dated March 17, 2020 by and between</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260" w:type="dxa"/>
            <w:vAlign w:val="bottom"/>
            <w:tcBorders>
              <w:bottom w:val="single" w:sz="8" w:color="0000FF"/>
            </w:tcBorders>
            <w:gridSpan w:val="15"/>
          </w:tcPr>
          <w:p>
            <w:pPr>
              <w:spacing w:after="0" w:line="115" w:lineRule="exact"/>
              <w:rPr>
                <w:rFonts w:ascii="Arial" w:cs="Arial" w:eastAsia="Arial" w:hAnsi="Arial"/>
                <w:sz w:val="13"/>
                <w:szCs w:val="13"/>
                <w:color w:val="0000FF"/>
              </w:rPr>
            </w:pPr>
            <w:hyperlink w:anchor="page139">
              <w:r>
                <w:rPr>
                  <w:rFonts w:ascii="Arial" w:cs="Arial" w:eastAsia="Arial" w:hAnsi="Arial"/>
                  <w:sz w:val="13"/>
                  <w:szCs w:val="13"/>
                  <w:color w:val="0000FF"/>
                </w:rPr>
                <w:t>RGS Properties and the Registrant.</w:t>
              </w:r>
            </w:hyperlink>
          </w:p>
        </w:tc>
        <w:tc>
          <w:tcPr>
            <w:tcW w:w="680" w:type="dxa"/>
            <w:vAlign w:val="bottom"/>
            <w:gridSpan w:val="16"/>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r:id="rId184">
              <w:r>
                <w:rPr>
                  <w:rFonts w:ascii="Arial" w:cs="Arial" w:eastAsia="Arial" w:hAnsi="Arial"/>
                  <w:sz w:val="14"/>
                  <w:szCs w:val="14"/>
                  <w:color w:val="0000FF"/>
                </w:rPr>
                <w:t>Master Lease Agreement, dated February 1,</w:t>
              </w:r>
            </w:hyperlink>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21"/>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2018, by and between Celtic Commercial</w:t>
              </w:r>
            </w:hyperlink>
          </w:p>
        </w:tc>
        <w:tc>
          <w:tcPr>
            <w:tcW w:w="220" w:type="dxa"/>
            <w:vAlign w:val="bottom"/>
            <w:tcBorders>
              <w:top w:val="single" w:sz="8" w:color="0000FF"/>
            </w:tcBorders>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10.34</w:t>
            </w:r>
          </w:p>
        </w:tc>
        <w:tc>
          <w:tcPr>
            <w:tcW w:w="3240" w:type="dxa"/>
            <w:vAlign w:val="bottom"/>
            <w:gridSpan w:val="47"/>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Finance, a division of MB Equipment Finance,</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2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LLC and the Registrant.</w:t>
              </w:r>
            </w:hyperlink>
          </w:p>
        </w:tc>
        <w:tc>
          <w:tcPr>
            <w:tcW w:w="1400" w:type="dxa"/>
            <w:vAlign w:val="bottom"/>
            <w:tcBorders>
              <w:top w:val="single" w:sz="8" w:color="0000FF"/>
            </w:tcBorders>
            <w:gridSpan w:val="25"/>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r:id="rId185">
              <w:r>
                <w:rPr>
                  <w:rFonts w:ascii="Arial" w:cs="Arial" w:eastAsia="Arial" w:hAnsi="Arial"/>
                  <w:sz w:val="14"/>
                  <w:szCs w:val="14"/>
                  <w:color w:val="0000FF"/>
                </w:rPr>
                <w:t>Loan and Security Agreement, dated September</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10.35</w:t>
            </w:r>
          </w:p>
        </w:tc>
        <w:tc>
          <w:tcPr>
            <w:tcW w:w="3140" w:type="dxa"/>
            <w:vAlign w:val="bottom"/>
            <w:tcBorders>
              <w:top w:val="single" w:sz="8" w:color="0000FF"/>
              <w:bottom w:val="single" w:sz="8" w:color="0000FF"/>
            </w:tcBorders>
            <w:gridSpan w:val="42"/>
          </w:tcPr>
          <w:p>
            <w:pPr>
              <w:spacing w:after="0" w:line="115" w:lineRule="exact"/>
              <w:rPr>
                <w:rFonts w:ascii="Arial" w:cs="Arial" w:eastAsia="Arial" w:hAnsi="Arial"/>
                <w:sz w:val="13"/>
                <w:szCs w:val="13"/>
                <w:color w:val="0000FF"/>
              </w:rPr>
            </w:pPr>
            <w:hyperlink r:id="rId185">
              <w:r>
                <w:rPr>
                  <w:rFonts w:ascii="Arial" w:cs="Arial" w:eastAsia="Arial" w:hAnsi="Arial"/>
                  <w:sz w:val="13"/>
                  <w:szCs w:val="13"/>
                  <w:color w:val="0000FF"/>
                </w:rPr>
                <w:t>7, 2017, by and between Innovatus Life Sciences</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200" w:type="dxa"/>
            <w:vAlign w:val="bottom"/>
            <w:gridSpan w:val="45"/>
          </w:tcPr>
          <w:p>
            <w:pPr>
              <w:spacing w:after="0" w:line="115" w:lineRule="exact"/>
              <w:rPr>
                <w:rFonts w:ascii="Arial" w:cs="Arial" w:eastAsia="Arial" w:hAnsi="Arial"/>
                <w:sz w:val="13"/>
                <w:szCs w:val="13"/>
                <w:color w:val="0000FF"/>
              </w:rPr>
            </w:pPr>
            <w:hyperlink r:id="rId185">
              <w:r>
                <w:rPr>
                  <w:rFonts w:ascii="Arial" w:cs="Arial" w:eastAsia="Arial" w:hAnsi="Arial"/>
                  <w:sz w:val="13"/>
                  <w:szCs w:val="13"/>
                  <w:color w:val="0000FF"/>
                </w:rPr>
                <w:t>Lending Fund I, LP and the Registrant.</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2460" w:type="dxa"/>
            <w:vAlign w:val="bottom"/>
            <w:tcBorders>
              <w:top w:val="single" w:sz="8" w:color="0000FF"/>
            </w:tcBorders>
            <w:gridSpan w:val="17"/>
          </w:tcPr>
          <w:p>
            <w:pPr>
              <w:spacing w:after="0"/>
              <w:rPr>
                <w:rFonts w:ascii="Arial" w:cs="Arial" w:eastAsia="Arial" w:hAnsi="Arial"/>
                <w:sz w:val="14"/>
                <w:szCs w:val="14"/>
                <w:color w:val="0000FF"/>
              </w:rPr>
            </w:pPr>
            <w:hyperlink w:anchor="page158">
              <w:r>
                <w:rPr>
                  <w:rFonts w:ascii="Arial" w:cs="Arial" w:eastAsia="Arial" w:hAnsi="Arial"/>
                  <w:sz w:val="14"/>
                  <w:szCs w:val="14"/>
                  <w:color w:val="0000FF"/>
                </w:rPr>
                <w:t>First Amendment to Loan and Security</w:t>
              </w:r>
            </w:hyperlink>
          </w:p>
        </w:tc>
        <w:tc>
          <w:tcPr>
            <w:tcW w:w="78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2440" w:type="dxa"/>
            <w:vAlign w:val="bottom"/>
            <w:tcBorders>
              <w:top w:val="single" w:sz="8" w:color="0000FF"/>
            </w:tcBorders>
            <w:gridSpan w:val="16"/>
          </w:tcPr>
          <w:p>
            <w:pPr>
              <w:spacing w:after="0" w:line="122" w:lineRule="exact"/>
              <w:rPr>
                <w:rFonts w:ascii="Arial" w:cs="Arial" w:eastAsia="Arial" w:hAnsi="Arial"/>
                <w:sz w:val="14"/>
                <w:szCs w:val="14"/>
                <w:color w:val="0000FF"/>
                <w:w w:val="97"/>
              </w:rPr>
            </w:pPr>
            <w:hyperlink w:anchor="page158">
              <w:r>
                <w:rPr>
                  <w:rFonts w:ascii="Arial" w:cs="Arial" w:eastAsia="Arial" w:hAnsi="Arial"/>
                  <w:sz w:val="14"/>
                  <w:szCs w:val="14"/>
                  <w:color w:val="0000FF"/>
                  <w:w w:val="97"/>
                </w:rPr>
                <w:t>Agreement with Innovatus Life Sciences</w:t>
              </w:r>
            </w:hyperlink>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7"/>
          </w:tcPr>
          <w:p>
            <w:pPr>
              <w:spacing w:after="0" w:line="122" w:lineRule="exact"/>
              <w:rPr>
                <w:rFonts w:ascii="Arial" w:cs="Arial" w:eastAsia="Arial" w:hAnsi="Arial"/>
                <w:sz w:val="14"/>
                <w:szCs w:val="14"/>
                <w:color w:val="0000FF"/>
              </w:rPr>
            </w:pPr>
            <w:hyperlink w:anchor="page158">
              <w:r>
                <w:rPr>
                  <w:rFonts w:ascii="Arial" w:cs="Arial" w:eastAsia="Arial" w:hAnsi="Arial"/>
                  <w:sz w:val="14"/>
                  <w:szCs w:val="14"/>
                  <w:color w:val="0000FF"/>
                </w:rPr>
                <w:t>Lending</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08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w:anchor="page158">
              <w:r>
                <w:rPr>
                  <w:rFonts w:ascii="Arial" w:cs="Arial" w:eastAsia="Arial" w:hAnsi="Arial"/>
                  <w:sz w:val="13"/>
                  <w:szCs w:val="13"/>
                  <w:color w:val="0000FF"/>
                </w:rPr>
                <w:t>I, LP dated November 19, 2019.</w:t>
              </w:r>
            </w:hyperlink>
          </w:p>
        </w:tc>
        <w:tc>
          <w:tcPr>
            <w:tcW w:w="1100" w:type="dxa"/>
            <w:vAlign w:val="bottom"/>
            <w:tcBorders>
              <w:top w:val="single" w:sz="8" w:color="0000FF"/>
            </w:tcBorders>
            <w:gridSpan w:val="31"/>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r:id="rId186">
              <w:r>
                <w:rPr>
                  <w:rFonts w:ascii="Arial" w:cs="Arial" w:eastAsia="Arial" w:hAnsi="Arial"/>
                  <w:sz w:val="14"/>
                  <w:szCs w:val="14"/>
                  <w:color w:val="0000FF"/>
                </w:rPr>
                <w:t>Offer Letter, dated October 12, 2010, by and</w:t>
              </w:r>
            </w:hyperlink>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20"/>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between Thierry Dervieux, Ph.D. and the</w:t>
              </w:r>
            </w:hyperlink>
          </w:p>
        </w:tc>
        <w:tc>
          <w:tcPr>
            <w:tcW w:w="220" w:type="dxa"/>
            <w:vAlign w:val="bottom"/>
            <w:tcBorders>
              <w:top w:val="single" w:sz="8" w:color="0000FF"/>
            </w:tcBorders>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10.37#</w:t>
            </w:r>
          </w:p>
        </w:tc>
        <w:tc>
          <w:tcPr>
            <w:tcW w:w="3240" w:type="dxa"/>
            <w:vAlign w:val="bottom"/>
            <w:gridSpan w:val="47"/>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Registrant, as amended on September 9, 2011</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6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and September 6, 2019.</w:t>
              </w:r>
            </w:hyperlink>
          </w:p>
        </w:tc>
        <w:tc>
          <w:tcPr>
            <w:tcW w:w="1460" w:type="dxa"/>
            <w:vAlign w:val="bottom"/>
            <w:tcBorders>
              <w:top w:val="single" w:sz="8" w:color="0000FF"/>
            </w:tcBorders>
            <w:gridSpan w:val="29"/>
          </w:tcPr>
          <w:p>
            <w:pPr>
              <w:spacing w:after="0"/>
              <w:rPr>
                <w:sz w:val="10"/>
                <w:szCs w:val="10"/>
                <w:color w:val="auto"/>
              </w:rPr>
            </w:pPr>
          </w:p>
        </w:tc>
        <w:tc>
          <w:tcPr>
            <w:tcW w:w="4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3240" w:type="dxa"/>
            <w:vAlign w:val="bottom"/>
            <w:gridSpan w:val="47"/>
          </w:tcPr>
          <w:p>
            <w:pPr>
              <w:spacing w:after="0"/>
              <w:rPr>
                <w:rFonts w:ascii="Arial" w:cs="Arial" w:eastAsia="Arial" w:hAnsi="Arial"/>
                <w:sz w:val="14"/>
                <w:szCs w:val="14"/>
                <w:color w:val="0000FF"/>
              </w:rPr>
            </w:pPr>
            <w:hyperlink r:id="rId187">
              <w:r>
                <w:rPr>
                  <w:rFonts w:ascii="Arial" w:cs="Arial" w:eastAsia="Arial" w:hAnsi="Arial"/>
                  <w:sz w:val="14"/>
                  <w:szCs w:val="14"/>
                  <w:color w:val="0000FF"/>
                </w:rPr>
                <w:t>Form of Indemnification Agreement for Directors</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87">
              <w:r>
                <w:rPr>
                  <w:rFonts w:ascii="Arial" w:cs="Arial" w:eastAsia="Arial" w:hAnsi="Arial"/>
                  <w:sz w:val="13"/>
                  <w:szCs w:val="13"/>
                  <w:color w:val="0000FF"/>
                </w:rPr>
                <w:t>and Officers.</w:t>
              </w:r>
            </w:hyperlink>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r:id="rId188">
              <w:r>
                <w:rPr>
                  <w:rFonts w:ascii="Arial" w:cs="Arial" w:eastAsia="Arial" w:hAnsi="Arial"/>
                  <w:sz w:val="14"/>
                  <w:szCs w:val="14"/>
                  <w:color w:val="0000FF"/>
                </w:rPr>
                <w:t>Offer Letter, dated October 7, 2011, by and</w:t>
              </w:r>
            </w:hyperlink>
          </w:p>
        </w:tc>
        <w:tc>
          <w:tcPr>
            <w:tcW w:w="0" w:type="dxa"/>
            <w:vAlign w:val="bottom"/>
          </w:tcPr>
          <w:p>
            <w:pPr>
              <w:spacing w:after="0"/>
              <w:rPr>
                <w:sz w:val="1"/>
                <w:szCs w:val="1"/>
                <w:color w:val="auto"/>
              </w:rPr>
            </w:pPr>
          </w:p>
        </w:tc>
      </w:tr>
      <w:tr>
        <w:trPr>
          <w:trHeight w:val="108"/>
        </w:trPr>
        <w:tc>
          <w:tcPr>
            <w:tcW w:w="820" w:type="dxa"/>
            <w:vAlign w:val="bottom"/>
            <w:vMerge w:val="restart"/>
          </w:tcPr>
          <w:p>
            <w:pPr>
              <w:spacing w:after="0"/>
              <w:rPr>
                <w:sz w:val="20"/>
                <w:szCs w:val="20"/>
                <w:color w:val="auto"/>
              </w:rPr>
            </w:pPr>
            <w:r>
              <w:rPr>
                <w:rFonts w:ascii="Arial" w:cs="Arial" w:eastAsia="Arial" w:hAnsi="Arial"/>
                <w:sz w:val="14"/>
                <w:szCs w:val="14"/>
                <w:color w:val="auto"/>
              </w:rPr>
              <w:t>10.39#</w:t>
            </w:r>
          </w:p>
        </w:tc>
        <w:tc>
          <w:tcPr>
            <w:tcW w:w="2740" w:type="dxa"/>
            <w:vAlign w:val="bottom"/>
            <w:tcBorders>
              <w:top w:val="single" w:sz="8" w:color="0000FF"/>
            </w:tcBorders>
            <w:gridSpan w:val="23"/>
          </w:tcPr>
          <w:p>
            <w:pPr>
              <w:spacing w:after="0" w:line="106" w:lineRule="exact"/>
              <w:rPr>
                <w:rFonts w:ascii="Arial" w:cs="Arial" w:eastAsia="Arial" w:hAnsi="Arial"/>
                <w:sz w:val="12"/>
                <w:szCs w:val="12"/>
                <w:color w:val="0000FF"/>
              </w:rPr>
            </w:pPr>
            <w:hyperlink r:id="rId188">
              <w:r>
                <w:rPr>
                  <w:rFonts w:ascii="Arial" w:cs="Arial" w:eastAsia="Arial" w:hAnsi="Arial"/>
                  <w:sz w:val="12"/>
                  <w:szCs w:val="12"/>
                  <w:color w:val="0000FF"/>
                </w:rPr>
                <w:t>between Fortunato Ron Rocca and the</w:t>
              </w:r>
            </w:hyperlink>
          </w:p>
        </w:tc>
        <w:tc>
          <w:tcPr>
            <w:tcW w:w="14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13"/>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2460" w:type="dxa"/>
            <w:vAlign w:val="bottom"/>
            <w:tcBorders>
              <w:top w:val="single" w:sz="8" w:color="0000FF"/>
            </w:tcBorders>
            <w:gridSpan w:val="17"/>
          </w:tcPr>
          <w:p>
            <w:pPr>
              <w:spacing w:after="0" w:line="122" w:lineRule="exact"/>
              <w:rPr>
                <w:rFonts w:ascii="Arial" w:cs="Arial" w:eastAsia="Arial" w:hAnsi="Arial"/>
                <w:sz w:val="14"/>
                <w:szCs w:val="14"/>
                <w:color w:val="0000FF"/>
              </w:rPr>
            </w:pPr>
            <w:hyperlink r:id="rId188">
              <w:r>
                <w:rPr>
                  <w:rFonts w:ascii="Arial" w:cs="Arial" w:eastAsia="Arial" w:hAnsi="Arial"/>
                  <w:sz w:val="14"/>
                  <w:szCs w:val="14"/>
                  <w:color w:val="0000FF"/>
                </w:rPr>
                <w:t>Registrant, as amended on September</w:t>
              </w:r>
            </w:hyperlink>
          </w:p>
        </w:tc>
        <w:tc>
          <w:tcPr>
            <w:tcW w:w="680" w:type="dxa"/>
            <w:vAlign w:val="bottom"/>
            <w:gridSpan w:val="25"/>
          </w:tcPr>
          <w:p>
            <w:pPr>
              <w:jc w:val="right"/>
              <w:ind w:right="120"/>
              <w:spacing w:after="0" w:line="122" w:lineRule="exact"/>
              <w:rPr>
                <w:rFonts w:ascii="Arial" w:cs="Arial" w:eastAsia="Arial" w:hAnsi="Arial"/>
                <w:sz w:val="14"/>
                <w:szCs w:val="14"/>
                <w:color w:val="0000FF"/>
              </w:rPr>
            </w:pPr>
            <w:hyperlink r:id="rId188">
              <w:r>
                <w:rPr>
                  <w:rFonts w:ascii="Arial" w:cs="Arial" w:eastAsia="Arial" w:hAnsi="Arial"/>
                  <w:sz w:val="14"/>
                  <w:szCs w:val="14"/>
                  <w:color w:val="0000FF"/>
                </w:rPr>
                <w:t>4, 2019.</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020" w:type="dxa"/>
            <w:vAlign w:val="bottom"/>
            <w:tcBorders>
              <w:top w:val="single" w:sz="8" w:color="0000FF"/>
            </w:tcBorders>
            <w:gridSpan w:val="36"/>
          </w:tcPr>
          <w:p>
            <w:pPr>
              <w:spacing w:after="0"/>
              <w:rPr>
                <w:rFonts w:ascii="Arial" w:cs="Arial" w:eastAsia="Arial" w:hAnsi="Arial"/>
                <w:sz w:val="14"/>
                <w:szCs w:val="14"/>
                <w:color w:val="0000FF"/>
              </w:rPr>
            </w:pPr>
            <w:hyperlink r:id="rId189">
              <w:r>
                <w:rPr>
                  <w:rFonts w:ascii="Arial" w:cs="Arial" w:eastAsia="Arial" w:hAnsi="Arial"/>
                  <w:sz w:val="14"/>
                  <w:szCs w:val="14"/>
                  <w:color w:val="0000FF"/>
                </w:rPr>
                <w:t>Offer Letter, dated May 16, 2017, by and</w:t>
              </w:r>
            </w:hyperlink>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2580" w:type="dxa"/>
            <w:vAlign w:val="bottom"/>
            <w:tcBorders>
              <w:top w:val="single" w:sz="8" w:color="0000FF"/>
            </w:tcBorders>
            <w:gridSpan w:val="19"/>
          </w:tcPr>
          <w:p>
            <w:pPr>
              <w:spacing w:after="0" w:line="122" w:lineRule="exact"/>
              <w:rPr>
                <w:rFonts w:ascii="Arial" w:cs="Arial" w:eastAsia="Arial" w:hAnsi="Arial"/>
                <w:sz w:val="14"/>
                <w:szCs w:val="14"/>
                <w:color w:val="0000FF"/>
                <w:w w:val="98"/>
              </w:rPr>
            </w:pPr>
            <w:hyperlink r:id="rId189">
              <w:r>
                <w:rPr>
                  <w:rFonts w:ascii="Arial" w:cs="Arial" w:eastAsia="Arial" w:hAnsi="Arial"/>
                  <w:sz w:val="14"/>
                  <w:szCs w:val="14"/>
                  <w:color w:val="0000FF"/>
                  <w:w w:val="98"/>
                </w:rPr>
                <w:t>between Kamal Adawi and the Registrant,</w:t>
              </w:r>
            </w:hyperlink>
          </w:p>
        </w:tc>
        <w:tc>
          <w:tcPr>
            <w:tcW w:w="660" w:type="dxa"/>
            <w:vAlign w:val="bottom"/>
            <w:gridSpan w:val="28"/>
          </w:tcPr>
          <w:p>
            <w:pPr>
              <w:ind w:left="140"/>
              <w:spacing w:after="0" w:line="122" w:lineRule="exact"/>
              <w:rPr>
                <w:rFonts w:ascii="Arial" w:cs="Arial" w:eastAsia="Arial" w:hAnsi="Arial"/>
                <w:sz w:val="14"/>
                <w:szCs w:val="14"/>
                <w:color w:val="0000FF"/>
              </w:rPr>
            </w:pPr>
            <w:hyperlink r:id="rId189">
              <w:r>
                <w:rPr>
                  <w:rFonts w:ascii="Arial" w:cs="Arial" w:eastAsia="Arial" w:hAnsi="Arial"/>
                  <w:sz w:val="14"/>
                  <w:szCs w:val="14"/>
                  <w:color w:val="0000FF"/>
                </w:rPr>
                <w:t>as</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4"/>
          </w:tcPr>
          <w:p>
            <w:pPr>
              <w:spacing w:after="0" w:line="115" w:lineRule="exact"/>
              <w:rPr>
                <w:rFonts w:ascii="Arial" w:cs="Arial" w:eastAsia="Arial" w:hAnsi="Arial"/>
                <w:sz w:val="13"/>
                <w:szCs w:val="13"/>
                <w:color w:val="0000FF"/>
              </w:rPr>
            </w:pPr>
            <w:hyperlink r:id="rId189">
              <w:r>
                <w:rPr>
                  <w:rFonts w:ascii="Arial" w:cs="Arial" w:eastAsia="Arial" w:hAnsi="Arial"/>
                  <w:sz w:val="13"/>
                  <w:szCs w:val="13"/>
                  <w:color w:val="0000FF"/>
                </w:rPr>
                <w:t>amended on September 4, 2019.</w:t>
              </w:r>
            </w:hyperlink>
          </w:p>
        </w:tc>
        <w:tc>
          <w:tcPr>
            <w:tcW w:w="800" w:type="dxa"/>
            <w:vAlign w:val="bottom"/>
            <w:tcBorders>
              <w:top w:val="single" w:sz="8" w:color="0000FF"/>
            </w:tcBorders>
            <w:gridSpan w:val="15"/>
          </w:tcPr>
          <w:p>
            <w:pPr>
              <w:spacing w:after="0"/>
              <w:rPr>
                <w:sz w:val="10"/>
                <w:szCs w:val="10"/>
                <w:color w:val="auto"/>
              </w:rPr>
            </w:pPr>
          </w:p>
        </w:tc>
        <w:tc>
          <w:tcPr>
            <w:tcW w:w="240" w:type="dxa"/>
            <w:vAlign w:val="bottom"/>
            <w:gridSpan w:val="1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40" w:type="dxa"/>
            <w:vAlign w:val="bottom"/>
            <w:gridSpan w:val="47"/>
          </w:tcPr>
          <w:p>
            <w:pPr>
              <w:spacing w:after="0"/>
              <w:rPr>
                <w:rFonts w:ascii="Arial" w:cs="Arial" w:eastAsia="Arial" w:hAnsi="Arial"/>
                <w:sz w:val="14"/>
                <w:szCs w:val="14"/>
                <w:color w:val="0000FF"/>
              </w:rPr>
            </w:pPr>
            <w:hyperlink w:anchor="page169">
              <w:r>
                <w:rPr>
                  <w:rFonts w:ascii="Arial" w:cs="Arial" w:eastAsia="Arial" w:hAnsi="Arial"/>
                  <w:sz w:val="14"/>
                  <w:szCs w:val="14"/>
                  <w:color w:val="0000FF"/>
                </w:rPr>
                <w:t>Offer Letter dated February 21, 2020, by and</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10.41#</w:t>
            </w:r>
          </w:p>
        </w:tc>
        <w:tc>
          <w:tcPr>
            <w:tcW w:w="288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w:anchor="page169">
              <w:r>
                <w:rPr>
                  <w:rFonts w:ascii="Arial" w:cs="Arial" w:eastAsia="Arial" w:hAnsi="Arial"/>
                  <w:sz w:val="13"/>
                  <w:szCs w:val="13"/>
                  <w:color w:val="0000FF"/>
                </w:rPr>
                <w:t>between Debra Zack, MD Ph.D. and the</w:t>
              </w:r>
            </w:hyperlink>
          </w:p>
        </w:tc>
        <w:tc>
          <w:tcPr>
            <w:tcW w:w="260" w:type="dxa"/>
            <w:vAlign w:val="bottom"/>
            <w:gridSpan w:val="1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54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w:anchor="page169">
              <w:r>
                <w:rPr>
                  <w:rFonts w:ascii="Arial" w:cs="Arial" w:eastAsia="Arial" w:hAnsi="Arial"/>
                  <w:sz w:val="13"/>
                  <w:szCs w:val="13"/>
                  <w:color w:val="0000FF"/>
                </w:rPr>
                <w:t>Registrant.</w:t>
              </w:r>
            </w:hyperlink>
          </w:p>
        </w:tc>
        <w:tc>
          <w:tcPr>
            <w:tcW w:w="600" w:type="dxa"/>
            <w:vAlign w:val="bottom"/>
            <w:gridSpan w:val="2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4"/>
                <w:szCs w:val="14"/>
                <w:color w:val="auto"/>
              </w:rPr>
              <w:t>10.42#</w:t>
            </w:r>
          </w:p>
        </w:tc>
        <w:tc>
          <w:tcPr>
            <w:tcW w:w="680" w:type="dxa"/>
            <w:vAlign w:val="bottom"/>
            <w:shd w:val="clear" w:color="auto" w:fill="0000FF"/>
          </w:tcPr>
          <w:p>
            <w:pPr>
              <w:spacing w:after="0" w:line="20" w:lineRule="exact"/>
              <w:rPr>
                <w:sz w:val="1"/>
                <w:szCs w:val="1"/>
                <w:color w:val="auto"/>
              </w:rPr>
            </w:pPr>
          </w:p>
        </w:tc>
        <w:tc>
          <w:tcPr>
            <w:tcW w:w="2460" w:type="dxa"/>
            <w:vAlign w:val="bottom"/>
            <w:gridSpan w:val="4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vMerge w:val="continue"/>
          </w:tcPr>
          <w:p>
            <w:pPr>
              <w:spacing w:after="0"/>
              <w:rPr>
                <w:sz w:val="17"/>
                <w:szCs w:val="17"/>
                <w:color w:val="auto"/>
              </w:rPr>
            </w:pPr>
          </w:p>
        </w:tc>
        <w:tc>
          <w:tcPr>
            <w:tcW w:w="3160" w:type="dxa"/>
            <w:vAlign w:val="bottom"/>
            <w:tcBorders>
              <w:bottom w:val="single" w:sz="8" w:color="0000FF"/>
            </w:tcBorders>
            <w:gridSpan w:val="43"/>
          </w:tcPr>
          <w:p>
            <w:pPr>
              <w:spacing w:after="0"/>
              <w:rPr>
                <w:rFonts w:ascii="Arial" w:cs="Arial" w:eastAsia="Arial" w:hAnsi="Arial"/>
                <w:sz w:val="14"/>
                <w:szCs w:val="14"/>
                <w:color w:val="0000FF"/>
              </w:rPr>
            </w:pPr>
            <w:hyperlink r:id="rId190">
              <w:r>
                <w:rPr>
                  <w:rFonts w:ascii="Arial" w:cs="Arial" w:eastAsia="Arial" w:hAnsi="Arial"/>
                  <w:sz w:val="14"/>
                  <w:szCs w:val="14"/>
                  <w:color w:val="0000FF"/>
                </w:rPr>
                <w:t>Non-Employee Director Compensation Program.</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10.24</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10.25</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10.26</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59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59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10.31</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59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459"/>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10.32</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10.33</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59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10.34</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324"/>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10.35</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10.36</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10.37</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216"/>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333-233446</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10.38</w:t>
            </w:r>
          </w:p>
        </w:tc>
        <w:tc>
          <w:tcPr>
            <w:tcW w:w="1800" w:type="dxa"/>
            <w:vAlign w:val="bottom"/>
          </w:tcPr>
          <w:p>
            <w:pPr>
              <w:jc w:val="right"/>
              <w:ind w:right="908"/>
              <w:spacing w:after="0"/>
              <w:rPr>
                <w:sz w:val="20"/>
                <w:szCs w:val="20"/>
                <w:color w:val="auto"/>
              </w:rPr>
            </w:pPr>
            <w:r>
              <w:rPr>
                <w:rFonts w:ascii="Arial" w:cs="Arial" w:eastAsia="Arial" w:hAnsi="Arial"/>
                <w:sz w:val="14"/>
                <w:szCs w:val="14"/>
                <w:color w:val="auto"/>
              </w:rPr>
              <w:t>9/9/2019</w:t>
            </w:r>
          </w:p>
        </w:tc>
      </w:tr>
    </w:tbl>
    <w:p>
      <w:pPr>
        <w:spacing w:after="0" w:line="200" w:lineRule="exact"/>
        <w:rPr>
          <w:sz w:val="20"/>
          <w:szCs w:val="20"/>
          <w:color w:val="auto"/>
        </w:rPr>
      </w:pPr>
    </w:p>
    <w:p>
      <w:pPr>
        <w:sectPr>
          <w:pgSz w:w="11900" w:h="16838" w:orient="portrait"/>
          <w:cols w:equalWidth="0" w:num="2">
            <w:col w:w="3960" w:space="320"/>
            <w:col w:w="4999"/>
          </w:cols>
          <w:pgMar w:left="1180" w:top="937"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105410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type w:val="continuous"/>
        </w:sectPr>
      </w:pPr>
    </w:p>
    <w:bookmarkStart w:id="122" w:name="page123"/>
    <w:bookmarkEnd w:id="122"/>
    <w:tbl>
      <w:tblPr>
        <w:tblLayout w:type="fixed"/>
        <w:tblInd w:w="123"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180" w:type="dxa"/>
            <w:vAlign w:val="bottom"/>
            <w:gridSpan w:val="13"/>
          </w:tcPr>
          <w:p>
            <w:pPr>
              <w:spacing w:after="0"/>
              <w:rPr>
                <w:rFonts w:ascii="Arial" w:cs="Arial" w:eastAsia="Arial" w:hAnsi="Arial"/>
                <w:sz w:val="14"/>
                <w:szCs w:val="14"/>
                <w:color w:val="0000FF"/>
              </w:rPr>
            </w:pPr>
            <w:hyperlink w:anchor="page170">
              <w:r>
                <w:rPr>
                  <w:rFonts w:ascii="Arial" w:cs="Arial" w:eastAsia="Arial" w:hAnsi="Arial"/>
                  <w:sz w:val="14"/>
                  <w:szCs w:val="14"/>
                  <w:color w:val="0000FF"/>
                </w:rPr>
                <w:t>Consent of Independent Registered Public</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0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w:anchor="page170">
              <w:r>
                <w:rPr>
                  <w:rFonts w:ascii="Arial" w:cs="Arial" w:eastAsia="Arial" w:hAnsi="Arial"/>
                  <w:sz w:val="13"/>
                  <w:szCs w:val="13"/>
                  <w:color w:val="0000FF"/>
                </w:rPr>
                <w:t>Accounting Firm</w:t>
              </w:r>
            </w:hyperlink>
          </w:p>
        </w:tc>
        <w:tc>
          <w:tcPr>
            <w:tcW w:w="166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40" w:type="dxa"/>
            <w:vAlign w:val="bottom"/>
            <w:tcBorders>
              <w:bottom w:val="single" w:sz="8" w:color="0000FF"/>
            </w:tcBorders>
            <w:gridSpan w:val="9"/>
          </w:tcPr>
          <w:p>
            <w:pPr>
              <w:spacing w:after="0"/>
              <w:rPr>
                <w:rFonts w:ascii="Arial" w:cs="Arial" w:eastAsia="Arial" w:hAnsi="Arial"/>
                <w:sz w:val="14"/>
                <w:szCs w:val="14"/>
                <w:color w:val="0000FF"/>
              </w:rPr>
            </w:pPr>
            <w:hyperlink w:anchor="page123">
              <w:r>
                <w:rPr>
                  <w:rFonts w:ascii="Arial" w:cs="Arial" w:eastAsia="Arial" w:hAnsi="Arial"/>
                  <w:sz w:val="14"/>
                  <w:szCs w:val="14"/>
                  <w:color w:val="0000FF"/>
                </w:rPr>
                <w:t>Power of Attorney (included on signature page).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180" w:type="dxa"/>
            <w:vAlign w:val="bottom"/>
            <w:gridSpan w:val="13"/>
          </w:tcPr>
          <w:p>
            <w:pPr>
              <w:spacing w:after="0"/>
              <w:rPr>
                <w:rFonts w:ascii="Arial" w:cs="Arial" w:eastAsia="Arial" w:hAnsi="Arial"/>
                <w:sz w:val="14"/>
                <w:szCs w:val="14"/>
                <w:color w:val="0000FF"/>
              </w:rPr>
            </w:pPr>
            <w:hyperlink w:anchor="page171">
              <w:r>
                <w:rPr>
                  <w:rFonts w:ascii="Arial" w:cs="Arial" w:eastAsia="Arial" w:hAnsi="Arial"/>
                  <w:sz w:val="14"/>
                  <w:szCs w:val="14"/>
                  <w:color w:val="0000FF"/>
                </w:rPr>
                <w:t>Certificate of Principal Executive Officer, pursuant</w:t>
              </w:r>
            </w:hyperlink>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60" w:type="dxa"/>
            <w:vAlign w:val="bottom"/>
            <w:tcBorders>
              <w:top w:val="single" w:sz="8" w:color="0000FF"/>
            </w:tcBorders>
            <w:gridSpan w:val="12"/>
          </w:tcPr>
          <w:p>
            <w:pPr>
              <w:spacing w:after="0" w:line="106" w:lineRule="exact"/>
              <w:rPr>
                <w:rFonts w:ascii="Arial" w:cs="Arial" w:eastAsia="Arial" w:hAnsi="Arial"/>
                <w:sz w:val="12"/>
                <w:szCs w:val="12"/>
                <w:color w:val="0000FF"/>
              </w:rPr>
            </w:pPr>
            <w:hyperlink w:anchor="page171">
              <w:r>
                <w:rPr>
                  <w:rFonts w:ascii="Arial" w:cs="Arial" w:eastAsia="Arial" w:hAnsi="Arial"/>
                  <w:sz w:val="12"/>
                  <w:szCs w:val="12"/>
                  <w:color w:val="0000FF"/>
                </w:rPr>
                <w:t>to Rule 13a-14(a)/15d-14(a), as adopted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560" w:type="dxa"/>
            <w:vAlign w:val="bottom"/>
            <w:tcBorders>
              <w:top w:val="single" w:sz="8" w:color="0000FF"/>
            </w:tcBorders>
            <w:gridSpan w:val="4"/>
          </w:tcPr>
          <w:p>
            <w:pPr>
              <w:spacing w:after="0" w:line="122" w:lineRule="exact"/>
              <w:rPr>
                <w:rFonts w:ascii="Arial" w:cs="Arial" w:eastAsia="Arial" w:hAnsi="Arial"/>
                <w:sz w:val="14"/>
                <w:szCs w:val="14"/>
                <w:color w:val="0000FF"/>
              </w:rPr>
            </w:pPr>
            <w:hyperlink w:anchor="page171">
              <w:r>
                <w:rPr>
                  <w:rFonts w:ascii="Arial" w:cs="Arial" w:eastAsia="Arial" w:hAnsi="Arial"/>
                  <w:sz w:val="14"/>
                  <w:szCs w:val="14"/>
                  <w:color w:val="0000FF"/>
                </w:rPr>
                <w:t>pursuant to Section 302 of the Sarbanes</w:t>
              </w:r>
            </w:hyperlink>
          </w:p>
        </w:tc>
        <w:tc>
          <w:tcPr>
            <w:tcW w:w="620" w:type="dxa"/>
            <w:vAlign w:val="bottom"/>
            <w:gridSpan w:val="9"/>
          </w:tcPr>
          <w:p>
            <w:pPr>
              <w:spacing w:after="0" w:line="122" w:lineRule="exact"/>
              <w:rPr>
                <w:rFonts w:ascii="Arial" w:cs="Arial" w:eastAsia="Arial" w:hAnsi="Arial"/>
                <w:sz w:val="14"/>
                <w:szCs w:val="14"/>
                <w:color w:val="0000FF"/>
              </w:rPr>
            </w:pPr>
            <w:hyperlink w:anchor="page171">
              <w:r>
                <w:rPr>
                  <w:rFonts w:ascii="Arial" w:cs="Arial" w:eastAsia="Arial" w:hAnsi="Arial"/>
                  <w:sz w:val="14"/>
                  <w:szCs w:val="14"/>
                  <w:color w:val="0000FF"/>
                </w:rPr>
                <w:t>-Oxley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8"/>
          </w:tcPr>
          <w:p>
            <w:pPr>
              <w:spacing w:after="0" w:line="115" w:lineRule="exact"/>
              <w:rPr>
                <w:rFonts w:ascii="Arial" w:cs="Arial" w:eastAsia="Arial" w:hAnsi="Arial"/>
                <w:sz w:val="13"/>
                <w:szCs w:val="13"/>
                <w:color w:val="0000FF"/>
              </w:rPr>
            </w:pPr>
            <w:hyperlink w:anchor="page171">
              <w:r>
                <w:rPr>
                  <w:rFonts w:ascii="Arial" w:cs="Arial" w:eastAsia="Arial" w:hAnsi="Arial"/>
                  <w:sz w:val="13"/>
                  <w:szCs w:val="13"/>
                  <w:color w:val="0000FF"/>
                </w:rPr>
                <w:t>Act of 2002.</w:t>
              </w:r>
            </w:hyperlink>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80" w:type="dxa"/>
            <w:vAlign w:val="bottom"/>
            <w:gridSpan w:val="13"/>
          </w:tcPr>
          <w:p>
            <w:pPr>
              <w:spacing w:after="0"/>
              <w:rPr>
                <w:rFonts w:ascii="Arial" w:cs="Arial" w:eastAsia="Arial" w:hAnsi="Arial"/>
                <w:sz w:val="14"/>
                <w:szCs w:val="14"/>
                <w:color w:val="0000FF"/>
              </w:rPr>
            </w:pPr>
            <w:hyperlink w:anchor="page173">
              <w:r>
                <w:rPr>
                  <w:rFonts w:ascii="Arial" w:cs="Arial" w:eastAsia="Arial" w:hAnsi="Arial"/>
                  <w:sz w:val="14"/>
                  <w:szCs w:val="14"/>
                  <w:color w:val="0000FF"/>
                </w:rPr>
                <w:t>Certificate of Principal Financial Officer, pursuant</w:t>
              </w:r>
            </w:hyperlink>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00" w:type="dxa"/>
            <w:vAlign w:val="bottom"/>
            <w:tcBorders>
              <w:top w:val="single" w:sz="8" w:color="0000FF"/>
            </w:tcBorders>
            <w:gridSpan w:val="10"/>
          </w:tcPr>
          <w:p>
            <w:pPr>
              <w:spacing w:after="0" w:line="106" w:lineRule="exact"/>
              <w:rPr>
                <w:rFonts w:ascii="Arial" w:cs="Arial" w:eastAsia="Arial" w:hAnsi="Arial"/>
                <w:sz w:val="12"/>
                <w:szCs w:val="12"/>
                <w:color w:val="0000FF"/>
              </w:rPr>
            </w:pPr>
            <w:hyperlink w:anchor="page173">
              <w:r>
                <w:rPr>
                  <w:rFonts w:ascii="Arial" w:cs="Arial" w:eastAsia="Arial" w:hAnsi="Arial"/>
                  <w:sz w:val="12"/>
                  <w:szCs w:val="12"/>
                  <w:color w:val="0000FF"/>
                </w:rPr>
                <w:t>to Rule 13a-14(a)/15d-14(a), as adopted</w:t>
              </w:r>
            </w:hyperlink>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4"/>
          </w:tcPr>
          <w:p>
            <w:pPr>
              <w:spacing w:after="0" w:line="122" w:lineRule="exact"/>
              <w:rPr>
                <w:rFonts w:ascii="Arial" w:cs="Arial" w:eastAsia="Arial" w:hAnsi="Arial"/>
                <w:sz w:val="14"/>
                <w:szCs w:val="14"/>
                <w:color w:val="0000FF"/>
              </w:rPr>
            </w:pPr>
            <w:hyperlink w:anchor="page173">
              <w:r>
                <w:rPr>
                  <w:rFonts w:ascii="Arial" w:cs="Arial" w:eastAsia="Arial" w:hAnsi="Arial"/>
                  <w:sz w:val="14"/>
                  <w:szCs w:val="14"/>
                  <w:color w:val="0000FF"/>
                </w:rPr>
                <w:t>pursuant to Section 302 of the Sarbanes</w:t>
              </w:r>
            </w:hyperlink>
          </w:p>
        </w:tc>
        <w:tc>
          <w:tcPr>
            <w:tcW w:w="620" w:type="dxa"/>
            <w:vAlign w:val="bottom"/>
            <w:gridSpan w:val="9"/>
          </w:tcPr>
          <w:p>
            <w:pPr>
              <w:spacing w:after="0" w:line="122" w:lineRule="exact"/>
              <w:rPr>
                <w:rFonts w:ascii="Arial" w:cs="Arial" w:eastAsia="Arial" w:hAnsi="Arial"/>
                <w:sz w:val="14"/>
                <w:szCs w:val="14"/>
                <w:color w:val="0000FF"/>
              </w:rPr>
            </w:pPr>
            <w:hyperlink w:anchor="page173">
              <w:r>
                <w:rPr>
                  <w:rFonts w:ascii="Arial" w:cs="Arial" w:eastAsia="Arial" w:hAnsi="Arial"/>
                  <w:sz w:val="14"/>
                  <w:szCs w:val="14"/>
                  <w:color w:val="0000FF"/>
                </w:rPr>
                <w:t>-Oxley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8"/>
          </w:tcPr>
          <w:p>
            <w:pPr>
              <w:spacing w:after="0" w:line="115" w:lineRule="exact"/>
              <w:rPr>
                <w:rFonts w:ascii="Arial" w:cs="Arial" w:eastAsia="Arial" w:hAnsi="Arial"/>
                <w:sz w:val="13"/>
                <w:szCs w:val="13"/>
                <w:color w:val="0000FF"/>
              </w:rPr>
            </w:pPr>
            <w:hyperlink w:anchor="page173">
              <w:r>
                <w:rPr>
                  <w:rFonts w:ascii="Arial" w:cs="Arial" w:eastAsia="Arial" w:hAnsi="Arial"/>
                  <w:sz w:val="13"/>
                  <w:szCs w:val="13"/>
                  <w:color w:val="0000FF"/>
                </w:rPr>
                <w:t>Act of 2002.</w:t>
              </w:r>
            </w:hyperlink>
          </w:p>
        </w:tc>
        <w:tc>
          <w:tcPr>
            <w:tcW w:w="14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80" w:type="dxa"/>
            <w:vAlign w:val="bottom"/>
            <w:gridSpan w:val="13"/>
          </w:tcPr>
          <w:p>
            <w:pPr>
              <w:spacing w:after="0"/>
              <w:rPr>
                <w:rFonts w:ascii="Arial" w:cs="Arial" w:eastAsia="Arial" w:hAnsi="Arial"/>
                <w:sz w:val="14"/>
                <w:szCs w:val="14"/>
                <w:color w:val="0000FF"/>
              </w:rPr>
            </w:pPr>
            <w:hyperlink w:anchor="page175">
              <w:r>
                <w:rPr>
                  <w:rFonts w:ascii="Arial" w:cs="Arial" w:eastAsia="Arial" w:hAnsi="Arial"/>
                  <w:sz w:val="14"/>
                  <w:szCs w:val="14"/>
                  <w:color w:val="0000FF"/>
                </w:rPr>
                <w:t>Certifications Pursuant to U.S.C. Section 1350,</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180" w:type="dxa"/>
            <w:vAlign w:val="bottom"/>
            <w:gridSpan w:val="13"/>
          </w:tcPr>
          <w:p>
            <w:pPr>
              <w:spacing w:after="0" w:line="115" w:lineRule="exact"/>
              <w:rPr>
                <w:rFonts w:ascii="Arial" w:cs="Arial" w:eastAsia="Arial" w:hAnsi="Arial"/>
                <w:sz w:val="13"/>
                <w:szCs w:val="13"/>
                <w:color w:val="0000FF"/>
              </w:rPr>
            </w:pPr>
            <w:hyperlink w:anchor="page175">
              <w:r>
                <w:rPr>
                  <w:rFonts w:ascii="Arial" w:cs="Arial" w:eastAsia="Arial" w:hAnsi="Arial"/>
                  <w:sz w:val="13"/>
                  <w:szCs w:val="13"/>
                  <w:color w:val="0000FF"/>
                </w:rPr>
                <w:t>As Adopted Pursuant to Section 906 of the Public</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314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w:anchor="page175">
              <w:r>
                <w:rPr>
                  <w:rFonts w:ascii="Arial" w:cs="Arial" w:eastAsia="Arial" w:hAnsi="Arial"/>
                  <w:sz w:val="13"/>
                  <w:szCs w:val="13"/>
                  <w:color w:val="0000FF"/>
                </w:rPr>
                <w:t>Company Accounting Reform and Investor</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720" w:type="dxa"/>
            <w:vAlign w:val="bottom"/>
            <w:tcBorders>
              <w:top w:val="single" w:sz="8" w:color="0000FF"/>
            </w:tcBorders>
            <w:gridSpan w:val="6"/>
          </w:tcPr>
          <w:p>
            <w:pPr>
              <w:spacing w:after="0" w:line="115" w:lineRule="exact"/>
              <w:rPr>
                <w:rFonts w:ascii="Arial" w:cs="Arial" w:eastAsia="Arial" w:hAnsi="Arial"/>
                <w:sz w:val="13"/>
                <w:szCs w:val="13"/>
                <w:color w:val="0000FF"/>
              </w:rPr>
            </w:pPr>
            <w:hyperlink w:anchor="page175">
              <w:r>
                <w:rPr>
                  <w:rFonts w:ascii="Arial" w:cs="Arial" w:eastAsia="Arial" w:hAnsi="Arial"/>
                  <w:sz w:val="13"/>
                  <w:szCs w:val="13"/>
                  <w:color w:val="0000FF"/>
                </w:rPr>
                <w:t>Protection Act of 2002.</w:t>
              </w:r>
            </w:hyperlink>
          </w:p>
        </w:tc>
        <w:tc>
          <w:tcPr>
            <w:tcW w:w="4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180" w:type="dxa"/>
            <w:vAlign w:val="bottom"/>
            <w:gridSpan w:val="13"/>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3"/>
          </w:tcPr>
          <w:p>
            <w:pPr>
              <w:spacing w:after="0"/>
              <w:rPr>
                <w:sz w:val="20"/>
                <w:szCs w:val="20"/>
                <w:color w:val="auto"/>
              </w:rPr>
            </w:pPr>
            <w:r>
              <w:rPr>
                <w:rFonts w:ascii="Arial" w:cs="Arial" w:eastAsia="Arial" w:hAnsi="Arial"/>
                <w:sz w:val="14"/>
                <w:szCs w:val="14"/>
                <w:color w:val="auto"/>
              </w:rPr>
              <w:t>XBRL Taxonomy Extension Calculation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318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3"/>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318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3"/>
          </w:tcPr>
          <w:p>
            <w:pPr>
              <w:spacing w:after="0"/>
              <w:rPr>
                <w:sz w:val="20"/>
                <w:szCs w:val="20"/>
                <w:color w:val="auto"/>
              </w:rPr>
            </w:pPr>
            <w:r>
              <w:rPr>
                <w:rFonts w:ascii="Arial" w:cs="Arial" w:eastAsia="Arial" w:hAnsi="Arial"/>
                <w:sz w:val="14"/>
                <w:szCs w:val="14"/>
                <w:color w:val="auto"/>
              </w:rPr>
              <w:t>XBRL Taxonomy Extension Labels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318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3"/>
          </w:tcPr>
          <w:p>
            <w:pPr>
              <w:spacing w:after="0"/>
              <w:rPr>
                <w:sz w:val="20"/>
                <w:szCs w:val="20"/>
                <w:color w:val="auto"/>
              </w:rPr>
            </w:pPr>
            <w:r>
              <w:rPr>
                <w:rFonts w:ascii="Arial" w:cs="Arial" w:eastAsia="Arial" w:hAnsi="Arial"/>
                <w:sz w:val="14"/>
                <w:szCs w:val="14"/>
                <w:color w:val="auto"/>
              </w:rPr>
              <w:t>XBRL Taxonomy Extension Presentation</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3180" w:type="dxa"/>
            <w:vAlign w:val="bottom"/>
            <w:gridSpan w:val="13"/>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45" w:lineRule="exact"/>
        <w:rPr>
          <w:sz w:val="20"/>
          <w:szCs w:val="20"/>
          <w:color w:val="auto"/>
        </w:rPr>
      </w:pPr>
    </w:p>
    <w:p>
      <w:pPr>
        <w:sectPr>
          <w:pgSz w:w="11900" w:h="16838" w:orient="portrait"/>
          <w:cols w:equalWidth="0" w:num="2">
            <w:col w:w="8223" w:space="720"/>
            <w:col w:w="1060"/>
          </w:cols>
          <w:pgMar w:left="1057" w:top="937" w:right="839" w:bottom="1440" w:gutter="0" w:footer="0" w:header="0"/>
        </w:sectPr>
      </w:pPr>
    </w:p>
    <w:p>
      <w:pPr>
        <w:spacing w:after="0" w:line="162" w:lineRule="exact"/>
        <w:rPr>
          <w:sz w:val="20"/>
          <w:szCs w:val="20"/>
          <w:color w:val="auto"/>
        </w:rPr>
      </w:pPr>
    </w:p>
    <w:p>
      <w:pPr>
        <w:jc w:val="right"/>
        <w:ind w:left="643" w:hanging="643"/>
        <w:spacing w:after="0" w:line="265" w:lineRule="auto"/>
        <w:tabs>
          <w:tab w:leader="none" w:pos="165"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ind w:left="3"/>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left="143" w:hanging="143"/>
        <w:spacing w:after="0"/>
        <w:tabs>
          <w:tab w:leader="none" w:pos="1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743"/>
        <w:spacing w:after="0"/>
        <w:rPr>
          <w:rFonts w:ascii="Arial" w:cs="Arial" w:eastAsia="Arial" w:hAnsi="Arial"/>
          <w:sz w:val="18"/>
          <w:szCs w:val="18"/>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3"/>
          </w:cols>
          <w:pgMar w:left="1057" w:top="937" w:right="839" w:bottom="1440" w:gutter="0" w:footer="0" w:header="0"/>
          <w:type w:val="continuous"/>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220" w:val="left"/>
          <w:tab w:leader="none" w:pos="684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4860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Fortunato Ron Rocca</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Fortunato Ron Rocca and Kamal Adawi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23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9"/>
                <w:szCs w:val="19"/>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r>
      <w:tr>
        <w:trPr>
          <w:trHeight w:val="3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Fortunato Ron Rocca</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President, Chief Executive Officer and Director</w:t>
            </w:r>
          </w:p>
        </w:tc>
      </w:tr>
      <w:tr>
        <w:trPr>
          <w:trHeight w:val="223"/>
        </w:trPr>
        <w:tc>
          <w:tcPr>
            <w:tcW w:w="2820" w:type="dxa"/>
            <w:vAlign w:val="bottom"/>
          </w:tcPr>
          <w:p>
            <w:pPr>
              <w:jc w:val="center"/>
              <w:spacing w:after="0"/>
              <w:rPr>
                <w:sz w:val="20"/>
                <w:szCs w:val="20"/>
                <w:color w:val="auto"/>
              </w:rPr>
            </w:pPr>
            <w:r>
              <w:rPr>
                <w:rFonts w:ascii="Arial" w:cs="Arial" w:eastAsia="Arial" w:hAnsi="Arial"/>
                <w:sz w:val="16"/>
                <w:szCs w:val="16"/>
                <w:color w:val="auto"/>
              </w:rPr>
              <w:t>Fortunato Ron Rocca</w:t>
            </w:r>
          </w:p>
        </w:tc>
        <w:tc>
          <w:tcPr>
            <w:tcW w:w="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(Principal Executive Officer)</w:t>
            </w: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Kamal Adawi</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Chief Financial Officer and Corporate Secretary</w:t>
            </w:r>
          </w:p>
        </w:tc>
      </w:tr>
      <w:tr>
        <w:trPr>
          <w:trHeight w:val="224"/>
        </w:trPr>
        <w:tc>
          <w:tcPr>
            <w:tcW w:w="2820" w:type="dxa"/>
            <w:vAlign w:val="bottom"/>
          </w:tcPr>
          <w:p>
            <w:pPr>
              <w:jc w:val="center"/>
              <w:spacing w:after="0"/>
              <w:rPr>
                <w:sz w:val="20"/>
                <w:szCs w:val="20"/>
                <w:color w:val="auto"/>
              </w:rPr>
            </w:pPr>
            <w:r>
              <w:rPr>
                <w:rFonts w:ascii="Arial" w:cs="Arial" w:eastAsia="Arial" w:hAnsi="Arial"/>
                <w:sz w:val="16"/>
                <w:szCs w:val="16"/>
                <w:color w:val="auto"/>
              </w:rPr>
              <w:t>Kamal Adawi</w:t>
            </w:r>
          </w:p>
        </w:tc>
        <w:tc>
          <w:tcPr>
            <w:tcW w:w="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(Principal Financial and Accounting Officer)</w:t>
            </w: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Brian Birk</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Chairman of the Board of Directors</w:t>
            </w:r>
          </w:p>
        </w:tc>
      </w:tr>
      <w:tr>
        <w:trPr>
          <w:trHeight w:val="224"/>
        </w:trPr>
        <w:tc>
          <w:tcPr>
            <w:tcW w:w="2820" w:type="dxa"/>
            <w:vAlign w:val="bottom"/>
          </w:tcPr>
          <w:p>
            <w:pPr>
              <w:jc w:val="center"/>
              <w:spacing w:after="0"/>
              <w:rPr>
                <w:sz w:val="20"/>
                <w:szCs w:val="20"/>
                <w:color w:val="auto"/>
              </w:rPr>
            </w:pPr>
            <w:r>
              <w:rPr>
                <w:rFonts w:ascii="Arial" w:cs="Arial" w:eastAsia="Arial" w:hAnsi="Arial"/>
                <w:sz w:val="16"/>
                <w:szCs w:val="16"/>
                <w:color w:val="auto"/>
              </w:rPr>
              <w:t>Brian Birk</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Chet Burrell</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23"/>
        </w:trPr>
        <w:tc>
          <w:tcPr>
            <w:tcW w:w="2820" w:type="dxa"/>
            <w:vAlign w:val="bottom"/>
          </w:tcPr>
          <w:p>
            <w:pPr>
              <w:jc w:val="center"/>
              <w:spacing w:after="0"/>
              <w:rPr>
                <w:sz w:val="20"/>
                <w:szCs w:val="20"/>
                <w:color w:val="auto"/>
              </w:rPr>
            </w:pPr>
            <w:r>
              <w:rPr>
                <w:rFonts w:ascii="Arial" w:cs="Arial" w:eastAsia="Arial" w:hAnsi="Arial"/>
                <w:sz w:val="16"/>
                <w:szCs w:val="16"/>
                <w:color w:val="auto"/>
              </w:rPr>
              <w:t>Chet Burrell</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Jeff Elliott</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24"/>
        </w:trPr>
        <w:tc>
          <w:tcPr>
            <w:tcW w:w="2820" w:type="dxa"/>
            <w:vAlign w:val="bottom"/>
          </w:tcPr>
          <w:p>
            <w:pPr>
              <w:jc w:val="center"/>
              <w:spacing w:after="0"/>
              <w:rPr>
                <w:sz w:val="20"/>
                <w:szCs w:val="20"/>
                <w:color w:val="auto"/>
              </w:rPr>
            </w:pPr>
            <w:r>
              <w:rPr>
                <w:rFonts w:ascii="Arial" w:cs="Arial" w:eastAsia="Arial" w:hAnsi="Arial"/>
                <w:sz w:val="16"/>
                <w:szCs w:val="16"/>
                <w:color w:val="auto"/>
              </w:rPr>
              <w:t>Jeff Elliott</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24"/>
        </w:trPr>
        <w:tc>
          <w:tcPr>
            <w:tcW w:w="282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Ebetuel Pallares, Ph.D.</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24"/>
        </w:trPr>
        <w:tc>
          <w:tcPr>
            <w:tcW w:w="2820" w:type="dxa"/>
            <w:vAlign w:val="bottom"/>
          </w:tcPr>
          <w:p>
            <w:pPr>
              <w:jc w:val="center"/>
              <w:spacing w:after="0"/>
              <w:rPr>
                <w:sz w:val="20"/>
                <w:szCs w:val="20"/>
                <w:color w:val="auto"/>
              </w:rPr>
            </w:pPr>
            <w:r>
              <w:rPr>
                <w:rFonts w:ascii="Arial" w:cs="Arial" w:eastAsia="Arial" w:hAnsi="Arial"/>
                <w:sz w:val="16"/>
                <w:szCs w:val="16"/>
                <w:color w:val="auto"/>
              </w:rPr>
              <w:t>Ebetuel Pallares, Ph.D.</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23"/>
        </w:trPr>
        <w:tc>
          <w:tcPr>
            <w:tcW w:w="282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18"/>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James L.L. Tullis</w:t>
            </w:r>
          </w:p>
        </w:tc>
        <w:tc>
          <w:tcPr>
            <w:tcW w:w="1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23"/>
        </w:trPr>
        <w:tc>
          <w:tcPr>
            <w:tcW w:w="2820" w:type="dxa"/>
            <w:vAlign w:val="bottom"/>
          </w:tcPr>
          <w:p>
            <w:pPr>
              <w:jc w:val="center"/>
              <w:spacing w:after="0"/>
              <w:rPr>
                <w:sz w:val="20"/>
                <w:szCs w:val="20"/>
                <w:color w:val="auto"/>
              </w:rPr>
            </w:pPr>
            <w:r>
              <w:rPr>
                <w:rFonts w:ascii="Arial" w:cs="Arial" w:eastAsia="Arial" w:hAnsi="Arial"/>
                <w:sz w:val="16"/>
                <w:szCs w:val="16"/>
                <w:color w:val="auto"/>
                <w:w w:val="99"/>
              </w:rPr>
              <w:t>James L.L. Tullis</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br w:type="column"/>
      </w:r>
    </w:p>
    <w:p>
      <w:pPr>
        <w:jc w:val="center"/>
        <w:ind w:right="419"/>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31750</wp:posOffset>
            </wp:positionV>
            <wp:extent cx="13544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6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25, 2020</w:t>
      </w:r>
    </w:p>
    <w:p>
      <w:pPr>
        <w:sectPr>
          <w:pgSz w:w="11900" w:h="16838" w:orient="portrait"/>
          <w:cols w:equalWidth="0" w:num="2">
            <w:col w:w="6940" w:space="620"/>
            <w:col w:w="1539"/>
          </w:cols>
          <w:pgMar w:left="1360" w:top="945" w:right="1440" w:bottom="1440" w:gutter="0" w:footer="0" w:header="0"/>
        </w:sectPr>
      </w:pPr>
    </w:p>
    <w:bookmarkStart w:id="125" w:name="page126"/>
    <w:bookmarkEnd w:id="125"/>
    <w:p>
      <w:pPr>
        <w:ind w:left="10120"/>
        <w:spacing w:after="0"/>
        <w:rPr>
          <w:sz w:val="20"/>
          <w:szCs w:val="20"/>
          <w:color w:val="auto"/>
        </w:rPr>
      </w:pPr>
      <w:r>
        <w:rPr>
          <w:rFonts w:ascii="Arial" w:cs="Arial" w:eastAsia="Arial" w:hAnsi="Arial"/>
          <w:sz w:val="18"/>
          <w:szCs w:val="18"/>
          <w:b w:val="1"/>
          <w:bCs w:val="1"/>
          <w:color w:val="auto"/>
        </w:rPr>
        <w:t>Exhibit 10.27</w:t>
      </w:r>
    </w:p>
    <w:p>
      <w:pPr>
        <w:spacing w:after="0" w:line="26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SECOND ADDENDUM TO STANDARD INDUSTRIAL/COMMERCIAL MULTI-TENANT LEASE – NET DATED JANUARY 13, 2012 BY AND BETWEEN RGS PROPERTIES, AS LESSOR AND EXAGEN DIAGNOSTICS, INC. AS LESSEE, FOR THE PREMISES LOCATED AT 1261 LIBERTY WAY, SUITE B AND C, CALIFORNIA.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Lessor and Lessee mutually agree to amend the lease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1.3 (Term):</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Lease Term will be extended to the new Expiration Date of January 31, 2018</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50 (Rent Schedule):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Base Rent shall be as follows:</w:t>
      </w:r>
    </w:p>
    <w:p>
      <w:pPr>
        <w:spacing w:after="0" w:line="399" w:lineRule="exact"/>
        <w:rPr>
          <w:sz w:val="20"/>
          <w:szCs w:val="20"/>
          <w:color w:val="auto"/>
        </w:rPr>
      </w:pPr>
    </w:p>
    <w:tbl>
      <w:tblPr>
        <w:tblLayout w:type="fixed"/>
        <w:tblInd w:w="1390" w:type="dxa"/>
        <w:tblCellMar>
          <w:top w:w="0" w:type="dxa"/>
          <w:left w:w="0" w:type="dxa"/>
          <w:bottom w:w="0" w:type="dxa"/>
          <w:right w:w="0" w:type="dxa"/>
        </w:tblCellMar>
      </w:tblPr>
      <w:tr>
        <w:trPr>
          <w:trHeight w:val="274"/>
        </w:trPr>
        <w:tc>
          <w:tcPr>
            <w:tcW w:w="45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Dates</w:t>
            </w:r>
          </w:p>
        </w:tc>
        <w:tc>
          <w:tcPr>
            <w:tcW w:w="39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Base Rent</w:t>
            </w:r>
          </w:p>
        </w:tc>
      </w:tr>
      <w:tr>
        <w:trPr>
          <w:trHeight w:val="23"/>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r>
        <w:trPr>
          <w:trHeight w:val="254"/>
        </w:trPr>
        <w:tc>
          <w:tcPr>
            <w:tcW w:w="4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February 1, 2017 - January 31, 2018</w:t>
            </w:r>
          </w:p>
        </w:tc>
        <w:tc>
          <w:tcPr>
            <w:tcW w:w="3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$12,705.44 per month</w:t>
            </w:r>
          </w:p>
        </w:tc>
      </w:tr>
      <w:tr>
        <w:trPr>
          <w:trHeight w:val="23"/>
        </w:trPr>
        <w:tc>
          <w:tcPr>
            <w:tcW w:w="458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other terms and conditions of the existing Lease shall remain in full force and effect.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addendum shall automatically expire if not executed by Lessee on or before Wednesday, April 13, 2016.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80" w:type="dxa"/>
            <w:vAlign w:val="bottom"/>
            <w:gridSpan w:val="2"/>
          </w:tcPr>
          <w:p>
            <w:pPr>
              <w:ind w:left="20"/>
              <w:spacing w:after="0"/>
              <w:rPr>
                <w:sz w:val="20"/>
                <w:szCs w:val="20"/>
                <w:color w:val="auto"/>
              </w:rPr>
            </w:pPr>
            <w:r>
              <w:rPr>
                <w:rFonts w:ascii="Arial" w:cs="Arial" w:eastAsia="Arial" w:hAnsi="Arial"/>
                <w:sz w:val="20"/>
                <w:szCs w:val="20"/>
                <w:b w:val="1"/>
                <w:bCs w:val="1"/>
                <w:color w:val="auto"/>
              </w:rPr>
              <w:t>LESSOR:</w:t>
            </w:r>
          </w:p>
        </w:tc>
        <w:tc>
          <w:tcPr>
            <w:tcW w:w="3900" w:type="dxa"/>
            <w:vAlign w:val="bottom"/>
          </w:tcPr>
          <w:p>
            <w:pPr>
              <w:ind w:left="20"/>
              <w:spacing w:after="0"/>
              <w:rPr>
                <w:sz w:val="20"/>
                <w:szCs w:val="20"/>
                <w:color w:val="auto"/>
              </w:rPr>
            </w:pPr>
            <w:r>
              <w:rPr>
                <w:rFonts w:ascii="Arial" w:cs="Arial" w:eastAsia="Arial" w:hAnsi="Arial"/>
                <w:sz w:val="20"/>
                <w:szCs w:val="20"/>
                <w:b w:val="1"/>
                <w:bCs w:val="1"/>
                <w:color w:val="auto"/>
              </w:rPr>
              <w:t>LESSEE:</w:t>
            </w:r>
          </w:p>
        </w:tc>
      </w:tr>
      <w:tr>
        <w:trPr>
          <w:trHeight w:val="283"/>
        </w:trPr>
        <w:tc>
          <w:tcPr>
            <w:tcW w:w="4980" w:type="dxa"/>
            <w:vAlign w:val="bottom"/>
            <w:gridSpan w:val="2"/>
          </w:tcPr>
          <w:p>
            <w:pPr>
              <w:ind w:left="20"/>
              <w:spacing w:after="0"/>
              <w:rPr>
                <w:sz w:val="20"/>
                <w:szCs w:val="20"/>
                <w:color w:val="auto"/>
              </w:rPr>
            </w:pPr>
            <w:r>
              <w:rPr>
                <w:rFonts w:ascii="Arial" w:cs="Arial" w:eastAsia="Arial" w:hAnsi="Arial"/>
                <w:sz w:val="20"/>
                <w:szCs w:val="20"/>
                <w:b w:val="1"/>
                <w:bCs w:val="1"/>
                <w:color w:val="auto"/>
              </w:rPr>
              <w:t>RGS Properties</w:t>
            </w:r>
          </w:p>
        </w:tc>
        <w:tc>
          <w:tcPr>
            <w:tcW w:w="3900" w:type="dxa"/>
            <w:vAlign w:val="bottom"/>
          </w:tcPr>
          <w:p>
            <w:pPr>
              <w:ind w:left="20"/>
              <w:spacing w:after="0"/>
              <w:rPr>
                <w:sz w:val="20"/>
                <w:szCs w:val="20"/>
                <w:color w:val="auto"/>
              </w:rPr>
            </w:pPr>
            <w:r>
              <w:rPr>
                <w:rFonts w:ascii="Arial" w:cs="Arial" w:eastAsia="Arial" w:hAnsi="Arial"/>
                <w:sz w:val="20"/>
                <w:szCs w:val="20"/>
                <w:b w:val="1"/>
                <w:bCs w:val="1"/>
                <w:color w:val="auto"/>
              </w:rPr>
              <w:t>Exagen Diagnostics, Inc.</w:t>
            </w:r>
          </w:p>
        </w:tc>
      </w:tr>
      <w:tr>
        <w:trPr>
          <w:trHeight w:val="823"/>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By: /s/ Greg Smith</w:t>
            </w:r>
          </w:p>
        </w:tc>
        <w:tc>
          <w:tcPr>
            <w:tcW w:w="3900" w:type="dxa"/>
            <w:vAlign w:val="bottom"/>
          </w:tcPr>
          <w:p>
            <w:pPr>
              <w:ind w:left="20"/>
              <w:spacing w:after="0"/>
              <w:rPr>
                <w:sz w:val="20"/>
                <w:szCs w:val="20"/>
                <w:color w:val="auto"/>
              </w:rPr>
            </w:pPr>
            <w:r>
              <w:rPr>
                <w:rFonts w:ascii="Arial" w:cs="Arial" w:eastAsia="Arial" w:hAnsi="Arial"/>
                <w:sz w:val="20"/>
                <w:szCs w:val="20"/>
                <w:color w:val="auto"/>
              </w:rPr>
              <w:t>By: /s/ Ron Rocca</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510"/>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By: /s/ Scott Smith</w:t>
            </w:r>
          </w:p>
        </w:tc>
        <w:tc>
          <w:tcPr>
            <w:tcW w:w="3900" w:type="dxa"/>
            <w:vAlign w:val="bottom"/>
          </w:tcPr>
          <w:p>
            <w:pPr>
              <w:ind w:left="20"/>
              <w:spacing w:after="0"/>
              <w:rPr>
                <w:sz w:val="20"/>
                <w:szCs w:val="20"/>
                <w:color w:val="auto"/>
              </w:rPr>
            </w:pPr>
            <w:r>
              <w:rPr>
                <w:rFonts w:ascii="Arial" w:cs="Arial" w:eastAsia="Arial" w:hAnsi="Arial"/>
                <w:sz w:val="20"/>
                <w:szCs w:val="20"/>
                <w:color w:val="auto"/>
              </w:rPr>
              <w:t>Title: CEO</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510"/>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Date: 4/29/2016</w:t>
            </w:r>
          </w:p>
        </w:tc>
        <w:tc>
          <w:tcPr>
            <w:tcW w:w="3900" w:type="dxa"/>
            <w:vAlign w:val="bottom"/>
          </w:tcPr>
          <w:p>
            <w:pPr>
              <w:ind w:left="20"/>
              <w:spacing w:after="0"/>
              <w:rPr>
                <w:sz w:val="20"/>
                <w:szCs w:val="20"/>
                <w:color w:val="auto"/>
              </w:rPr>
            </w:pPr>
            <w:r>
              <w:rPr>
                <w:rFonts w:ascii="Arial" w:cs="Arial" w:eastAsia="Arial" w:hAnsi="Arial"/>
                <w:sz w:val="20"/>
                <w:szCs w:val="20"/>
                <w:color w:val="auto"/>
              </w:rPr>
              <w:t>Date: 4/29/2016</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3" w:right="339" w:bottom="1440" w:gutter="0" w:footer="0" w:header="0"/>
        </w:sectPr>
      </w:pPr>
    </w:p>
    <w:bookmarkStart w:id="126" w:name="page127"/>
    <w:bookmarkEnd w:id="126"/>
    <w:p>
      <w:pPr>
        <w:ind w:left="10120"/>
        <w:spacing w:after="0"/>
        <w:rPr>
          <w:sz w:val="20"/>
          <w:szCs w:val="20"/>
          <w:color w:val="auto"/>
        </w:rPr>
      </w:pPr>
      <w:r>
        <w:rPr>
          <w:rFonts w:ascii="Arial" w:cs="Arial" w:eastAsia="Arial" w:hAnsi="Arial"/>
          <w:sz w:val="18"/>
          <w:szCs w:val="18"/>
          <w:b w:val="1"/>
          <w:bCs w:val="1"/>
          <w:color w:val="auto"/>
        </w:rPr>
        <w:t>Exhibit 10.28</w:t>
      </w:r>
    </w:p>
    <w:p>
      <w:pPr>
        <w:spacing w:after="0" w:line="266"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THIRD ADDENDUM TO STANDARD INDUSTRIAL/COMMERCIAL MULTI-TENANT LEASE – NET DATED JANUARY 13, 2012 BY AND BETWEEN RGS PROPERTIES, AS LESSOR AND EXAGEN DIAGNOSTICS, INC. AS LESSEE, FOR THE PREMISES LOCATED AT 1261 LIBERTY WAY, SUITE B AND C, CALIFORNIA.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Lessor and Lessee mutually agree to amend the lease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1.3 (Term):</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Lease Term will be extended to the new Expiration Date of January 31, 2021</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50 (Rent Schedule):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Base Rent shall be as follows: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Dates</w:t>
            </w:r>
          </w:p>
        </w:tc>
        <w:tc>
          <w:tcPr>
            <w:tcW w:w="45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Base Rent</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1, 2018 - January 31, 2019</w:t>
            </w:r>
          </w:p>
        </w:tc>
        <w:tc>
          <w:tcPr>
            <w:tcW w:w="45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$13,086.60 per month</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1, 2019 - January 31, 2020</w:t>
            </w:r>
          </w:p>
        </w:tc>
        <w:tc>
          <w:tcPr>
            <w:tcW w:w="45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$13,479.20 per month</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1, 2020 - January 31, 2021</w:t>
            </w:r>
          </w:p>
        </w:tc>
        <w:tc>
          <w:tcPr>
            <w:tcW w:w="45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$13,883.57 per month</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HVAC repairs and maintenance:</w:t>
      </w:r>
    </w:p>
    <w:p>
      <w:pPr>
        <w:spacing w:after="0" w:line="24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Attached to this Addendum is Exhibit B1: HVAC Report by Gilmore Refrigeration, Inc. Within sixty (60) days of Lessee’s execution of this addendum, Lessor, at Lessor’s expense, shall complete the following items noted in Exhibit B1:</w:t>
      </w:r>
    </w:p>
    <w:p>
      <w:pPr>
        <w:spacing w:after="0" w:line="204"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Complete the recommended repairs and any needed service on units 10 &amp; 12.</w:t>
      </w:r>
    </w:p>
    <w:p>
      <w:pPr>
        <w:spacing w:after="0" w:line="15" w:lineRule="exact"/>
        <w:rPr>
          <w:rFonts w:ascii="Arial" w:cs="Arial" w:eastAsia="Arial" w:hAnsi="Arial"/>
          <w:sz w:val="20"/>
          <w:szCs w:val="20"/>
          <w:color w:val="auto"/>
        </w:rPr>
      </w:pPr>
    </w:p>
    <w:p>
      <w:pPr>
        <w:ind w:left="660" w:right="320" w:hanging="328"/>
        <w:spacing w:after="0" w:line="239"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Unit #13: Replace condenser motor, correction of the ducting so that recirculation ducting is installed and the supply and return is tied.</w:t>
      </w: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Unit #14: Replacement of condenser motor and servicing.</w:t>
      </w:r>
    </w:p>
    <w:p>
      <w:pPr>
        <w:ind w:left="660" w:right="140" w:hanging="328"/>
        <w:spacing w:after="0" w:line="244"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Unit #15: Replace pol contactor necessary to deliver power to the unit. Any additional repairs to Unit #15 shall be the responsibility of Lessee.</w:t>
      </w:r>
    </w:p>
    <w:p>
      <w:pPr>
        <w:spacing w:after="0" w:line="218"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Lessee will be responsible for any other work or modifications to HVAC systems as determined by Lessee. Upon execution of this Addendum, Lessee shall be responsible for contracting direct with an HVAC vendor for maintenance and repairs and have full control over the HVAC systems.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Roof and Skylights:</w:t>
      </w:r>
    </w:p>
    <w:p>
      <w:pPr>
        <w:spacing w:after="0" w:line="249" w:lineRule="exact"/>
        <w:rPr>
          <w:sz w:val="20"/>
          <w:szCs w:val="20"/>
          <w:color w:val="auto"/>
        </w:rPr>
      </w:pPr>
    </w:p>
    <w:p>
      <w:pPr>
        <w:ind w:right="640"/>
        <w:spacing w:after="0" w:line="287" w:lineRule="auto"/>
        <w:rPr>
          <w:sz w:val="20"/>
          <w:szCs w:val="20"/>
          <w:color w:val="auto"/>
        </w:rPr>
      </w:pPr>
      <w:r>
        <w:rPr>
          <w:rFonts w:ascii="Arial" w:cs="Arial" w:eastAsia="Arial" w:hAnsi="Arial"/>
          <w:sz w:val="19"/>
          <w:szCs w:val="19"/>
          <w:color w:val="auto"/>
        </w:rPr>
        <w:t>Lessor will repair all roof leaks and replace skylights as needed. Lessor warrants the integrity of the roof through the term of the lease extension and will repair all roof leaks within sixty (60) days following Lessee’s execution of the lease extension.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Option to Extend:</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Lessee shall have one (1), three (3) year option to extend per the attached exhibit (paragraph 61b).</w:t>
      </w:r>
    </w:p>
    <w:p>
      <w:pPr>
        <w:sectPr>
          <w:pgSz w:w="11900" w:h="16838" w:orient="portrait"/>
          <w:cols w:equalWidth="0" w:num="1">
            <w:col w:w="11240"/>
          </w:cols>
          <w:pgMar w:left="320" w:top="1413" w:right="339" w:bottom="1440" w:gutter="0" w:footer="0" w:header="0"/>
        </w:sectPr>
      </w:pPr>
    </w:p>
    <w:bookmarkStart w:id="127" w:name="page128"/>
    <w:bookmarkEnd w:id="127"/>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other terms and conditions of the existing Lease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80" w:type="dxa"/>
            <w:vAlign w:val="bottom"/>
            <w:gridSpan w:val="2"/>
          </w:tcPr>
          <w:p>
            <w:pPr>
              <w:ind w:left="20"/>
              <w:spacing w:after="0"/>
              <w:rPr>
                <w:sz w:val="20"/>
                <w:szCs w:val="20"/>
                <w:color w:val="auto"/>
              </w:rPr>
            </w:pPr>
            <w:r>
              <w:rPr>
                <w:rFonts w:ascii="Arial" w:cs="Arial" w:eastAsia="Arial" w:hAnsi="Arial"/>
                <w:sz w:val="20"/>
                <w:szCs w:val="20"/>
                <w:b w:val="1"/>
                <w:bCs w:val="1"/>
                <w:color w:val="auto"/>
              </w:rPr>
              <w:t>LESSOR:</w:t>
            </w:r>
          </w:p>
        </w:tc>
        <w:tc>
          <w:tcPr>
            <w:tcW w:w="3900" w:type="dxa"/>
            <w:vAlign w:val="bottom"/>
          </w:tcPr>
          <w:p>
            <w:pPr>
              <w:ind w:left="20"/>
              <w:spacing w:after="0"/>
              <w:rPr>
                <w:sz w:val="20"/>
                <w:szCs w:val="20"/>
                <w:color w:val="auto"/>
              </w:rPr>
            </w:pPr>
            <w:r>
              <w:rPr>
                <w:rFonts w:ascii="Arial" w:cs="Arial" w:eastAsia="Arial" w:hAnsi="Arial"/>
                <w:sz w:val="20"/>
                <w:szCs w:val="20"/>
                <w:b w:val="1"/>
                <w:bCs w:val="1"/>
                <w:color w:val="auto"/>
              </w:rPr>
              <w:t>LESSEE:</w:t>
            </w:r>
          </w:p>
        </w:tc>
      </w:tr>
      <w:tr>
        <w:trPr>
          <w:trHeight w:val="283"/>
        </w:trPr>
        <w:tc>
          <w:tcPr>
            <w:tcW w:w="4980" w:type="dxa"/>
            <w:vAlign w:val="bottom"/>
            <w:gridSpan w:val="2"/>
          </w:tcPr>
          <w:p>
            <w:pPr>
              <w:ind w:left="20"/>
              <w:spacing w:after="0"/>
              <w:rPr>
                <w:sz w:val="20"/>
                <w:szCs w:val="20"/>
                <w:color w:val="auto"/>
              </w:rPr>
            </w:pPr>
            <w:r>
              <w:rPr>
                <w:rFonts w:ascii="Arial" w:cs="Arial" w:eastAsia="Arial" w:hAnsi="Arial"/>
                <w:sz w:val="20"/>
                <w:szCs w:val="20"/>
                <w:b w:val="1"/>
                <w:bCs w:val="1"/>
                <w:color w:val="auto"/>
              </w:rPr>
              <w:t>RGS Properties</w:t>
            </w:r>
          </w:p>
        </w:tc>
        <w:tc>
          <w:tcPr>
            <w:tcW w:w="3900" w:type="dxa"/>
            <w:vAlign w:val="bottom"/>
          </w:tcPr>
          <w:p>
            <w:pPr>
              <w:ind w:left="20"/>
              <w:spacing w:after="0"/>
              <w:rPr>
                <w:sz w:val="20"/>
                <w:szCs w:val="20"/>
                <w:color w:val="auto"/>
              </w:rPr>
            </w:pPr>
            <w:r>
              <w:rPr>
                <w:rFonts w:ascii="Arial" w:cs="Arial" w:eastAsia="Arial" w:hAnsi="Arial"/>
                <w:sz w:val="20"/>
                <w:szCs w:val="20"/>
                <w:b w:val="1"/>
                <w:bCs w:val="1"/>
                <w:color w:val="auto"/>
              </w:rPr>
              <w:t>Exagen Diagnostics, Inc.</w:t>
            </w:r>
          </w:p>
        </w:tc>
      </w:tr>
      <w:tr>
        <w:trPr>
          <w:trHeight w:val="823"/>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By: /s/ Greg Smith</w:t>
            </w:r>
          </w:p>
        </w:tc>
        <w:tc>
          <w:tcPr>
            <w:tcW w:w="3900" w:type="dxa"/>
            <w:vAlign w:val="bottom"/>
          </w:tcPr>
          <w:p>
            <w:pPr>
              <w:ind w:left="20"/>
              <w:spacing w:after="0"/>
              <w:rPr>
                <w:sz w:val="20"/>
                <w:szCs w:val="20"/>
                <w:color w:val="auto"/>
              </w:rPr>
            </w:pPr>
            <w:r>
              <w:rPr>
                <w:rFonts w:ascii="Arial" w:cs="Arial" w:eastAsia="Arial" w:hAnsi="Arial"/>
                <w:sz w:val="20"/>
                <w:szCs w:val="20"/>
                <w:color w:val="auto"/>
              </w:rPr>
              <w:t>By: /s/ Ron Rocca</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524"/>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By:</w:t>
            </w:r>
          </w:p>
        </w:tc>
        <w:tc>
          <w:tcPr>
            <w:tcW w:w="3900" w:type="dxa"/>
            <w:vAlign w:val="bottom"/>
          </w:tcPr>
          <w:p>
            <w:pPr>
              <w:ind w:left="20"/>
              <w:spacing w:after="0"/>
              <w:rPr>
                <w:sz w:val="20"/>
                <w:szCs w:val="20"/>
                <w:color w:val="auto"/>
              </w:rPr>
            </w:pPr>
            <w:r>
              <w:rPr>
                <w:rFonts w:ascii="Arial" w:cs="Arial" w:eastAsia="Arial" w:hAnsi="Arial"/>
                <w:sz w:val="20"/>
                <w:szCs w:val="20"/>
                <w:color w:val="auto"/>
              </w:rPr>
              <w:t>Title: CEO</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524"/>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Date: 6/16/2017</w:t>
            </w:r>
          </w:p>
        </w:tc>
        <w:tc>
          <w:tcPr>
            <w:tcW w:w="3900" w:type="dxa"/>
            <w:vAlign w:val="bottom"/>
          </w:tcPr>
          <w:p>
            <w:pPr>
              <w:ind w:left="20"/>
              <w:spacing w:after="0"/>
              <w:rPr>
                <w:sz w:val="20"/>
                <w:szCs w:val="20"/>
                <w:color w:val="auto"/>
              </w:rPr>
            </w:pPr>
            <w:r>
              <w:rPr>
                <w:rFonts w:ascii="Arial" w:cs="Arial" w:eastAsia="Arial" w:hAnsi="Arial"/>
                <w:sz w:val="20"/>
                <w:szCs w:val="20"/>
                <w:color w:val="auto"/>
              </w:rPr>
              <w:t>Date: 5/9/2017</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bl>
    <w:p>
      <w:pPr>
        <w:sectPr>
          <w:pgSz w:w="11900" w:h="16838" w:orient="portrait"/>
          <w:cols w:equalWidth="0" w:num="1">
            <w:col w:w="10139"/>
          </w:cols>
          <w:pgMar w:left="320" w:top="1440" w:right="1440" w:bottom="1440" w:gutter="0" w:footer="0" w:header="0"/>
        </w:sectPr>
      </w:pPr>
    </w:p>
    <w:bookmarkStart w:id="128" w:name="page129"/>
    <w:bookmarkEnd w:id="128"/>
    <w:p>
      <w:pPr>
        <w:ind w:left="10040"/>
        <w:spacing w:after="0"/>
        <w:rPr>
          <w:sz w:val="20"/>
          <w:szCs w:val="20"/>
          <w:color w:val="auto"/>
        </w:rPr>
      </w:pPr>
      <w:r>
        <w:rPr>
          <w:rFonts w:ascii="Arial" w:cs="Arial" w:eastAsia="Arial" w:hAnsi="Arial"/>
          <w:sz w:val="18"/>
          <w:szCs w:val="18"/>
          <w:b w:val="1"/>
          <w:bCs w:val="1"/>
          <w:color w:val="auto"/>
        </w:rPr>
        <w:t>Exhibit 10.29</w:t>
      </w:r>
    </w:p>
    <w:p>
      <w:pPr>
        <w:spacing w:after="0" w:line="104" w:lineRule="exact"/>
        <w:rPr>
          <w:sz w:val="20"/>
          <w:szCs w:val="20"/>
          <w:color w:val="auto"/>
        </w:rPr>
      </w:pPr>
    </w:p>
    <w:p>
      <w:pPr>
        <w:jc w:val="both"/>
        <w:ind w:left="120"/>
        <w:spacing w:after="0" w:line="253" w:lineRule="auto"/>
        <w:rPr>
          <w:sz w:val="20"/>
          <w:szCs w:val="20"/>
          <w:color w:val="auto"/>
        </w:rPr>
      </w:pPr>
      <w:r>
        <w:rPr>
          <w:rFonts w:ascii="Arial" w:cs="Arial" w:eastAsia="Arial" w:hAnsi="Arial"/>
          <w:sz w:val="20"/>
          <w:szCs w:val="20"/>
          <w:b w:val="1"/>
          <w:bCs w:val="1"/>
          <w:color w:val="auto"/>
        </w:rPr>
        <w:t>FOURTH ADDENDUM TO STANDARD INDUSTRIAL/COMMERCIAL MULTI-TENANT LEASE – NET DATED JANUARY 13, 2012 BY AND BETWEEN RGS PROPERTIES, AS LESSOR AND EXAGEN DIAGNOSTICS, INC., AS LESSEE, FOR THE PREMISES LOCATED AT 1261 LIBERTY WAY, SUITES B AND C, CALIFORNIA.</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Lessor and Lessee mutually agree to amend the lease as follows: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Paragraph 1.3 (Term):</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Lease Term will be extended to the new Expiration Date of January 31, 2026.</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Paragraph 50 (Rent Schedule):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Base Rent shall be as follows:</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 w:type="dxa"/>
            <w:vAlign w:val="bottom"/>
            <w:tcBorders>
              <w:top w:val="single" w:sz="8" w:color="auto"/>
              <w:left w:val="single" w:sz="8" w:color="auto"/>
            </w:tcBorders>
          </w:tcPr>
          <w:p>
            <w:pPr>
              <w:spacing w:after="0"/>
              <w:rPr>
                <w:sz w:val="19"/>
                <w:szCs w:val="19"/>
                <w:color w:val="auto"/>
              </w:rPr>
            </w:pPr>
          </w:p>
        </w:tc>
        <w:tc>
          <w:tcPr>
            <w:tcW w:w="43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Dates</w:t>
            </w:r>
          </w:p>
        </w:tc>
        <w:tc>
          <w:tcPr>
            <w:tcW w:w="252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20"/>
                <w:szCs w:val="20"/>
                <w:b w:val="1"/>
                <w:bCs w:val="1"/>
                <w:color w:val="auto"/>
              </w:rPr>
              <w:t>Base Rent</w:t>
            </w:r>
          </w:p>
        </w:tc>
      </w:tr>
      <w:tr>
        <w:trPr>
          <w:trHeight w:val="48"/>
        </w:trPr>
        <w:tc>
          <w:tcPr>
            <w:tcW w:w="1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54"/>
        </w:trPr>
        <w:tc>
          <w:tcPr>
            <w:tcW w:w="140" w:type="dxa"/>
            <w:vAlign w:val="bottom"/>
            <w:tcBorders>
              <w:left w:val="single" w:sz="8" w:color="auto"/>
            </w:tcBorders>
          </w:tcPr>
          <w:p>
            <w:pPr>
              <w:spacing w:after="0"/>
              <w:rPr>
                <w:sz w:val="22"/>
                <w:szCs w:val="22"/>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April 1, 2020 – January 31, 2021</w:t>
            </w:r>
          </w:p>
        </w:tc>
        <w:tc>
          <w:tcPr>
            <w:tcW w:w="252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$16,308.57 per month</w:t>
            </w: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140" w:type="dxa"/>
            <w:vAlign w:val="bottom"/>
            <w:tcBorders>
              <w:left w:val="single" w:sz="8" w:color="auto"/>
            </w:tcBorders>
          </w:tcPr>
          <w:p>
            <w:pPr>
              <w:spacing w:after="0"/>
              <w:rPr>
                <w:sz w:val="22"/>
                <w:szCs w:val="22"/>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February 1, 2021 – January 31, 2022</w:t>
            </w:r>
          </w:p>
        </w:tc>
        <w:tc>
          <w:tcPr>
            <w:tcW w:w="252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$17,325.00 per month</w:t>
            </w: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140" w:type="dxa"/>
            <w:vAlign w:val="bottom"/>
            <w:tcBorders>
              <w:left w:val="single" w:sz="8" w:color="auto"/>
            </w:tcBorders>
          </w:tcPr>
          <w:p>
            <w:pPr>
              <w:spacing w:after="0"/>
              <w:rPr>
                <w:sz w:val="22"/>
                <w:szCs w:val="22"/>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February 1, 2022 – January 31, 2023</w:t>
            </w:r>
          </w:p>
        </w:tc>
        <w:tc>
          <w:tcPr>
            <w:tcW w:w="252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$17,844.75 per month</w:t>
            </w: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140" w:type="dxa"/>
            <w:vAlign w:val="bottom"/>
            <w:tcBorders>
              <w:left w:val="single" w:sz="8" w:color="auto"/>
            </w:tcBorders>
          </w:tcPr>
          <w:p>
            <w:pPr>
              <w:spacing w:after="0"/>
              <w:rPr>
                <w:sz w:val="22"/>
                <w:szCs w:val="22"/>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February 1, 2023 – January 31, 2024</w:t>
            </w:r>
          </w:p>
        </w:tc>
        <w:tc>
          <w:tcPr>
            <w:tcW w:w="252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$18,380.09 per month</w:t>
            </w: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140" w:type="dxa"/>
            <w:vAlign w:val="bottom"/>
            <w:tcBorders>
              <w:left w:val="single" w:sz="8" w:color="auto"/>
            </w:tcBorders>
          </w:tcPr>
          <w:p>
            <w:pPr>
              <w:spacing w:after="0"/>
              <w:rPr>
                <w:sz w:val="22"/>
                <w:szCs w:val="22"/>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February 1, 2024 – January 31, 2025</w:t>
            </w:r>
          </w:p>
        </w:tc>
        <w:tc>
          <w:tcPr>
            <w:tcW w:w="252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$18,931.49 per month</w:t>
            </w: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140" w:type="dxa"/>
            <w:vAlign w:val="bottom"/>
            <w:tcBorders>
              <w:left w:val="single" w:sz="8" w:color="auto"/>
            </w:tcBorders>
          </w:tcPr>
          <w:p>
            <w:pPr>
              <w:spacing w:after="0"/>
              <w:rPr>
                <w:sz w:val="22"/>
                <w:szCs w:val="22"/>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February 1, 2025 – January 31, 2026</w:t>
            </w:r>
          </w:p>
        </w:tc>
        <w:tc>
          <w:tcPr>
            <w:tcW w:w="252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$19,499.44 per month</w:t>
            </w: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34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HVAC repairs and maintenance</w:t>
      </w:r>
      <w:r>
        <w:rPr>
          <w:rFonts w:ascii="Arial" w:cs="Arial" w:eastAsia="Arial" w:hAnsi="Arial"/>
          <w:sz w:val="20"/>
          <w:szCs w:val="20"/>
          <w:color w:val="auto"/>
        </w:rPr>
        <w:t>:</w:t>
      </w:r>
    </w:p>
    <w:p>
      <w:pPr>
        <w:spacing w:after="0" w:line="289" w:lineRule="exact"/>
        <w:rPr>
          <w:sz w:val="20"/>
          <w:szCs w:val="20"/>
          <w:color w:val="auto"/>
        </w:rPr>
      </w:pPr>
    </w:p>
    <w:p>
      <w:pPr>
        <w:jc w:val="both"/>
        <w:ind w:left="120" w:firstLine="1"/>
        <w:spacing w:after="0" w:line="250" w:lineRule="auto"/>
        <w:rPr>
          <w:sz w:val="20"/>
          <w:szCs w:val="20"/>
          <w:color w:val="auto"/>
        </w:rPr>
      </w:pPr>
      <w:r>
        <w:rPr>
          <w:rFonts w:ascii="Arial" w:cs="Arial" w:eastAsia="Arial" w:hAnsi="Arial"/>
          <w:sz w:val="20"/>
          <w:szCs w:val="20"/>
          <w:color w:val="auto"/>
        </w:rPr>
        <w:t>Attached to this addendum is Exhibit A which outlines the HVAC units at 1261 Liberty Way Suite B &amp; C. The HVAC units numbered 4, 9 and 10 are nearing the end of their useful life. If they are deemed be beyond repair and no longer operable, then the Lessor shall be responsible to replace these three units as needed during the term of this lease renewal.</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Tenant Improvement Allowance:</w:t>
      </w:r>
    </w:p>
    <w:p>
      <w:pPr>
        <w:spacing w:after="0" w:line="249" w:lineRule="exact"/>
        <w:rPr>
          <w:sz w:val="20"/>
          <w:szCs w:val="20"/>
          <w:color w:val="auto"/>
        </w:rPr>
      </w:pPr>
    </w:p>
    <w:p>
      <w:pPr>
        <w:jc w:val="both"/>
        <w:ind w:left="120"/>
        <w:spacing w:after="0" w:line="250" w:lineRule="auto"/>
        <w:rPr>
          <w:sz w:val="20"/>
          <w:szCs w:val="20"/>
          <w:color w:val="auto"/>
        </w:rPr>
      </w:pPr>
      <w:r>
        <w:rPr>
          <w:rFonts w:ascii="Arial" w:cs="Arial" w:eastAsia="Arial" w:hAnsi="Arial"/>
          <w:sz w:val="20"/>
          <w:szCs w:val="20"/>
          <w:color w:val="auto"/>
        </w:rPr>
        <w:t>Lessor shall provide a $216,000.00 Tenant Improvements allowance to the Lessee to refurbish the Suite per a mutual approved space plan and shall follow the provisions outlined in the lease in regards to any improvements in the building. The Tenant Improvement allowance shall be used solely for improvements to the building.</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Restoration:</w:t>
      </w:r>
    </w:p>
    <w:p>
      <w:pPr>
        <w:spacing w:after="0" w:line="249" w:lineRule="exact"/>
        <w:rPr>
          <w:sz w:val="20"/>
          <w:szCs w:val="20"/>
          <w:color w:val="auto"/>
        </w:rPr>
      </w:pPr>
    </w:p>
    <w:p>
      <w:pPr>
        <w:ind w:left="120" w:right="360"/>
        <w:spacing w:after="0" w:line="236" w:lineRule="auto"/>
        <w:rPr>
          <w:sz w:val="20"/>
          <w:szCs w:val="20"/>
          <w:color w:val="auto"/>
        </w:rPr>
      </w:pPr>
      <w:r>
        <w:rPr>
          <w:rFonts w:ascii="Arial" w:cs="Arial" w:eastAsia="Arial" w:hAnsi="Arial"/>
          <w:sz w:val="20"/>
          <w:szCs w:val="20"/>
          <w:color w:val="auto"/>
        </w:rPr>
        <w:t>Lessee shall not be responsible for any restorations to the Premises or expansion space at the expiration of the lease term so long as the improvements were approved by the Lessor.</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Option to Extend: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Lessee shall have one (1), sixty (60) month option to extend at fair market value (FMV) upon nine (9)</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months prior written notice to Lessor per the attached option to extend addendum.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Parking:</w:t>
      </w:r>
    </w:p>
    <w:p>
      <w:pPr>
        <w:spacing w:after="0" w:line="262" w:lineRule="exact"/>
        <w:rPr>
          <w:sz w:val="20"/>
          <w:szCs w:val="20"/>
          <w:color w:val="auto"/>
        </w:rPr>
      </w:pPr>
    </w:p>
    <w:p>
      <w:pPr>
        <w:jc w:val="both"/>
        <w:ind w:left="120"/>
        <w:spacing w:after="0" w:line="250" w:lineRule="auto"/>
        <w:rPr>
          <w:sz w:val="20"/>
          <w:szCs w:val="20"/>
          <w:color w:val="auto"/>
        </w:rPr>
      </w:pPr>
      <w:r>
        <w:rPr>
          <w:rFonts w:ascii="Arial" w:cs="Arial" w:eastAsia="Arial" w:hAnsi="Arial"/>
          <w:sz w:val="20"/>
          <w:szCs w:val="20"/>
          <w:color w:val="auto"/>
        </w:rPr>
        <w:t>At Lessor’s sole cost, they shall provide 18 additional parking spaces from Suite A. The remainder of parking spaces are designated and may be marked for Pixel Imaging to use until they vacate the building. Parking will be enforced if Exagen employees park in Pixel Imaging designated spaces.</w:t>
      </w:r>
    </w:p>
    <w:p>
      <w:pPr>
        <w:sectPr>
          <w:pgSz w:w="11900" w:h="16838" w:orient="portrait"/>
          <w:cols w:equalWidth="0" w:num="1">
            <w:col w:w="11160"/>
          </w:cols>
          <w:pgMar w:left="320" w:top="832" w:right="41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u w:val="single" w:color="auto"/>
          <w:color w:val="auto"/>
        </w:rPr>
        <w:t>Contingency: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This lease is contingent on Pixel Imaging, the current tenant in Suite A, signing their lease termination.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other terms and conditions of the existing Lease shall remain in full force and effect.</w:t>
      </w:r>
    </w:p>
    <w:p>
      <w:pPr>
        <w:spacing w:after="0" w:line="250" w:lineRule="exact"/>
        <w:rPr>
          <w:sz w:val="20"/>
          <w:szCs w:val="20"/>
          <w:color w:val="auto"/>
        </w:rPr>
      </w:pPr>
    </w:p>
    <w:p>
      <w:pPr>
        <w:ind w:left="60" w:right="1759"/>
        <w:spacing w:after="0" w:line="252" w:lineRule="auto"/>
        <w:rPr>
          <w:sz w:val="20"/>
          <w:szCs w:val="20"/>
          <w:color w:val="auto"/>
        </w:rPr>
      </w:pPr>
      <w:r>
        <w:rPr>
          <w:rFonts w:ascii="Arial" w:cs="Arial" w:eastAsia="Arial" w:hAnsi="Arial"/>
          <w:sz w:val="20"/>
          <w:szCs w:val="20"/>
          <w:b w:val="1"/>
          <w:bCs w:val="1"/>
          <w:color w:val="auto"/>
        </w:rPr>
        <w:t>This addendum shall automatically expire if not executed by Lessee on or before Friday March 6, 2020.</w:t>
      </w:r>
    </w:p>
    <w:p>
      <w:pPr>
        <w:sectPr>
          <w:pgSz w:w="11900" w:h="16838" w:orient="portrait"/>
          <w:cols w:equalWidth="0" w:num="1">
            <w:col w:w="10019"/>
          </w:cols>
          <w:pgMar w:left="440" w:top="765" w:right="1440"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b w:val="1"/>
          <w:bCs w:val="1"/>
          <w:color w:val="auto"/>
        </w:rPr>
        <w:t>AGREED AND ACCEPTED:</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LESSOR: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RGS Properties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 Scott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18173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/s/ Greg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18173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 3/16/2020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1817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LESSEE: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Diagnostics, Inc.</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By: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1457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1457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Date: 3/6/2020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1457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ectPr>
          <w:pgSz w:w="11900" w:h="16838" w:orient="portrait"/>
          <w:cols w:equalWidth="0" w:num="2">
            <w:col w:w="6620" w:space="720"/>
            <w:col w:w="2699"/>
          </w:cols>
          <w:pgMar w:left="420" w:top="1413"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27"/>
          <w:szCs w:val="27"/>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337820</wp:posOffset>
            </wp:positionV>
            <wp:extent cx="5374640" cy="47917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5374640" cy="4791710"/>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132" w:name="page133"/>
    <w:bookmarkEnd w:id="13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568960</wp:posOffset>
            </wp:positionV>
            <wp:extent cx="1602740"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602740" cy="325755"/>
                    </a:xfrm>
                    <a:prstGeom prst="rect">
                      <a:avLst/>
                    </a:prstGeom>
                    <a:noFill/>
                  </pic:spPr>
                </pic:pic>
              </a:graphicData>
            </a:graphic>
          </wp:anchor>
        </w:drawing>
      </w:r>
    </w:p>
    <w:p>
      <w:pPr>
        <w:ind w:left="2220"/>
        <w:spacing w:after="0"/>
        <w:rPr>
          <w:sz w:val="20"/>
          <w:szCs w:val="20"/>
          <w:color w:val="auto"/>
        </w:rPr>
      </w:pPr>
      <w:r>
        <w:rPr>
          <w:rFonts w:ascii="Arial" w:cs="Arial" w:eastAsia="Arial" w:hAnsi="Arial"/>
          <w:sz w:val="25"/>
          <w:szCs w:val="25"/>
          <w:b w:val="1"/>
          <w:bCs w:val="1"/>
          <w:color w:val="auto"/>
        </w:rPr>
        <w:t>OPTION(S) TO EXTEND</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STANDARD LEASE ADDENDUM</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u w:val="single" w:color="auto"/>
          <w:color w:val="auto"/>
        </w:rPr>
        <w:t>February 27, 2020</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By and Between</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Lessor: </w:t>
      </w:r>
      <w:r>
        <w:rPr>
          <w:rFonts w:ascii="Arial" w:cs="Arial" w:eastAsia="Arial" w:hAnsi="Arial"/>
          <w:sz w:val="18"/>
          <w:szCs w:val="18"/>
          <w:u w:val="single" w:color="auto"/>
          <w:color w:val="auto"/>
        </w:rPr>
        <w:t>RGS Properties</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Lessee: </w:t>
      </w:r>
      <w:r>
        <w:rPr>
          <w:rFonts w:ascii="Arial" w:cs="Arial" w:eastAsia="Arial" w:hAnsi="Arial"/>
          <w:sz w:val="18"/>
          <w:szCs w:val="18"/>
          <w:u w:val="single" w:color="auto"/>
          <w:color w:val="auto"/>
        </w:rPr>
        <w:t>Exagen Diagnostics, Inc</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Property Address: </w:t>
      </w:r>
      <w:r>
        <w:rPr>
          <w:rFonts w:ascii="Arial" w:cs="Arial" w:eastAsia="Arial" w:hAnsi="Arial"/>
          <w:sz w:val="18"/>
          <w:szCs w:val="18"/>
          <w:u w:val="single" w:color="auto"/>
          <w:color w:val="auto"/>
        </w:rPr>
        <w:t>1261 Liberty Way, Ste B&amp;C, Vista, CA 92081</w:t>
      </w:r>
    </w:p>
    <w:p>
      <w:pPr>
        <w:spacing w:after="0" w:line="148"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xml:space="preserve">(street address, city, state, zip) Paragraph: </w:t>
      </w:r>
      <w:r>
        <w:rPr>
          <w:rFonts w:ascii="Arial" w:cs="Arial" w:eastAsia="Arial" w:hAnsi="Arial"/>
          <w:sz w:val="17"/>
          <w:szCs w:val="17"/>
          <w:u w:val="single" w:color="auto"/>
          <w:color w:val="auto"/>
        </w:rPr>
        <w:t>1</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OPTION(S) TO EXTEND:</w:t>
      </w:r>
    </w:p>
    <w:p>
      <w:pPr>
        <w:spacing w:after="0" w:line="25" w:lineRule="exact"/>
        <w:rPr>
          <w:sz w:val="20"/>
          <w:szCs w:val="20"/>
          <w:color w:val="auto"/>
        </w:rPr>
      </w:pPr>
    </w:p>
    <w:p>
      <w:pPr>
        <w:ind w:right="220"/>
        <w:spacing w:after="0" w:line="251" w:lineRule="auto"/>
        <w:rPr>
          <w:sz w:val="20"/>
          <w:szCs w:val="20"/>
          <w:color w:val="auto"/>
        </w:rPr>
      </w:pPr>
      <w:r>
        <w:rPr>
          <w:rFonts w:ascii="Arial" w:cs="Arial" w:eastAsia="Arial" w:hAnsi="Arial"/>
          <w:sz w:val="14"/>
          <w:szCs w:val="14"/>
          <w:color w:val="auto"/>
        </w:rPr>
        <w:t xml:space="preserve">Lessor hereby grants to Lessee the option to extend the term of this Lease for </w:t>
      </w:r>
      <w:r>
        <w:rPr>
          <w:rFonts w:ascii="Arial" w:cs="Arial" w:eastAsia="Arial" w:hAnsi="Arial"/>
          <w:sz w:val="17"/>
          <w:szCs w:val="17"/>
          <w:u w:val="single" w:color="auto"/>
          <w:color w:val="auto"/>
        </w:rPr>
        <w:t>One (1)</w:t>
      </w:r>
      <w:r>
        <w:rPr>
          <w:rFonts w:ascii="Arial" w:cs="Arial" w:eastAsia="Arial" w:hAnsi="Arial"/>
          <w:sz w:val="14"/>
          <w:szCs w:val="14"/>
          <w:color w:val="auto"/>
        </w:rPr>
        <w:t xml:space="preserve"> additional </w:t>
      </w:r>
      <w:r>
        <w:rPr>
          <w:rFonts w:ascii="Arial" w:cs="Arial" w:eastAsia="Arial" w:hAnsi="Arial"/>
          <w:sz w:val="17"/>
          <w:szCs w:val="17"/>
          <w:u w:val="single" w:color="auto"/>
          <w:color w:val="auto"/>
        </w:rPr>
        <w:t>Sixty (60)</w:t>
      </w:r>
      <w:r>
        <w:rPr>
          <w:rFonts w:ascii="Arial" w:cs="Arial" w:eastAsia="Arial" w:hAnsi="Arial"/>
          <w:sz w:val="14"/>
          <w:szCs w:val="14"/>
          <w:color w:val="auto"/>
        </w:rPr>
        <w:t xml:space="preserve"> month period(s) commencing when the prior term expires upon each and all of the following terms and conditions:</w:t>
      </w:r>
    </w:p>
    <w:p>
      <w:pPr>
        <w:spacing w:after="0" w:line="205" w:lineRule="exact"/>
        <w:rPr>
          <w:sz w:val="20"/>
          <w:szCs w:val="20"/>
          <w:color w:val="auto"/>
        </w:rPr>
      </w:pPr>
    </w:p>
    <w:p>
      <w:pPr>
        <w:jc w:val="both"/>
        <w:ind w:right="260" w:firstLine="320"/>
        <w:spacing w:after="0" w:line="254"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 order to exercise an option to extend, Lessee must give written notice of such election to Lessor and Lessor must receive the same at least </w:t>
      </w:r>
      <w:r>
        <w:rPr>
          <w:rFonts w:ascii="Arial" w:cs="Arial" w:eastAsia="Arial" w:hAnsi="Arial"/>
          <w:sz w:val="17"/>
          <w:szCs w:val="17"/>
          <w:u w:val="single" w:color="auto"/>
          <w:color w:val="auto"/>
        </w:rPr>
        <w:t>nine months</w:t>
      </w:r>
      <w:r>
        <w:rPr>
          <w:rFonts w:ascii="Arial" w:cs="Arial" w:eastAsia="Arial" w:hAnsi="Arial"/>
          <w:sz w:val="14"/>
          <w:szCs w:val="14"/>
          <w:color w:val="auto"/>
        </w:rPr>
        <w:t xml:space="preserve"> but not more than </w:t>
      </w:r>
      <w:r>
        <w:rPr>
          <w:rFonts w:ascii="Arial" w:cs="Arial" w:eastAsia="Arial" w:hAnsi="Arial"/>
          <w:sz w:val="17"/>
          <w:szCs w:val="17"/>
          <w:u w:val="single" w:color="auto"/>
          <w:color w:val="auto"/>
        </w:rPr>
        <w:t>twelve</w:t>
      </w:r>
      <w:r>
        <w:rPr>
          <w:rFonts w:ascii="Arial" w:cs="Arial" w:eastAsia="Arial" w:hAnsi="Arial"/>
          <w:sz w:val="17"/>
          <w:szCs w:val="17"/>
          <w:color w:val="auto"/>
        </w:rPr>
        <w:t xml:space="preserve"> </w:t>
      </w:r>
      <w:r>
        <w:rPr>
          <w:rFonts w:ascii="Arial" w:cs="Arial" w:eastAsia="Arial" w:hAnsi="Arial"/>
          <w:sz w:val="14"/>
          <w:szCs w:val="14"/>
          <w:color w:val="auto"/>
        </w:rPr>
        <w:t>months prior to the date that the option period would commence, time being of the essence. If proper notification of the exercise of an option is not given and/or received, such</w:t>
      </w:r>
      <w:r>
        <w:rPr>
          <w:rFonts w:ascii="Arial" w:cs="Arial" w:eastAsia="Arial" w:hAnsi="Arial"/>
          <w:sz w:val="17"/>
          <w:szCs w:val="17"/>
          <w:color w:val="auto"/>
        </w:rPr>
        <w:t xml:space="preserve"> </w:t>
      </w:r>
      <w:r>
        <w:rPr>
          <w:rFonts w:ascii="Arial" w:cs="Arial" w:eastAsia="Arial" w:hAnsi="Arial"/>
          <w:sz w:val="14"/>
          <w:szCs w:val="14"/>
          <w:color w:val="auto"/>
        </w:rPr>
        <w:t>option shall automatically expire. Options (if there are more than one) may only be exercised consecutively.</w:t>
      </w:r>
    </w:p>
    <w:p>
      <w:pPr>
        <w:spacing w:after="0" w:line="36" w:lineRule="exact"/>
        <w:rPr>
          <w:rFonts w:ascii="Arial" w:cs="Arial" w:eastAsia="Arial" w:hAnsi="Arial"/>
          <w:sz w:val="14"/>
          <w:szCs w:val="14"/>
          <w:color w:val="auto"/>
        </w:rPr>
      </w:pPr>
    </w:p>
    <w:p>
      <w:pPr>
        <w:ind w:left="540" w:hanging="220"/>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provisions of paragraph 39, including those relating to Lessee's Default set forth in paragraph 39.4 of this Lease, are conditions of this Option.</w:t>
      </w:r>
    </w:p>
    <w:p>
      <w:pPr>
        <w:spacing w:after="0" w:line="136" w:lineRule="exact"/>
        <w:rPr>
          <w:rFonts w:ascii="Arial" w:cs="Arial" w:eastAsia="Arial" w:hAnsi="Arial"/>
          <w:sz w:val="14"/>
          <w:szCs w:val="14"/>
          <w:color w:val="auto"/>
        </w:rPr>
      </w:pPr>
    </w:p>
    <w:p>
      <w:pPr>
        <w:ind w:left="320" w:right="460"/>
        <w:spacing w:after="0" w:line="412" w:lineRule="auto"/>
        <w:tabs>
          <w:tab w:leader="none" w:pos="572"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Except for the provisions of this Lease granting an option or options to extend the term, all of the terms and conditions of this Lease except where specifically modified by this option shall apply.</w:t>
      </w:r>
    </w:p>
    <w:p>
      <w:pPr>
        <w:ind w:left="320" w:right="580"/>
        <w:spacing w:after="0" w:line="412" w:lineRule="auto"/>
        <w:tabs>
          <w:tab w:leader="none" w:pos="56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ind w:left="520" w:hanging="20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monthly rent for each month of the option period shall be calculated as follows, using the method(s) indicated below: (Check Method(s) to be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Used and Fill in Appropriately)</w:t>
      </w:r>
    </w:p>
    <w:p>
      <w:pPr>
        <w:spacing w:after="0" w:line="146" w:lineRule="exact"/>
        <w:rPr>
          <w:sz w:val="20"/>
          <w:szCs w:val="20"/>
          <w:color w:val="auto"/>
        </w:rPr>
      </w:pPr>
    </w:p>
    <w:p>
      <w:pPr>
        <w:ind w:left="440" w:hanging="162"/>
        <w:spacing w:after="0"/>
        <w:tabs>
          <w:tab w:leader="none" w:pos="440" w:val="left"/>
        </w:tabs>
        <w:numPr>
          <w:ilvl w:val="0"/>
          <w:numId w:val="43"/>
        </w:numPr>
        <w:rPr>
          <w:rFonts w:ascii="MS PGothic" w:cs="MS PGothic" w:eastAsia="MS PGothic" w:hAnsi="MS PGothic"/>
          <w:sz w:val="14"/>
          <w:szCs w:val="14"/>
          <w:color w:val="auto"/>
        </w:rPr>
      </w:pPr>
      <w:r>
        <w:rPr>
          <w:rFonts w:ascii="Arial" w:cs="Arial" w:eastAsia="Arial" w:hAnsi="Arial"/>
          <w:sz w:val="14"/>
          <w:szCs w:val="14"/>
          <w:b w:val="1"/>
          <w:bCs w:val="1"/>
          <w:color w:val="auto"/>
        </w:rPr>
        <w:t>II. Market Rental Value Adjustment(s) (MRV)</w:t>
      </w:r>
    </w:p>
    <w:p>
      <w:pPr>
        <w:spacing w:after="0" w:line="11" w:lineRule="exact"/>
        <w:rPr>
          <w:rFonts w:ascii="MS PGothic" w:cs="MS PGothic" w:eastAsia="MS PGothic" w:hAnsi="MS PGothic"/>
          <w:sz w:val="14"/>
          <w:szCs w:val="14"/>
          <w:color w:val="auto"/>
        </w:rPr>
      </w:pPr>
    </w:p>
    <w:p>
      <w:pPr>
        <w:ind w:left="320"/>
        <w:spacing w:after="0"/>
        <w:rPr>
          <w:rFonts w:ascii="MS PGothic" w:cs="MS PGothic" w:eastAsia="MS PGothic" w:hAnsi="MS PGothic"/>
          <w:sz w:val="14"/>
          <w:szCs w:val="14"/>
          <w:color w:val="auto"/>
        </w:rPr>
      </w:pPr>
      <w:r>
        <w:rPr>
          <w:rFonts w:ascii="Arial" w:cs="Arial" w:eastAsia="Arial" w:hAnsi="Arial"/>
          <w:sz w:val="14"/>
          <w:szCs w:val="14"/>
          <w:color w:val="auto"/>
        </w:rPr>
        <w:t xml:space="preserve">a. On (Fill in MRV Adjustment Date(s)) </w:t>
      </w:r>
      <w:r>
        <w:rPr>
          <w:rFonts w:ascii="Arial" w:cs="Arial" w:eastAsia="Arial" w:hAnsi="Arial"/>
          <w:sz w:val="17"/>
          <w:szCs w:val="17"/>
          <w:u w:val="single" w:color="auto"/>
          <w:color w:val="auto"/>
        </w:rPr>
        <w:t>February 1, 2026</w:t>
      </w:r>
      <w:r>
        <w:rPr>
          <w:rFonts w:ascii="Arial" w:cs="Arial" w:eastAsia="Arial" w:hAnsi="Arial"/>
          <w:sz w:val="14"/>
          <w:szCs w:val="14"/>
          <w:color w:val="auto"/>
        </w:rPr>
        <w:t xml:space="preserve"> the Base Rent shall be adjusted to the "Market Rental Value" of the property as follows:</w:t>
      </w:r>
    </w:p>
    <w:p>
      <w:pPr>
        <w:spacing w:after="0" w:line="243" w:lineRule="exact"/>
        <w:rPr>
          <w:rFonts w:ascii="MS PGothic" w:cs="MS PGothic" w:eastAsia="MS PGothic" w:hAnsi="MS PGothic"/>
          <w:sz w:val="14"/>
          <w:szCs w:val="14"/>
          <w:color w:val="auto"/>
        </w:rPr>
      </w:pPr>
    </w:p>
    <w:p>
      <w:pPr>
        <w:ind w:firstLine="644"/>
        <w:spacing w:after="0" w:line="293" w:lineRule="auto"/>
        <w:tabs>
          <w:tab w:leader="none" w:pos="804" w:val="left"/>
        </w:tabs>
        <w:numPr>
          <w:ilvl w:val="2"/>
          <w:numId w:val="43"/>
        </w:numPr>
        <w:rPr>
          <w:rFonts w:ascii="Arial" w:cs="Arial" w:eastAsia="Arial" w:hAnsi="Arial"/>
          <w:sz w:val="14"/>
          <w:szCs w:val="14"/>
          <w:color w:val="auto"/>
        </w:rPr>
      </w:pPr>
      <w:r>
        <w:rPr>
          <w:rFonts w:ascii="Arial" w:cs="Arial" w:eastAsia="Arial" w:hAnsi="Arial"/>
          <w:sz w:val="14"/>
          <w:szCs w:val="14"/>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214" w:lineRule="exact"/>
        <w:rPr>
          <w:rFonts w:ascii="Arial" w:cs="Arial" w:eastAsia="Arial" w:hAnsi="Arial"/>
          <w:sz w:val="14"/>
          <w:szCs w:val="14"/>
          <w:color w:val="auto"/>
        </w:rPr>
      </w:pPr>
    </w:p>
    <w:p>
      <w:pPr>
        <w:ind w:right="80" w:firstLine="968"/>
        <w:spacing w:after="0" w:line="293" w:lineRule="auto"/>
        <w:tabs>
          <w:tab w:leader="none" w:pos="1168" w:val="left"/>
        </w:tabs>
        <w:numPr>
          <w:ilvl w:val="3"/>
          <w:numId w:val="43"/>
        </w:numPr>
        <w:rPr>
          <w:rFonts w:ascii="Arial" w:cs="Arial" w:eastAsia="Arial" w:hAnsi="Arial"/>
          <w:sz w:val="14"/>
          <w:szCs w:val="14"/>
          <w:color w:val="auto"/>
        </w:rPr>
      </w:pPr>
      <w:r>
        <w:rPr>
          <w:rFonts w:ascii="Arial" w:cs="Arial" w:eastAsia="Arial" w:hAnsi="Arial"/>
          <w:sz w:val="14"/>
          <w:szCs w:val="14"/>
          <w:color w:val="auto"/>
        </w:rPr>
        <w:t>Lessor and Lessee shall immediately appoint a mutually acceptable appraiser or broker to establish the new MRV within the next 30 days. Any associated costs will be split equally between the Parties, or</w:t>
      </w:r>
    </w:p>
    <w:p>
      <w:pPr>
        <w:spacing w:after="0" w:line="200" w:lineRule="exact"/>
        <w:rPr>
          <w:rFonts w:ascii="Arial" w:cs="Arial" w:eastAsia="Arial" w:hAnsi="Arial"/>
          <w:sz w:val="14"/>
          <w:szCs w:val="14"/>
          <w:color w:val="auto"/>
        </w:rPr>
      </w:pPr>
    </w:p>
    <w:p>
      <w:pPr>
        <w:ind w:right="220" w:firstLine="968"/>
        <w:spacing w:after="0" w:line="293" w:lineRule="auto"/>
        <w:tabs>
          <w:tab w:leader="none" w:pos="1176" w:val="left"/>
        </w:tabs>
        <w:numPr>
          <w:ilvl w:val="3"/>
          <w:numId w:val="43"/>
        </w:numPr>
        <w:rPr>
          <w:rFonts w:ascii="Arial" w:cs="Arial" w:eastAsia="Arial" w:hAnsi="Arial"/>
          <w:sz w:val="14"/>
          <w:szCs w:val="14"/>
          <w:color w:val="auto"/>
        </w:rPr>
      </w:pPr>
      <w:r>
        <w:rPr>
          <w:rFonts w:ascii="Arial" w:cs="Arial" w:eastAsia="Arial" w:hAnsi="Arial"/>
          <w:sz w:val="14"/>
          <w:szCs w:val="14"/>
          <w:color w:val="auto"/>
        </w:rPr>
        <w:t>Both Lessor and Lessee shall each immediately make a reasonable determination of the MRV and submit such determination, in writing, to arbitration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-1379220</wp:posOffset>
            </wp:positionV>
            <wp:extent cx="69215" cy="704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67" w:lineRule="exact"/>
        <w:rPr>
          <w:sz w:val="20"/>
          <w:szCs w:val="20"/>
          <w:color w:val="auto"/>
        </w:rPr>
      </w:pPr>
    </w:p>
    <w:p>
      <w:pPr>
        <w:ind w:right="280" w:firstLine="1292"/>
        <w:spacing w:after="0" w:line="187" w:lineRule="exact"/>
        <w:tabs>
          <w:tab w:leader="none" w:pos="1468"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Within 15 days thereafter, Lessor and Lessee shall each select an independent third party </w:t>
      </w:r>
      <w:r>
        <w:rPr>
          <w:rFonts w:ascii="MS PGothic" w:cs="MS PGothic" w:eastAsia="MS PGothic" w:hAnsi="MS PGothic"/>
          <w:sz w:val="14"/>
          <w:szCs w:val="14"/>
          <w:color w:val="auto"/>
        </w:rPr>
        <w:t>☐</w:t>
      </w:r>
      <w:r>
        <w:rPr>
          <w:rFonts w:ascii="Arial" w:cs="Arial" w:eastAsia="Arial" w:hAnsi="Arial"/>
          <w:sz w:val="14"/>
          <w:szCs w:val="14"/>
          <w:color w:val="auto"/>
        </w:rPr>
        <w:t xml:space="preserve"> appraiser or </w:t>
      </w:r>
      <w:r>
        <w:rPr>
          <w:rFonts w:ascii="MS PGothic" w:cs="MS PGothic" w:eastAsia="MS PGothic" w:hAnsi="MS PGothic"/>
          <w:sz w:val="14"/>
          <w:szCs w:val="14"/>
          <w:color w:val="auto"/>
        </w:rPr>
        <w:t>☐</w:t>
      </w:r>
      <w:r>
        <w:rPr>
          <w:rFonts w:ascii="Arial" w:cs="Arial" w:eastAsia="Arial" w:hAnsi="Arial"/>
          <w:sz w:val="14"/>
          <w:szCs w:val="14"/>
          <w:color w:val="auto"/>
        </w:rPr>
        <w:t xml:space="preserve"> broker ("Consultant" check one) of their choice to act as an arbitrator (Note: the parties may not select either of the Brokers that was involved in negotiating the Lease). The two arbitrators so appointed shall immediately select a third mutually acceptable Consultant to act as a third arbitrator.</w:t>
      </w:r>
    </w:p>
    <w:p>
      <w:pPr>
        <w:spacing w:after="0" w:line="237" w:lineRule="exact"/>
        <w:rPr>
          <w:rFonts w:ascii="Arial" w:cs="Arial" w:eastAsia="Arial" w:hAnsi="Arial"/>
          <w:sz w:val="14"/>
          <w:szCs w:val="14"/>
          <w:color w:val="auto"/>
        </w:rPr>
      </w:pPr>
    </w:p>
    <w:p>
      <w:pPr>
        <w:ind w:right="220" w:firstLine="1292"/>
        <w:spacing w:after="0" w:line="277" w:lineRule="auto"/>
        <w:tabs>
          <w:tab w:leader="none" w:pos="150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225" w:lineRule="exact"/>
        <w:rPr>
          <w:rFonts w:ascii="Arial" w:cs="Arial" w:eastAsia="Arial" w:hAnsi="Arial"/>
          <w:sz w:val="14"/>
          <w:szCs w:val="14"/>
          <w:color w:val="auto"/>
        </w:rPr>
      </w:pPr>
    </w:p>
    <w:p>
      <w:pPr>
        <w:ind w:right="20" w:firstLine="1292"/>
        <w:spacing w:after="0" w:line="293" w:lineRule="auto"/>
        <w:tabs>
          <w:tab w:leader="none" w:pos="1548" w:val="left"/>
        </w:tabs>
        <w:numPr>
          <w:ilvl w:val="0"/>
          <w:numId w:val="44"/>
        </w:numPr>
        <w:rPr>
          <w:rFonts w:ascii="Arial" w:cs="Arial" w:eastAsia="Arial" w:hAnsi="Arial"/>
          <w:sz w:val="14"/>
          <w:szCs w:val="14"/>
          <w:color w:val="auto"/>
        </w:rPr>
      </w:pPr>
      <w:r>
        <w:rPr>
          <w:rFonts w:ascii="Arial" w:cs="Arial" w:eastAsia="Arial" w:hAnsi="Arial"/>
          <w:sz w:val="14"/>
          <w:szCs w:val="14"/>
          <w:color w:val="auto"/>
        </w:rPr>
        <w:t>If either of the Parties fails to appoint an arbitrator within the specified 15 days, the arbitrator timely appointed by one of them shall reach a decision on his or her own, and said decision shall be binding on the Parties.</w:t>
      </w:r>
    </w:p>
    <w:p>
      <w:pPr>
        <w:sectPr>
          <w:pgSz w:w="11900" w:h="16838" w:orient="portrait"/>
          <w:cols w:equalWidth="0" w:num="1">
            <w:col w:w="10860"/>
          </w:cols>
          <w:pgMar w:left="440" w:top="1440" w:right="599" w:bottom="1440" w:gutter="0" w:footer="0" w:header="0"/>
        </w:sectPr>
      </w:pPr>
    </w:p>
    <w:bookmarkStart w:id="133" w:name="page134"/>
    <w:bookmarkEnd w:id="133"/>
    <w:p>
      <w:pPr>
        <w:jc w:val="center"/>
        <w:ind w:right="-50"/>
        <w:spacing w:after="0"/>
        <w:rPr>
          <w:sz w:val="20"/>
          <w:szCs w:val="20"/>
          <w:color w:val="auto"/>
        </w:rPr>
      </w:pPr>
      <w:r>
        <w:rPr>
          <w:rFonts w:ascii="Arial" w:cs="Arial" w:eastAsia="Arial" w:hAnsi="Arial"/>
          <w:sz w:val="14"/>
          <w:szCs w:val="14"/>
          <w:color w:val="auto"/>
        </w:rPr>
        <w:t>(iv) The entire cost of such arbitration shall be paid by the party whose submitted MRV is not selected, ie. the one that is NOT the closest to</w:t>
      </w:r>
    </w:p>
    <w:p>
      <w:pPr>
        <w:spacing w:after="0" w:line="21" w:lineRule="exact"/>
        <w:rPr>
          <w:sz w:val="20"/>
          <w:szCs w:val="20"/>
          <w:color w:val="auto"/>
        </w:rPr>
      </w:pPr>
    </w:p>
    <w:p>
      <w:pPr>
        <w:ind w:left="31"/>
        <w:spacing w:after="0"/>
        <w:rPr>
          <w:sz w:val="20"/>
          <w:szCs w:val="20"/>
          <w:color w:val="auto"/>
        </w:rPr>
      </w:pPr>
      <w:r>
        <w:rPr>
          <w:rFonts w:ascii="Arial" w:cs="Arial" w:eastAsia="Arial" w:hAnsi="Arial"/>
          <w:sz w:val="14"/>
          <w:szCs w:val="14"/>
          <w:color w:val="auto"/>
        </w:rPr>
        <w:t>the actual MRV.</w:t>
      </w:r>
    </w:p>
    <w:p>
      <w:pPr>
        <w:spacing w:after="0" w:line="251" w:lineRule="exact"/>
        <w:rPr>
          <w:sz w:val="20"/>
          <w:szCs w:val="20"/>
          <w:color w:val="auto"/>
        </w:rPr>
      </w:pPr>
    </w:p>
    <w:p>
      <w:pPr>
        <w:ind w:left="31" w:firstLine="644"/>
        <w:spacing w:after="0" w:line="293" w:lineRule="auto"/>
        <w:tabs>
          <w:tab w:leader="none" w:pos="835" w:val="left"/>
        </w:tabs>
        <w:numPr>
          <w:ilvl w:val="2"/>
          <w:numId w:val="45"/>
        </w:numPr>
        <w:rPr>
          <w:rFonts w:ascii="Arial" w:cs="Arial" w:eastAsia="Arial" w:hAnsi="Arial"/>
          <w:sz w:val="14"/>
          <w:szCs w:val="14"/>
          <w:color w:val="auto"/>
        </w:rPr>
      </w:pPr>
      <w:r>
        <w:rPr>
          <w:rFonts w:ascii="Arial" w:cs="Arial" w:eastAsia="Arial" w:hAnsi="Arial"/>
          <w:sz w:val="14"/>
          <w:szCs w:val="14"/>
          <w:color w:val="auto"/>
        </w:rPr>
        <w:t>When determining MRV, the Lessor, Lessee and Consultants shall consider the terms of comparable market transactions which shall include, but not limited to, rent, rental adjustments, abated rent, lease term and financial condition of tenants.</w:t>
      </w:r>
    </w:p>
    <w:p>
      <w:pPr>
        <w:spacing w:after="0" w:line="254" w:lineRule="exact"/>
        <w:rPr>
          <w:rFonts w:ascii="Arial" w:cs="Arial" w:eastAsia="Arial" w:hAnsi="Arial"/>
          <w:sz w:val="14"/>
          <w:szCs w:val="14"/>
          <w:color w:val="auto"/>
        </w:rPr>
      </w:pPr>
    </w:p>
    <w:p>
      <w:pPr>
        <w:ind w:left="411" w:right="1360" w:firstLine="264"/>
        <w:spacing w:after="0" w:line="382" w:lineRule="auto"/>
        <w:tabs>
          <w:tab w:leader="none" w:pos="837" w:val="left"/>
        </w:tabs>
        <w:numPr>
          <w:ilvl w:val="2"/>
          <w:numId w:val="45"/>
        </w:numPr>
        <w:rPr>
          <w:rFonts w:ascii="Arial" w:cs="Arial" w:eastAsia="Arial" w:hAnsi="Arial"/>
          <w:sz w:val="14"/>
          <w:szCs w:val="14"/>
          <w:color w:val="auto"/>
        </w:rPr>
      </w:pPr>
      <w:r>
        <w:rPr>
          <w:rFonts w:ascii="Arial" w:cs="Arial" w:eastAsia="Arial" w:hAnsi="Arial"/>
          <w:sz w:val="14"/>
          <w:szCs w:val="14"/>
          <w:color w:val="auto"/>
        </w:rPr>
        <w:t>Notwithstanding the foregoing, the new Base Rent shall not be less than the rent payable for the month immediately preceding the rent adjustment. b. Upon the establishment of each New Market Rental Value:</w:t>
      </w:r>
    </w:p>
    <w:p>
      <w:pPr>
        <w:ind w:left="831" w:hanging="156"/>
        <w:spacing w:after="0"/>
        <w:tabs>
          <w:tab w:leader="none" w:pos="831" w:val="left"/>
        </w:tabs>
        <w:numPr>
          <w:ilvl w:val="2"/>
          <w:numId w:val="46"/>
        </w:numPr>
        <w:rPr>
          <w:rFonts w:ascii="Arial" w:cs="Arial" w:eastAsia="Arial" w:hAnsi="Arial"/>
          <w:sz w:val="14"/>
          <w:szCs w:val="14"/>
          <w:color w:val="auto"/>
        </w:rPr>
      </w:pPr>
      <w:r>
        <w:rPr>
          <w:rFonts w:ascii="Arial" w:cs="Arial" w:eastAsia="Arial" w:hAnsi="Arial"/>
          <w:sz w:val="14"/>
          <w:szCs w:val="14"/>
          <w:color w:val="auto"/>
        </w:rPr>
        <w:t>the new MRV will become the new "Base Rent" for the purpose of calculating any further Adjustments, and</w:t>
      </w:r>
    </w:p>
    <w:p>
      <w:pPr>
        <w:spacing w:after="0" w:line="244" w:lineRule="exact"/>
        <w:rPr>
          <w:rFonts w:ascii="Arial" w:cs="Arial" w:eastAsia="Arial" w:hAnsi="Arial"/>
          <w:sz w:val="14"/>
          <w:szCs w:val="14"/>
          <w:color w:val="auto"/>
        </w:rPr>
      </w:pPr>
    </w:p>
    <w:p>
      <w:pPr>
        <w:ind w:left="831" w:hanging="156"/>
        <w:spacing w:after="0"/>
        <w:tabs>
          <w:tab w:leader="none" w:pos="831" w:val="left"/>
        </w:tabs>
        <w:numPr>
          <w:ilvl w:val="2"/>
          <w:numId w:val="46"/>
        </w:numPr>
        <w:rPr>
          <w:rFonts w:ascii="Arial" w:cs="Arial" w:eastAsia="Arial" w:hAnsi="Arial"/>
          <w:sz w:val="14"/>
          <w:szCs w:val="14"/>
          <w:color w:val="auto"/>
        </w:rPr>
      </w:pPr>
      <w:r>
        <w:rPr>
          <w:rFonts w:ascii="Arial" w:cs="Arial" w:eastAsia="Arial" w:hAnsi="Arial"/>
          <w:sz w:val="14"/>
          <w:szCs w:val="14"/>
          <w:color w:val="auto"/>
        </w:rPr>
        <w:t>the first month of each Market Rental Value term shall become the new "Base Month" for the purpose of calculating any further Adjustments.</w:t>
      </w:r>
    </w:p>
    <w:p>
      <w:pPr>
        <w:spacing w:after="0" w:line="294" w:lineRule="exact"/>
        <w:rPr>
          <w:rFonts w:ascii="Arial" w:cs="Arial" w:eastAsia="Arial" w:hAnsi="Arial"/>
          <w:sz w:val="14"/>
          <w:szCs w:val="14"/>
          <w:color w:val="auto"/>
        </w:rPr>
      </w:pPr>
    </w:p>
    <w:p>
      <w:pPr>
        <w:ind w:left="171" w:hanging="171"/>
        <w:spacing w:after="0"/>
        <w:tabs>
          <w:tab w:leader="none" w:pos="171" w:val="left"/>
        </w:tabs>
        <w:numPr>
          <w:ilvl w:val="0"/>
          <w:numId w:val="46"/>
        </w:numPr>
        <w:rPr>
          <w:rFonts w:ascii="MS PGothic" w:cs="MS PGothic" w:eastAsia="MS PGothic" w:hAnsi="MS PGothic"/>
          <w:sz w:val="14"/>
          <w:szCs w:val="14"/>
          <w:color w:val="auto"/>
        </w:rPr>
      </w:pPr>
      <w:r>
        <w:rPr>
          <w:rFonts w:ascii="Arial" w:cs="Arial" w:eastAsia="Arial" w:hAnsi="Arial"/>
          <w:sz w:val="14"/>
          <w:szCs w:val="14"/>
          <w:b w:val="1"/>
          <w:bCs w:val="1"/>
          <w:color w:val="auto"/>
        </w:rPr>
        <w:t>IV. Initial Term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69215" cy="70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1" w:lineRule="exact"/>
        <w:rPr>
          <w:sz w:val="20"/>
          <w:szCs w:val="20"/>
          <w:color w:val="auto"/>
        </w:rPr>
      </w:pPr>
    </w:p>
    <w:p>
      <w:pPr>
        <w:ind w:left="31"/>
        <w:spacing w:after="0"/>
        <w:rPr>
          <w:sz w:val="20"/>
          <w:szCs w:val="20"/>
          <w:color w:val="auto"/>
        </w:rPr>
      </w:pPr>
      <w:r>
        <w:rPr>
          <w:rFonts w:ascii="Arial" w:cs="Arial" w:eastAsia="Arial" w:hAnsi="Arial"/>
          <w:sz w:val="14"/>
          <w:szCs w:val="14"/>
          <w:color w:val="auto"/>
        </w:rPr>
        <w:t>The formula used to calculate adjustments to the Base Rate during the original Term of the Lease shall continue to be used during the extended term.</w:t>
      </w:r>
    </w:p>
    <w:p>
      <w:pPr>
        <w:spacing w:after="0" w:line="228" w:lineRule="exact"/>
        <w:rPr>
          <w:sz w:val="20"/>
          <w:szCs w:val="20"/>
          <w:color w:val="auto"/>
        </w:rPr>
      </w:pPr>
    </w:p>
    <w:p>
      <w:pPr>
        <w:ind w:left="31"/>
        <w:spacing w:after="0"/>
        <w:rPr>
          <w:sz w:val="20"/>
          <w:szCs w:val="20"/>
          <w:color w:val="auto"/>
        </w:rPr>
      </w:pPr>
      <w:r>
        <w:rPr>
          <w:rFonts w:ascii="Arial" w:cs="Arial" w:eastAsia="Arial" w:hAnsi="Arial"/>
          <w:sz w:val="14"/>
          <w:szCs w:val="14"/>
          <w:b w:val="1"/>
          <w:bCs w:val="1"/>
          <w:color w:val="auto"/>
        </w:rPr>
        <w:t>B. NOTICE:</w:t>
      </w:r>
    </w:p>
    <w:p>
      <w:pPr>
        <w:spacing w:after="0" w:line="25" w:lineRule="exact"/>
        <w:rPr>
          <w:sz w:val="20"/>
          <w:szCs w:val="20"/>
          <w:color w:val="auto"/>
        </w:rPr>
      </w:pPr>
    </w:p>
    <w:p>
      <w:pPr>
        <w:ind w:left="31"/>
        <w:spacing w:after="0"/>
        <w:rPr>
          <w:sz w:val="20"/>
          <w:szCs w:val="20"/>
          <w:color w:val="auto"/>
        </w:rPr>
      </w:pPr>
      <w:r>
        <w:rPr>
          <w:rFonts w:ascii="Arial" w:cs="Arial" w:eastAsia="Arial" w:hAnsi="Arial"/>
          <w:sz w:val="14"/>
          <w:szCs w:val="14"/>
          <w:color w:val="auto"/>
        </w:rPr>
        <w:t>Unless specified otherwise herein, notice of any rental adjustments, other than Fixed Rental Adjustments, shall be made as specified in paragraph 23 of the Lease.</w:t>
      </w:r>
    </w:p>
    <w:p>
      <w:pPr>
        <w:spacing w:after="0" w:line="233" w:lineRule="exact"/>
        <w:rPr>
          <w:sz w:val="20"/>
          <w:szCs w:val="20"/>
          <w:color w:val="auto"/>
        </w:rPr>
      </w:pPr>
    </w:p>
    <w:p>
      <w:pPr>
        <w:ind w:left="31"/>
        <w:spacing w:after="0"/>
        <w:rPr>
          <w:sz w:val="20"/>
          <w:szCs w:val="20"/>
          <w:color w:val="auto"/>
        </w:rPr>
      </w:pPr>
      <w:r>
        <w:rPr>
          <w:rFonts w:ascii="Arial" w:cs="Arial" w:eastAsia="Arial" w:hAnsi="Arial"/>
          <w:sz w:val="14"/>
          <w:szCs w:val="14"/>
          <w:b w:val="1"/>
          <w:bCs w:val="1"/>
          <w:color w:val="auto"/>
        </w:rPr>
        <w:t>C. BROKER'S FEE</w:t>
      </w:r>
      <w:r>
        <w:rPr>
          <w:rFonts w:ascii="Arial" w:cs="Arial" w:eastAsia="Arial" w:hAnsi="Arial"/>
          <w:sz w:val="14"/>
          <w:szCs w:val="14"/>
          <w:color w:val="auto"/>
        </w:rPr>
        <w:t>:</w:t>
      </w:r>
    </w:p>
    <w:p>
      <w:pPr>
        <w:spacing w:after="0" w:line="25" w:lineRule="exact"/>
        <w:rPr>
          <w:sz w:val="20"/>
          <w:szCs w:val="20"/>
          <w:color w:val="auto"/>
        </w:rPr>
      </w:pPr>
    </w:p>
    <w:p>
      <w:pPr>
        <w:ind w:left="31" w:right="1380"/>
        <w:spacing w:after="0" w:line="263" w:lineRule="auto"/>
        <w:rPr>
          <w:sz w:val="20"/>
          <w:szCs w:val="20"/>
          <w:color w:val="auto"/>
        </w:rPr>
      </w:pPr>
      <w:r>
        <w:rPr>
          <w:rFonts w:ascii="Arial" w:cs="Arial" w:eastAsia="Arial" w:hAnsi="Arial"/>
          <w:sz w:val="14"/>
          <w:szCs w:val="14"/>
          <w:color w:val="auto"/>
        </w:rPr>
        <w:t>The Brokers shall be paid a Brokerage Fee for each adjustment specified above in accordance with paragraph 15 of the Lease or if applicable, paragraph 9 of the Sublease.</w:t>
      </w:r>
    </w:p>
    <w:p>
      <w:pPr>
        <w:spacing w:after="0" w:line="217" w:lineRule="exact"/>
        <w:rPr>
          <w:sz w:val="20"/>
          <w:szCs w:val="20"/>
          <w:color w:val="auto"/>
        </w:rPr>
      </w:pPr>
    </w:p>
    <w:p>
      <w:pPr>
        <w:ind w:left="3011"/>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5" w:lineRule="exact"/>
        <w:rPr>
          <w:sz w:val="20"/>
          <w:szCs w:val="20"/>
          <w:color w:val="auto"/>
        </w:rPr>
      </w:pPr>
    </w:p>
    <w:p>
      <w:pPr>
        <w:ind w:left="2451"/>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ectPr>
          <w:pgSz w:w="11900" w:h="16838" w:orient="portrait"/>
          <w:cols w:equalWidth="0" w:num="1">
            <w:col w:w="10651"/>
          </w:cols>
          <w:pgMar w:left="409" w:top="782" w:right="839" w:bottom="1440" w:gutter="0" w:footer="0" w:header="0"/>
        </w:sectPr>
      </w:pPr>
    </w:p>
    <w:bookmarkStart w:id="134" w:name="page135"/>
    <w:bookmarkEnd w:id="134"/>
    <w:p>
      <w:pPr>
        <w:ind w:left="10120"/>
        <w:spacing w:after="0"/>
        <w:rPr>
          <w:sz w:val="20"/>
          <w:szCs w:val="20"/>
          <w:color w:val="auto"/>
        </w:rPr>
      </w:pPr>
      <w:r>
        <w:rPr>
          <w:rFonts w:ascii="Arial" w:cs="Arial" w:eastAsia="Arial" w:hAnsi="Arial"/>
          <w:sz w:val="18"/>
          <w:szCs w:val="18"/>
          <w:b w:val="1"/>
          <w:bCs w:val="1"/>
          <w:color w:val="auto"/>
        </w:rPr>
        <w:t>Exhibit 10.31</w:t>
      </w:r>
    </w:p>
    <w:p>
      <w:pPr>
        <w:spacing w:after="0" w:line="266" w:lineRule="exact"/>
        <w:rPr>
          <w:sz w:val="20"/>
          <w:szCs w:val="20"/>
          <w:color w:val="auto"/>
        </w:rPr>
      </w:pPr>
    </w:p>
    <w:p>
      <w:pPr>
        <w:jc w:val="both"/>
        <w:ind w:right="280"/>
        <w:spacing w:after="0" w:line="253" w:lineRule="auto"/>
        <w:rPr>
          <w:sz w:val="20"/>
          <w:szCs w:val="20"/>
          <w:color w:val="auto"/>
        </w:rPr>
      </w:pPr>
      <w:r>
        <w:rPr>
          <w:rFonts w:ascii="Arial" w:cs="Arial" w:eastAsia="Arial" w:hAnsi="Arial"/>
          <w:sz w:val="20"/>
          <w:szCs w:val="20"/>
          <w:b w:val="1"/>
          <w:bCs w:val="1"/>
          <w:color w:val="auto"/>
        </w:rPr>
        <w:t>FIRST ADDENDUM TO STANDARD INDUSTRIAL/COMMERCIAL SINGLE-TENANT LEASE – NET DATED AUGUST 15, 2014 BY AND BETWEEN GEIGER COURT, LLC, AS LESSOR AND EXAGEN DIAGNOSTICS, INC. AS LESSEE, FOR THE PREMISES LOCATED AT 1221 LIBERTY WAY, VISTA, CALIFORNIA.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Lessor and Lessee mutually agree to amend the lease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1.3 (Term):</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Lease Term will be extended to the new Expiration Date of January 31, 2021</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50 (Rent Schedule):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Base Rent shall be as follows: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Dates</w:t>
            </w:r>
          </w:p>
        </w:tc>
        <w:tc>
          <w:tcPr>
            <w:tcW w:w="45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Base Rent</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1, 2018 - January 31, 2019</w:t>
            </w:r>
          </w:p>
        </w:tc>
        <w:tc>
          <w:tcPr>
            <w:tcW w:w="45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$19,308.96 per month</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1, 2019 - January 31, 2020</w:t>
            </w:r>
          </w:p>
        </w:tc>
        <w:tc>
          <w:tcPr>
            <w:tcW w:w="45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$19,888.23 per month</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1, 2020 - January 31, 2021</w:t>
            </w:r>
          </w:p>
        </w:tc>
        <w:tc>
          <w:tcPr>
            <w:tcW w:w="45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$20,484.88 per month</w:t>
            </w:r>
          </w:p>
        </w:tc>
      </w:tr>
      <w:tr>
        <w:trPr>
          <w:trHeight w:val="2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Paragraph 58 (Existing Furniture):</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Replace “Lessee may use furniture for $0.01/SF per month during the Lease Term” with “Lessee may use furniture for no charge during the Lease Term”.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Building Improvements:</w:t>
      </w:r>
    </w:p>
    <w:p>
      <w:pPr>
        <w:spacing w:after="0" w:line="249"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Landlord will replace outdated thermostats in building with new advanced thermostats. Landlord will replace manual rocker light switches in offices, conference rooms, copy room and break room with motion sensing automatic on and off switches. Tenant will coordinate the installation of these improvements remit direct costs to Landlord for reimbursement.</w:t>
      </w:r>
    </w:p>
    <w:p>
      <w:pPr>
        <w:ind w:left="980" w:hanging="324"/>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Landlord to pay initial $2,500. Tenant to pay next $2,500. Cost to be split 50/50 over $5,000.</w:t>
      </w:r>
    </w:p>
    <w:p>
      <w:pPr>
        <w:ind w:left="980" w:hanging="324"/>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Landlord cost capped at no higher than $5,000.</w:t>
      </w:r>
    </w:p>
    <w:p>
      <w:pPr>
        <w:ind w:left="980" w:hanging="324"/>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 work to be completed prior to end of 2017.</w:t>
      </w:r>
    </w:p>
    <w:p>
      <w:pPr>
        <w:spacing w:after="0" w:line="200" w:lineRule="exact"/>
        <w:rPr>
          <w:sz w:val="20"/>
          <w:szCs w:val="20"/>
          <w:color w:val="auto"/>
        </w:rPr>
      </w:pPr>
    </w:p>
    <w:p>
      <w:pPr>
        <w:spacing w:after="0" w:line="270"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Lessee will be responsible for any other work or modifications to HVAC systems as determined by Lessee. Upon execution of this Addendum, Lessee shall be responsible for contracting direct with an HVAC vendor for maintenance and repairs and have full control over the HVAC systems.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other terms and conditions of the existing Lease shall remain in full force and effect.</w:t>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108" w:lineRule="exact"/>
        <w:rPr>
          <w:sz w:val="20"/>
          <w:szCs w:val="20"/>
          <w:color w:val="auto"/>
        </w:rPr>
      </w:pPr>
    </w:p>
    <w:p>
      <w:pPr>
        <w:ind w:left="20"/>
        <w:spacing w:after="0"/>
        <w:tabs>
          <w:tab w:leader="none" w:pos="4980" w:val="left"/>
        </w:tabs>
        <w:rPr>
          <w:sz w:val="20"/>
          <w:szCs w:val="20"/>
          <w:color w:val="auto"/>
        </w:rPr>
      </w:pPr>
      <w:r>
        <w:rPr>
          <w:rFonts w:ascii="Arial" w:cs="Arial" w:eastAsia="Arial" w:hAnsi="Arial"/>
          <w:sz w:val="20"/>
          <w:szCs w:val="20"/>
          <w:b w:val="1"/>
          <w:bCs w:val="1"/>
          <w:color w:val="auto"/>
        </w:rPr>
        <w:t>LESSOR:</w:t>
      </w:r>
      <w:r>
        <w:rPr>
          <w:sz w:val="20"/>
          <w:szCs w:val="20"/>
          <w:color w:val="auto"/>
        </w:rPr>
        <w:tab/>
      </w:r>
      <w:r>
        <w:rPr>
          <w:rFonts w:ascii="Arial" w:cs="Arial" w:eastAsia="Arial" w:hAnsi="Arial"/>
          <w:sz w:val="20"/>
          <w:szCs w:val="20"/>
          <w:b w:val="1"/>
          <w:bCs w:val="1"/>
          <w:color w:val="auto"/>
        </w:rPr>
        <w:t>LESSEE:</w:t>
      </w:r>
    </w:p>
    <w:p>
      <w:pPr>
        <w:spacing w:after="0" w:line="135" w:lineRule="exact"/>
        <w:rPr>
          <w:sz w:val="20"/>
          <w:szCs w:val="20"/>
          <w:color w:val="auto"/>
        </w:rPr>
      </w:pPr>
    </w:p>
    <w:p>
      <w:pPr>
        <w:ind w:left="20"/>
        <w:spacing w:after="0"/>
        <w:tabs>
          <w:tab w:leader="none" w:pos="4980" w:val="left"/>
        </w:tabs>
        <w:rPr>
          <w:sz w:val="20"/>
          <w:szCs w:val="20"/>
          <w:color w:val="auto"/>
        </w:rPr>
      </w:pPr>
      <w:r>
        <w:rPr>
          <w:rFonts w:ascii="Arial" w:cs="Arial" w:eastAsia="Arial" w:hAnsi="Arial"/>
          <w:sz w:val="20"/>
          <w:szCs w:val="20"/>
          <w:b w:val="1"/>
          <w:bCs w:val="1"/>
          <w:color w:val="auto"/>
        </w:rPr>
        <w:t>Geiger Court, LLC</w:t>
      </w:r>
      <w:r>
        <w:rPr>
          <w:sz w:val="20"/>
          <w:szCs w:val="20"/>
          <w:color w:val="auto"/>
        </w:rPr>
        <w:tab/>
      </w:r>
      <w:r>
        <w:rPr>
          <w:rFonts w:ascii="Arial" w:cs="Arial" w:eastAsia="Arial" w:hAnsi="Arial"/>
          <w:sz w:val="16"/>
          <w:szCs w:val="16"/>
          <w:b w:val="1"/>
          <w:bCs w:val="1"/>
          <w:color w:val="auto"/>
        </w:rPr>
        <w:t>Exagen Diagnostics,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By: /s/ Hal Tilbury</w:t>
            </w:r>
          </w:p>
        </w:tc>
        <w:tc>
          <w:tcPr>
            <w:tcW w:w="3900" w:type="dxa"/>
            <w:vAlign w:val="bottom"/>
          </w:tcPr>
          <w:p>
            <w:pPr>
              <w:ind w:left="20"/>
              <w:spacing w:after="0"/>
              <w:rPr>
                <w:sz w:val="20"/>
                <w:szCs w:val="20"/>
                <w:color w:val="auto"/>
              </w:rPr>
            </w:pPr>
            <w:r>
              <w:rPr>
                <w:rFonts w:ascii="Arial" w:cs="Arial" w:eastAsia="Arial" w:hAnsi="Arial"/>
                <w:sz w:val="20"/>
                <w:szCs w:val="20"/>
                <w:color w:val="auto"/>
              </w:rPr>
              <w:t>By: /s/ Ron Rocca</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686"/>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By:</w:t>
            </w:r>
          </w:p>
        </w:tc>
        <w:tc>
          <w:tcPr>
            <w:tcW w:w="3900" w:type="dxa"/>
            <w:vAlign w:val="bottom"/>
          </w:tcPr>
          <w:p>
            <w:pPr>
              <w:ind w:left="20"/>
              <w:spacing w:after="0"/>
              <w:rPr>
                <w:sz w:val="20"/>
                <w:szCs w:val="20"/>
                <w:color w:val="auto"/>
              </w:rPr>
            </w:pPr>
            <w:r>
              <w:rPr>
                <w:rFonts w:ascii="Arial" w:cs="Arial" w:eastAsia="Arial" w:hAnsi="Arial"/>
                <w:sz w:val="20"/>
                <w:szCs w:val="20"/>
                <w:color w:val="auto"/>
              </w:rPr>
              <w:t>Title: CEO</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686"/>
        </w:trPr>
        <w:tc>
          <w:tcPr>
            <w:tcW w:w="4980" w:type="dxa"/>
            <w:vAlign w:val="bottom"/>
            <w:gridSpan w:val="2"/>
          </w:tcPr>
          <w:p>
            <w:pPr>
              <w:ind w:left="20"/>
              <w:spacing w:after="0"/>
              <w:rPr>
                <w:sz w:val="20"/>
                <w:szCs w:val="20"/>
                <w:color w:val="auto"/>
              </w:rPr>
            </w:pPr>
            <w:r>
              <w:rPr>
                <w:rFonts w:ascii="Arial" w:cs="Arial" w:eastAsia="Arial" w:hAnsi="Arial"/>
                <w:sz w:val="20"/>
                <w:szCs w:val="20"/>
                <w:color w:val="auto"/>
              </w:rPr>
              <w:t>Date: 8/2/2017</w:t>
            </w:r>
          </w:p>
        </w:tc>
        <w:tc>
          <w:tcPr>
            <w:tcW w:w="3900" w:type="dxa"/>
            <w:vAlign w:val="bottom"/>
          </w:tcPr>
          <w:p>
            <w:pPr>
              <w:ind w:left="20"/>
              <w:spacing w:after="0"/>
              <w:rPr>
                <w:sz w:val="20"/>
                <w:szCs w:val="20"/>
                <w:color w:val="auto"/>
              </w:rPr>
            </w:pPr>
            <w:r>
              <w:rPr>
                <w:rFonts w:ascii="Arial" w:cs="Arial" w:eastAsia="Arial" w:hAnsi="Arial"/>
                <w:sz w:val="20"/>
                <w:szCs w:val="20"/>
                <w:color w:val="auto"/>
              </w:rPr>
              <w:t>Date: 8/2/2017</w:t>
            </w:r>
          </w:p>
        </w:tc>
      </w:tr>
      <w:tr>
        <w:trPr>
          <w:trHeight w:val="23"/>
        </w:trPr>
        <w:tc>
          <w:tcPr>
            <w:tcW w:w="41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bl>
    <w:p>
      <w:pPr>
        <w:sectPr>
          <w:pgSz w:w="11900" w:h="16838" w:orient="portrait"/>
          <w:cols w:equalWidth="0" w:num="1">
            <w:col w:w="10139"/>
          </w:cols>
          <w:pgMar w:left="320" w:top="144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10.32</w:t>
      </w:r>
    </w:p>
    <w:p>
      <w:pPr>
        <w:spacing w:after="0" w:line="58"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EXTENSION OF LEASE</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5B5B5B"/>
        </w:rPr>
        <w:t>T</w:t>
      </w:r>
      <w:r>
        <w:rPr>
          <w:rFonts w:ascii="Arial" w:cs="Arial" w:eastAsia="Arial" w:hAnsi="Arial"/>
          <w:sz w:val="14"/>
          <w:szCs w:val="14"/>
          <w:color w:val="4B4B4B"/>
        </w:rPr>
        <w:t>h</w:t>
      </w:r>
      <w:r>
        <w:rPr>
          <w:rFonts w:ascii="Arial" w:cs="Arial" w:eastAsia="Arial" w:hAnsi="Arial"/>
          <w:sz w:val="14"/>
          <w:szCs w:val="14"/>
          <w:color w:val="5B5B5B"/>
        </w:rPr>
        <w:t>i</w:t>
      </w:r>
      <w:r>
        <w:rPr>
          <w:rFonts w:ascii="Arial" w:cs="Arial" w:eastAsia="Arial" w:hAnsi="Arial"/>
          <w:sz w:val="14"/>
          <w:szCs w:val="14"/>
          <w:color w:val="4B4B4B"/>
        </w:rPr>
        <w:t>s</w:t>
      </w:r>
      <w:r>
        <w:rPr>
          <w:rFonts w:ascii="Arial" w:cs="Arial" w:eastAsia="Arial" w:hAnsi="Arial"/>
          <w:sz w:val="14"/>
          <w:szCs w:val="14"/>
          <w:color w:val="5B5B5B"/>
        </w:rPr>
        <w:t xml:space="preserve"> Ext</w:t>
      </w:r>
      <w:r>
        <w:rPr>
          <w:rFonts w:ascii="Arial" w:cs="Arial" w:eastAsia="Arial" w:hAnsi="Arial"/>
          <w:sz w:val="14"/>
          <w:szCs w:val="14"/>
          <w:color w:val="4B4B4B"/>
        </w:rPr>
        <w:t>ens</w:t>
      </w:r>
      <w:r>
        <w:rPr>
          <w:rFonts w:ascii="Arial" w:cs="Arial" w:eastAsia="Arial" w:hAnsi="Arial"/>
          <w:sz w:val="14"/>
          <w:szCs w:val="14"/>
          <w:color w:val="5B5B5B"/>
        </w:rPr>
        <w:t>i</w:t>
      </w:r>
      <w:r>
        <w:rPr>
          <w:rFonts w:ascii="Arial" w:cs="Arial" w:eastAsia="Arial" w:hAnsi="Arial"/>
          <w:sz w:val="14"/>
          <w:szCs w:val="14"/>
          <w:color w:val="4B4B4B"/>
        </w:rPr>
        <w:t>on of</w:t>
      </w:r>
      <w:r>
        <w:rPr>
          <w:rFonts w:ascii="Arial" w:cs="Arial" w:eastAsia="Arial" w:hAnsi="Arial"/>
          <w:sz w:val="14"/>
          <w:szCs w:val="14"/>
          <w:color w:val="5B5B5B"/>
        </w:rPr>
        <w:t xml:space="preserve"> L</w:t>
      </w:r>
      <w:r>
        <w:rPr>
          <w:rFonts w:ascii="Arial" w:cs="Arial" w:eastAsia="Arial" w:hAnsi="Arial"/>
          <w:sz w:val="14"/>
          <w:szCs w:val="14"/>
          <w:color w:val="4B4B4B"/>
        </w:rPr>
        <w:t>ease</w:t>
      </w:r>
      <w:r>
        <w:rPr>
          <w:rFonts w:ascii="Arial" w:cs="Arial" w:eastAsia="Arial" w:hAnsi="Arial"/>
          <w:sz w:val="14"/>
          <w:szCs w:val="14"/>
          <w:color w:val="5B5B5B"/>
        </w:rPr>
        <w:t xml:space="preserve"> is </w:t>
      </w:r>
      <w:r>
        <w:rPr>
          <w:rFonts w:ascii="Arial" w:cs="Arial" w:eastAsia="Arial" w:hAnsi="Arial"/>
          <w:sz w:val="14"/>
          <w:szCs w:val="14"/>
          <w:color w:val="4B4B4B"/>
        </w:rPr>
        <w:t>made on</w:t>
      </w:r>
      <w:r>
        <w:rPr>
          <w:rFonts w:ascii="Arial" w:cs="Arial" w:eastAsia="Arial" w:hAnsi="Arial"/>
          <w:sz w:val="14"/>
          <w:szCs w:val="14"/>
          <w:color w:val="5B5B5B"/>
        </w:rPr>
        <w:t xml:space="preserve"> F</w:t>
      </w:r>
      <w:r>
        <w:rPr>
          <w:rFonts w:ascii="Arial" w:cs="Arial" w:eastAsia="Arial" w:hAnsi="Arial"/>
          <w:sz w:val="14"/>
          <w:szCs w:val="14"/>
          <w:color w:val="4B4B4B"/>
        </w:rPr>
        <w:t>ebruary 2</w:t>
      </w:r>
      <w:r>
        <w:rPr>
          <w:rFonts w:ascii="Arial" w:cs="Arial" w:eastAsia="Arial" w:hAnsi="Arial"/>
          <w:sz w:val="14"/>
          <w:szCs w:val="14"/>
          <w:color w:val="5B5B5B"/>
        </w:rPr>
        <w:t>5</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2</w:t>
      </w:r>
      <w:r>
        <w:rPr>
          <w:rFonts w:ascii="Arial" w:cs="Arial" w:eastAsia="Arial" w:hAnsi="Arial"/>
          <w:sz w:val="14"/>
          <w:szCs w:val="14"/>
          <w:color w:val="5B5B5B"/>
        </w:rPr>
        <w:t>0</w:t>
      </w:r>
      <w:r>
        <w:rPr>
          <w:rFonts w:ascii="Arial" w:cs="Arial" w:eastAsia="Arial" w:hAnsi="Arial"/>
          <w:sz w:val="14"/>
          <w:szCs w:val="14"/>
          <w:color w:val="4B4B4B"/>
        </w:rPr>
        <w:t>20</w:t>
      </w:r>
      <w:r>
        <w:rPr>
          <w:rFonts w:ascii="Arial" w:cs="Arial" w:eastAsia="Arial" w:hAnsi="Arial"/>
          <w:sz w:val="14"/>
          <w:szCs w:val="14"/>
          <w:color w:val="757575"/>
        </w:rPr>
        <w:t>,</w:t>
      </w:r>
      <w:r>
        <w:rPr>
          <w:rFonts w:ascii="Arial" w:cs="Arial" w:eastAsia="Arial" w:hAnsi="Arial"/>
          <w:sz w:val="14"/>
          <w:szCs w:val="14"/>
          <w:color w:val="5B5B5B"/>
        </w:rPr>
        <w:t xml:space="preserve"> </w:t>
      </w:r>
      <w:r>
        <w:rPr>
          <w:rFonts w:ascii="Arial" w:cs="Arial" w:eastAsia="Arial" w:hAnsi="Arial"/>
          <w:sz w:val="14"/>
          <w:szCs w:val="14"/>
          <w:color w:val="4B4B4B"/>
        </w:rPr>
        <w:t>b</w:t>
      </w:r>
      <w:r>
        <w:rPr>
          <w:rFonts w:ascii="Arial" w:cs="Arial" w:eastAsia="Arial" w:hAnsi="Arial"/>
          <w:sz w:val="14"/>
          <w:szCs w:val="14"/>
          <w:color w:val="5B5B5B"/>
        </w:rPr>
        <w:t>e</w:t>
      </w:r>
      <w:r>
        <w:rPr>
          <w:rFonts w:ascii="Arial" w:cs="Arial" w:eastAsia="Arial" w:hAnsi="Arial"/>
          <w:sz w:val="14"/>
          <w:szCs w:val="14"/>
          <w:color w:val="4B4B4B"/>
        </w:rPr>
        <w:t>tw</w:t>
      </w:r>
      <w:r>
        <w:rPr>
          <w:rFonts w:ascii="Arial" w:cs="Arial" w:eastAsia="Arial" w:hAnsi="Arial"/>
          <w:sz w:val="14"/>
          <w:szCs w:val="14"/>
          <w:color w:val="5B5B5B"/>
        </w:rPr>
        <w:t>e</w:t>
      </w:r>
      <w:r>
        <w:rPr>
          <w:rFonts w:ascii="Arial" w:cs="Arial" w:eastAsia="Arial" w:hAnsi="Arial"/>
          <w:sz w:val="14"/>
          <w:szCs w:val="14"/>
          <w:color w:val="4B4B4B"/>
        </w:rPr>
        <w:t>en</w:t>
      </w:r>
      <w:r>
        <w:rPr>
          <w:rFonts w:ascii="Arial" w:cs="Arial" w:eastAsia="Arial" w:hAnsi="Arial"/>
          <w:sz w:val="14"/>
          <w:szCs w:val="14"/>
          <w:color w:val="5B5B5B"/>
        </w:rPr>
        <w:t xml:space="preserve"> Li</w:t>
      </w:r>
      <w:r>
        <w:rPr>
          <w:rFonts w:ascii="Arial" w:cs="Arial" w:eastAsia="Arial" w:hAnsi="Arial"/>
          <w:sz w:val="14"/>
          <w:szCs w:val="14"/>
          <w:color w:val="4B4B4B"/>
        </w:rPr>
        <w:t>b</w:t>
      </w:r>
      <w:r>
        <w:rPr>
          <w:rFonts w:ascii="Arial" w:cs="Arial" w:eastAsia="Arial" w:hAnsi="Arial"/>
          <w:sz w:val="14"/>
          <w:szCs w:val="14"/>
          <w:color w:val="5B5B5B"/>
        </w:rPr>
        <w:t>erty Vis</w:t>
      </w:r>
      <w:r>
        <w:rPr>
          <w:rFonts w:ascii="Arial" w:cs="Arial" w:eastAsia="Arial" w:hAnsi="Arial"/>
          <w:sz w:val="14"/>
          <w:szCs w:val="14"/>
          <w:color w:val="4B4B4B"/>
        </w:rPr>
        <w:t>t</w:t>
      </w:r>
      <w:r>
        <w:rPr>
          <w:rFonts w:ascii="Arial" w:cs="Arial" w:eastAsia="Arial" w:hAnsi="Arial"/>
          <w:sz w:val="14"/>
          <w:szCs w:val="14"/>
          <w:color w:val="5B5B5B"/>
        </w:rPr>
        <w:t>a</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a</w:t>
      </w:r>
      <w:r>
        <w:rPr>
          <w:rFonts w:ascii="Arial" w:cs="Arial" w:eastAsia="Arial" w:hAnsi="Arial"/>
          <w:sz w:val="14"/>
          <w:szCs w:val="14"/>
          <w:color w:val="5B5B5B"/>
        </w:rPr>
        <w:t xml:space="preserve"> C</w:t>
      </w:r>
      <w:r>
        <w:rPr>
          <w:rFonts w:ascii="Arial" w:cs="Arial" w:eastAsia="Arial" w:hAnsi="Arial"/>
          <w:sz w:val="14"/>
          <w:szCs w:val="14"/>
          <w:color w:val="4B4B4B"/>
        </w:rPr>
        <w:t>ali</w:t>
      </w:r>
      <w:r>
        <w:rPr>
          <w:rFonts w:ascii="Arial" w:cs="Arial" w:eastAsia="Arial" w:hAnsi="Arial"/>
          <w:sz w:val="14"/>
          <w:szCs w:val="14"/>
          <w:color w:val="5B5B5B"/>
        </w:rPr>
        <w:t xml:space="preserve">fornia </w:t>
      </w:r>
      <w:r>
        <w:rPr>
          <w:rFonts w:ascii="Arial" w:cs="Arial" w:eastAsia="Arial" w:hAnsi="Arial"/>
          <w:sz w:val="14"/>
          <w:szCs w:val="14"/>
          <w:color w:val="4B4B4B"/>
        </w:rPr>
        <w:t>l</w:t>
      </w:r>
      <w:r>
        <w:rPr>
          <w:rFonts w:ascii="Arial" w:cs="Arial" w:eastAsia="Arial" w:hAnsi="Arial"/>
          <w:sz w:val="14"/>
          <w:szCs w:val="14"/>
          <w:color w:val="5B5B5B"/>
        </w:rPr>
        <w:t>imi</w:t>
      </w:r>
      <w:r>
        <w:rPr>
          <w:rFonts w:ascii="Arial" w:cs="Arial" w:eastAsia="Arial" w:hAnsi="Arial"/>
          <w:sz w:val="14"/>
          <w:szCs w:val="14"/>
          <w:color w:val="4B4B4B"/>
        </w:rPr>
        <w:t>ted partne</w:t>
      </w:r>
      <w:r>
        <w:rPr>
          <w:rFonts w:ascii="Arial" w:cs="Arial" w:eastAsia="Arial" w:hAnsi="Arial"/>
          <w:sz w:val="14"/>
          <w:szCs w:val="14"/>
          <w:color w:val="5B5B5B"/>
        </w:rPr>
        <w:t>r</w:t>
      </w:r>
      <w:r>
        <w:rPr>
          <w:rFonts w:ascii="Arial" w:cs="Arial" w:eastAsia="Arial" w:hAnsi="Arial"/>
          <w:sz w:val="14"/>
          <w:szCs w:val="14"/>
          <w:color w:val="4B4B4B"/>
        </w:rPr>
        <w:t>sh</w:t>
      </w:r>
      <w:r>
        <w:rPr>
          <w:rFonts w:ascii="Arial" w:cs="Arial" w:eastAsia="Arial" w:hAnsi="Arial"/>
          <w:sz w:val="14"/>
          <w:szCs w:val="14"/>
          <w:color w:val="5B5B5B"/>
        </w:rPr>
        <w:t>i</w:t>
      </w:r>
      <w:r>
        <w:rPr>
          <w:rFonts w:ascii="Arial" w:cs="Arial" w:eastAsia="Arial" w:hAnsi="Arial"/>
          <w:sz w:val="14"/>
          <w:szCs w:val="14"/>
          <w:color w:val="4B4B4B"/>
        </w:rPr>
        <w:t>p</w:t>
      </w:r>
      <w:r>
        <w:rPr>
          <w:rFonts w:ascii="Arial" w:cs="Arial" w:eastAsia="Arial" w:hAnsi="Arial"/>
          <w:sz w:val="14"/>
          <w:szCs w:val="14"/>
          <w:color w:val="5B5B5B"/>
        </w:rPr>
        <w:t xml:space="preserve"> (</w:t>
      </w:r>
      <w:r>
        <w:rPr>
          <w:rFonts w:ascii="Arial" w:cs="Arial" w:eastAsia="Arial" w:hAnsi="Arial"/>
          <w:sz w:val="14"/>
          <w:szCs w:val="14"/>
          <w:color w:val="878787"/>
        </w:rPr>
        <w:t>"</w:t>
      </w:r>
      <w:r>
        <w:rPr>
          <w:rFonts w:ascii="Arial" w:cs="Arial" w:eastAsia="Arial" w:hAnsi="Arial"/>
          <w:sz w:val="14"/>
          <w:szCs w:val="14"/>
          <w:color w:val="4B4B4B"/>
        </w:rPr>
        <w:t>Lessor</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whose add</w:t>
      </w:r>
      <w:r>
        <w:rPr>
          <w:rFonts w:ascii="Arial" w:cs="Arial" w:eastAsia="Arial" w:hAnsi="Arial"/>
          <w:sz w:val="14"/>
          <w:szCs w:val="14"/>
          <w:color w:val="5B5B5B"/>
        </w:rPr>
        <w:t>r</w:t>
      </w:r>
      <w:r>
        <w:rPr>
          <w:rFonts w:ascii="Arial" w:cs="Arial" w:eastAsia="Arial" w:hAnsi="Arial"/>
          <w:sz w:val="14"/>
          <w:szCs w:val="14"/>
          <w:color w:val="4B4B4B"/>
        </w:rPr>
        <w:t>ess</w:t>
      </w:r>
      <w:r>
        <w:rPr>
          <w:rFonts w:ascii="Arial" w:cs="Arial" w:eastAsia="Arial" w:hAnsi="Arial"/>
          <w:sz w:val="14"/>
          <w:szCs w:val="14"/>
          <w:color w:val="5B5B5B"/>
        </w:rPr>
        <w:t xml:space="preserve"> i</w:t>
      </w:r>
      <w:r>
        <w:rPr>
          <w:rFonts w:ascii="Arial" w:cs="Arial" w:eastAsia="Arial" w:hAnsi="Arial"/>
          <w:sz w:val="14"/>
          <w:szCs w:val="14"/>
          <w:color w:val="4B4B4B"/>
        </w:rPr>
        <w:t>s 1000</w:t>
      </w:r>
    </w:p>
    <w:p>
      <w:pPr>
        <w:spacing w:after="0" w:line="1" w:lineRule="exact"/>
        <w:rPr>
          <w:sz w:val="20"/>
          <w:szCs w:val="20"/>
          <w:color w:val="auto"/>
        </w:rPr>
      </w:pPr>
    </w:p>
    <w:p>
      <w:pPr>
        <w:ind w:right="820"/>
        <w:spacing w:after="0" w:line="258" w:lineRule="auto"/>
        <w:rPr>
          <w:sz w:val="20"/>
          <w:szCs w:val="20"/>
          <w:color w:val="auto"/>
        </w:rPr>
      </w:pPr>
      <w:r>
        <w:rPr>
          <w:rFonts w:ascii="Arial" w:cs="Arial" w:eastAsia="Arial" w:hAnsi="Arial"/>
          <w:sz w:val="14"/>
          <w:szCs w:val="14"/>
          <w:color w:val="4B4B4B"/>
        </w:rPr>
        <w:t>P</w:t>
      </w:r>
      <w:r>
        <w:rPr>
          <w:rFonts w:ascii="Arial" w:cs="Arial" w:eastAsia="Arial" w:hAnsi="Arial"/>
          <w:sz w:val="14"/>
          <w:szCs w:val="14"/>
          <w:color w:val="5B5B5B"/>
        </w:rPr>
        <w:t>i</w:t>
      </w:r>
      <w:r>
        <w:rPr>
          <w:rFonts w:ascii="Arial" w:cs="Arial" w:eastAsia="Arial" w:hAnsi="Arial"/>
          <w:sz w:val="14"/>
          <w:szCs w:val="14"/>
          <w:color w:val="4B4B4B"/>
        </w:rPr>
        <w:t>oneer Way</w:t>
      </w:r>
      <w:r>
        <w:rPr>
          <w:rFonts w:ascii="Arial" w:cs="Arial" w:eastAsia="Arial" w:hAnsi="Arial"/>
          <w:sz w:val="14"/>
          <w:szCs w:val="14"/>
          <w:color w:val="757575"/>
        </w:rPr>
        <w:t>,</w:t>
      </w:r>
      <w:r>
        <w:rPr>
          <w:rFonts w:ascii="Arial" w:cs="Arial" w:eastAsia="Arial" w:hAnsi="Arial"/>
          <w:sz w:val="14"/>
          <w:szCs w:val="14"/>
          <w:color w:val="4B4B4B"/>
        </w:rPr>
        <w:t xml:space="preserve"> El </w:t>
      </w:r>
      <w:r>
        <w:rPr>
          <w:rFonts w:ascii="Arial" w:cs="Arial" w:eastAsia="Arial" w:hAnsi="Arial"/>
          <w:sz w:val="14"/>
          <w:szCs w:val="14"/>
          <w:color w:val="5B5B5B"/>
        </w:rPr>
        <w:t>C</w:t>
      </w:r>
      <w:r>
        <w:rPr>
          <w:rFonts w:ascii="Arial" w:cs="Arial" w:eastAsia="Arial" w:hAnsi="Arial"/>
          <w:sz w:val="14"/>
          <w:szCs w:val="14"/>
          <w:color w:val="4B4B4B"/>
        </w:rPr>
        <w:t>ajon</w:t>
      </w:r>
      <w:r>
        <w:rPr>
          <w:rFonts w:ascii="Arial" w:cs="Arial" w:eastAsia="Arial" w:hAnsi="Arial"/>
          <w:sz w:val="14"/>
          <w:szCs w:val="14"/>
          <w:color w:val="5B5B5B"/>
        </w:rPr>
        <w:t>.</w:t>
      </w:r>
      <w:r>
        <w:rPr>
          <w:rFonts w:ascii="Arial" w:cs="Arial" w:eastAsia="Arial" w:hAnsi="Arial"/>
          <w:sz w:val="14"/>
          <w:szCs w:val="14"/>
          <w:color w:val="4B4B4B"/>
        </w:rPr>
        <w:t xml:space="preserve"> C</w:t>
      </w:r>
      <w:r>
        <w:rPr>
          <w:rFonts w:ascii="Arial" w:cs="Arial" w:eastAsia="Arial" w:hAnsi="Arial"/>
          <w:sz w:val="14"/>
          <w:szCs w:val="14"/>
          <w:color w:val="5B5B5B"/>
        </w:rPr>
        <w:t>A 9</w:t>
      </w:r>
      <w:r>
        <w:rPr>
          <w:rFonts w:ascii="Arial" w:cs="Arial" w:eastAsia="Arial" w:hAnsi="Arial"/>
          <w:sz w:val="14"/>
          <w:szCs w:val="14"/>
          <w:color w:val="4B4B4B"/>
        </w:rPr>
        <w:t>2</w:t>
      </w:r>
      <w:r>
        <w:rPr>
          <w:rFonts w:ascii="Arial" w:cs="Arial" w:eastAsia="Arial" w:hAnsi="Arial"/>
          <w:sz w:val="14"/>
          <w:szCs w:val="14"/>
          <w:color w:val="5B5B5B"/>
        </w:rPr>
        <w:t>0</w:t>
      </w:r>
      <w:r>
        <w:rPr>
          <w:rFonts w:ascii="Arial" w:cs="Arial" w:eastAsia="Arial" w:hAnsi="Arial"/>
          <w:sz w:val="14"/>
          <w:szCs w:val="14"/>
          <w:color w:val="4B4B4B"/>
        </w:rPr>
        <w:t>20</w:t>
      </w:r>
      <w:r>
        <w:rPr>
          <w:rFonts w:ascii="Arial" w:cs="Arial" w:eastAsia="Arial" w:hAnsi="Arial"/>
          <w:sz w:val="14"/>
          <w:szCs w:val="14"/>
          <w:color w:val="5B5B5B"/>
        </w:rPr>
        <w:t>,</w:t>
      </w:r>
      <w:r>
        <w:rPr>
          <w:rFonts w:ascii="Arial" w:cs="Arial" w:eastAsia="Arial" w:hAnsi="Arial"/>
          <w:sz w:val="14"/>
          <w:szCs w:val="14"/>
          <w:color w:val="4B4B4B"/>
        </w:rPr>
        <w:t xml:space="preserve"> and </w:t>
      </w:r>
      <w:r>
        <w:rPr>
          <w:rFonts w:ascii="Arial" w:cs="Arial" w:eastAsia="Arial" w:hAnsi="Arial"/>
          <w:sz w:val="14"/>
          <w:szCs w:val="14"/>
          <w:color w:val="5B5B5B"/>
        </w:rPr>
        <w:t>Ex</w:t>
      </w:r>
      <w:r>
        <w:rPr>
          <w:rFonts w:ascii="Arial" w:cs="Arial" w:eastAsia="Arial" w:hAnsi="Arial"/>
          <w:sz w:val="14"/>
          <w:szCs w:val="14"/>
          <w:color w:val="4B4B4B"/>
        </w:rPr>
        <w:t xml:space="preserve">agen </w:t>
      </w:r>
      <w:r>
        <w:rPr>
          <w:rFonts w:ascii="Arial" w:cs="Arial" w:eastAsia="Arial" w:hAnsi="Arial"/>
          <w:sz w:val="14"/>
          <w:szCs w:val="14"/>
          <w:color w:val="5B5B5B"/>
        </w:rPr>
        <w:t>D</w:t>
      </w:r>
      <w:r>
        <w:rPr>
          <w:rFonts w:ascii="Arial" w:cs="Arial" w:eastAsia="Arial" w:hAnsi="Arial"/>
          <w:sz w:val="14"/>
          <w:szCs w:val="14"/>
          <w:color w:val="4B4B4B"/>
        </w:rPr>
        <w:t>iagn</w:t>
      </w:r>
      <w:r>
        <w:rPr>
          <w:rFonts w:ascii="Arial" w:cs="Arial" w:eastAsia="Arial" w:hAnsi="Arial"/>
          <w:sz w:val="14"/>
          <w:szCs w:val="14"/>
          <w:color w:val="5B5B5B"/>
        </w:rPr>
        <w:t>o</w:t>
      </w:r>
      <w:r>
        <w:rPr>
          <w:rFonts w:ascii="Arial" w:cs="Arial" w:eastAsia="Arial" w:hAnsi="Arial"/>
          <w:sz w:val="14"/>
          <w:szCs w:val="14"/>
          <w:color w:val="4B4B4B"/>
        </w:rPr>
        <w:t>sti</w:t>
      </w:r>
      <w:r>
        <w:rPr>
          <w:rFonts w:ascii="Arial" w:cs="Arial" w:eastAsia="Arial" w:hAnsi="Arial"/>
          <w:sz w:val="14"/>
          <w:szCs w:val="14"/>
          <w:color w:val="5B5B5B"/>
        </w:rPr>
        <w:t>cs</w:t>
      </w:r>
      <w:r>
        <w:rPr>
          <w:rFonts w:ascii="Arial" w:cs="Arial" w:eastAsia="Arial" w:hAnsi="Arial"/>
          <w:sz w:val="14"/>
          <w:szCs w:val="14"/>
          <w:color w:val="878787"/>
        </w:rPr>
        <w:t>.</w:t>
      </w:r>
      <w:r>
        <w:rPr>
          <w:rFonts w:ascii="Arial" w:cs="Arial" w:eastAsia="Arial" w:hAnsi="Arial"/>
          <w:sz w:val="14"/>
          <w:szCs w:val="14"/>
          <w:color w:val="4B4B4B"/>
        </w:rPr>
        <w:t xml:space="preserve"> l</w:t>
      </w:r>
      <w:r>
        <w:rPr>
          <w:rFonts w:ascii="Arial" w:cs="Arial" w:eastAsia="Arial" w:hAnsi="Arial"/>
          <w:sz w:val="14"/>
          <w:szCs w:val="14"/>
          <w:color w:val="5B5B5B"/>
        </w:rPr>
        <w:t>n</w:t>
      </w:r>
      <w:r>
        <w:rPr>
          <w:rFonts w:ascii="Arial" w:cs="Arial" w:eastAsia="Arial" w:hAnsi="Arial"/>
          <w:sz w:val="14"/>
          <w:szCs w:val="14"/>
          <w:color w:val="4B4B4B"/>
        </w:rPr>
        <w:t>c</w:t>
      </w:r>
      <w:r>
        <w:rPr>
          <w:rFonts w:ascii="Arial" w:cs="Arial" w:eastAsia="Arial" w:hAnsi="Arial"/>
          <w:sz w:val="14"/>
          <w:szCs w:val="14"/>
          <w:color w:val="5B5B5B"/>
        </w:rPr>
        <w:t>.</w:t>
      </w:r>
      <w:r>
        <w:rPr>
          <w:rFonts w:ascii="Arial" w:cs="Arial" w:eastAsia="Arial" w:hAnsi="Arial"/>
          <w:sz w:val="14"/>
          <w:szCs w:val="14"/>
          <w:color w:val="757575"/>
        </w:rPr>
        <w:t>,</w:t>
      </w:r>
      <w:r>
        <w:rPr>
          <w:rFonts w:ascii="Arial" w:cs="Arial" w:eastAsia="Arial" w:hAnsi="Arial"/>
          <w:sz w:val="14"/>
          <w:szCs w:val="14"/>
          <w:color w:val="4B4B4B"/>
        </w:rPr>
        <w:t xml:space="preserve"> </w:t>
      </w:r>
      <w:r>
        <w:rPr>
          <w:rFonts w:ascii="Arial" w:cs="Arial" w:eastAsia="Arial" w:hAnsi="Arial"/>
          <w:sz w:val="14"/>
          <w:szCs w:val="14"/>
          <w:color w:val="5B5B5B"/>
        </w:rPr>
        <w:t>("</w:t>
      </w:r>
      <w:r>
        <w:rPr>
          <w:rFonts w:ascii="Arial" w:cs="Arial" w:eastAsia="Arial" w:hAnsi="Arial"/>
          <w:sz w:val="14"/>
          <w:szCs w:val="14"/>
          <w:color w:val="4B4B4B"/>
        </w:rPr>
        <w:t>Lessee</w:t>
      </w:r>
      <w:r>
        <w:rPr>
          <w:rFonts w:ascii="Arial" w:cs="Arial" w:eastAsia="Arial" w:hAnsi="Arial"/>
          <w:sz w:val="14"/>
          <w:szCs w:val="14"/>
          <w:color w:val="5B5B5B"/>
        </w:rPr>
        <w:t>"),</w:t>
      </w:r>
      <w:r>
        <w:rPr>
          <w:rFonts w:ascii="Arial" w:cs="Arial" w:eastAsia="Arial" w:hAnsi="Arial"/>
          <w:sz w:val="14"/>
          <w:szCs w:val="14"/>
          <w:color w:val="4B4B4B"/>
        </w:rPr>
        <w:t xml:space="preserve"> with referen</w:t>
      </w:r>
      <w:r>
        <w:rPr>
          <w:rFonts w:ascii="Arial" w:cs="Arial" w:eastAsia="Arial" w:hAnsi="Arial"/>
          <w:sz w:val="14"/>
          <w:szCs w:val="14"/>
          <w:color w:val="5B5B5B"/>
        </w:rPr>
        <w:t>c</w:t>
      </w:r>
      <w:r>
        <w:rPr>
          <w:rFonts w:ascii="Arial" w:cs="Arial" w:eastAsia="Arial" w:hAnsi="Arial"/>
          <w:sz w:val="14"/>
          <w:szCs w:val="14"/>
          <w:color w:val="4B4B4B"/>
        </w:rPr>
        <w:t>e to 1221 Libert</w:t>
      </w:r>
      <w:r>
        <w:rPr>
          <w:rFonts w:ascii="Arial" w:cs="Arial" w:eastAsia="Arial" w:hAnsi="Arial"/>
          <w:sz w:val="14"/>
          <w:szCs w:val="14"/>
          <w:color w:val="5B5B5B"/>
        </w:rPr>
        <w:t>y</w:t>
      </w:r>
      <w:r>
        <w:rPr>
          <w:rFonts w:ascii="Arial" w:cs="Arial" w:eastAsia="Arial" w:hAnsi="Arial"/>
          <w:sz w:val="14"/>
          <w:szCs w:val="14"/>
          <w:color w:val="4B4B4B"/>
        </w:rPr>
        <w:t xml:space="preserve"> Way</w:t>
      </w:r>
      <w:r>
        <w:rPr>
          <w:rFonts w:ascii="Arial" w:cs="Arial" w:eastAsia="Arial" w:hAnsi="Arial"/>
          <w:sz w:val="14"/>
          <w:szCs w:val="14"/>
          <w:color w:val="878787"/>
        </w:rPr>
        <w:t>,</w:t>
      </w:r>
      <w:r>
        <w:rPr>
          <w:rFonts w:ascii="Arial" w:cs="Arial" w:eastAsia="Arial" w:hAnsi="Arial"/>
          <w:sz w:val="14"/>
          <w:szCs w:val="14"/>
          <w:color w:val="4B4B4B"/>
        </w:rPr>
        <w:t xml:space="preserve"> </w:t>
      </w:r>
      <w:r>
        <w:rPr>
          <w:rFonts w:ascii="Arial" w:cs="Arial" w:eastAsia="Arial" w:hAnsi="Arial"/>
          <w:sz w:val="14"/>
          <w:szCs w:val="14"/>
          <w:color w:val="5B5B5B"/>
        </w:rPr>
        <w:t>S</w:t>
      </w:r>
      <w:r>
        <w:rPr>
          <w:rFonts w:ascii="Arial" w:cs="Arial" w:eastAsia="Arial" w:hAnsi="Arial"/>
          <w:sz w:val="14"/>
          <w:szCs w:val="14"/>
          <w:color w:val="4B4B4B"/>
        </w:rPr>
        <w:t>an Dieg</w:t>
      </w:r>
      <w:r>
        <w:rPr>
          <w:rFonts w:ascii="Arial" w:cs="Arial" w:eastAsia="Arial" w:hAnsi="Arial"/>
          <w:sz w:val="14"/>
          <w:szCs w:val="14"/>
          <w:color w:val="5B5B5B"/>
        </w:rPr>
        <w:t>o</w:t>
      </w:r>
      <w:r>
        <w:rPr>
          <w:rFonts w:ascii="Arial" w:cs="Arial" w:eastAsia="Arial" w:hAnsi="Arial"/>
          <w:sz w:val="14"/>
          <w:szCs w:val="14"/>
          <w:color w:val="757575"/>
        </w:rPr>
        <w:t>,</w:t>
      </w:r>
      <w:r>
        <w:rPr>
          <w:rFonts w:ascii="Arial" w:cs="Arial" w:eastAsia="Arial" w:hAnsi="Arial"/>
          <w:sz w:val="14"/>
          <w:szCs w:val="14"/>
          <w:color w:val="4B4B4B"/>
        </w:rPr>
        <w:t xml:space="preserve"> </w:t>
      </w:r>
      <w:r>
        <w:rPr>
          <w:rFonts w:ascii="Arial" w:cs="Arial" w:eastAsia="Arial" w:hAnsi="Arial"/>
          <w:sz w:val="14"/>
          <w:szCs w:val="14"/>
          <w:color w:val="5B5B5B"/>
        </w:rPr>
        <w:t>C</w:t>
      </w:r>
      <w:r>
        <w:rPr>
          <w:rFonts w:ascii="Arial" w:cs="Arial" w:eastAsia="Arial" w:hAnsi="Arial"/>
          <w:sz w:val="14"/>
          <w:szCs w:val="14"/>
          <w:color w:val="4B4B4B"/>
        </w:rPr>
        <w:t>A 92</w:t>
      </w:r>
      <w:r>
        <w:rPr>
          <w:rFonts w:ascii="Arial" w:cs="Arial" w:eastAsia="Arial" w:hAnsi="Arial"/>
          <w:sz w:val="14"/>
          <w:szCs w:val="14"/>
          <w:color w:val="5B5B5B"/>
        </w:rPr>
        <w:t>08</w:t>
      </w:r>
      <w:r>
        <w:rPr>
          <w:rFonts w:ascii="Arial" w:cs="Arial" w:eastAsia="Arial" w:hAnsi="Arial"/>
          <w:sz w:val="14"/>
          <w:szCs w:val="14"/>
          <w:color w:val="4B4B4B"/>
        </w:rPr>
        <w:t>3 wh</w:t>
      </w:r>
      <w:r>
        <w:rPr>
          <w:rFonts w:ascii="Arial" w:cs="Arial" w:eastAsia="Arial" w:hAnsi="Arial"/>
          <w:sz w:val="14"/>
          <w:szCs w:val="14"/>
          <w:color w:val="5B5B5B"/>
        </w:rPr>
        <w:t>o</w:t>
      </w:r>
      <w:r>
        <w:rPr>
          <w:rFonts w:ascii="Arial" w:cs="Arial" w:eastAsia="Arial" w:hAnsi="Arial"/>
          <w:sz w:val="14"/>
          <w:szCs w:val="14"/>
          <w:color w:val="4B4B4B"/>
        </w:rPr>
        <w:t xml:space="preserve"> ag</w:t>
      </w:r>
      <w:r>
        <w:rPr>
          <w:rFonts w:ascii="Arial" w:cs="Arial" w:eastAsia="Arial" w:hAnsi="Arial"/>
          <w:sz w:val="14"/>
          <w:szCs w:val="14"/>
          <w:color w:val="5B5B5B"/>
        </w:rPr>
        <w:t>r</w:t>
      </w:r>
      <w:r>
        <w:rPr>
          <w:rFonts w:ascii="Arial" w:cs="Arial" w:eastAsia="Arial" w:hAnsi="Arial"/>
          <w:sz w:val="14"/>
          <w:szCs w:val="14"/>
          <w:color w:val="4B4B4B"/>
        </w:rPr>
        <w:t>e</w:t>
      </w:r>
      <w:r>
        <w:rPr>
          <w:rFonts w:ascii="Arial" w:cs="Arial" w:eastAsia="Arial" w:hAnsi="Arial"/>
          <w:sz w:val="14"/>
          <w:szCs w:val="14"/>
          <w:color w:val="5B5B5B"/>
        </w:rPr>
        <w:t>e</w:t>
      </w:r>
      <w:r>
        <w:rPr>
          <w:rFonts w:ascii="Arial" w:cs="Arial" w:eastAsia="Arial" w:hAnsi="Arial"/>
          <w:sz w:val="14"/>
          <w:szCs w:val="14"/>
          <w:color w:val="4B4B4B"/>
        </w:rPr>
        <w:t xml:space="preserve"> as foll</w:t>
      </w:r>
      <w:r>
        <w:rPr>
          <w:rFonts w:ascii="Arial" w:cs="Arial" w:eastAsia="Arial" w:hAnsi="Arial"/>
          <w:sz w:val="14"/>
          <w:szCs w:val="14"/>
          <w:color w:val="5B5B5B"/>
        </w:rPr>
        <w:t>o</w:t>
      </w:r>
      <w:r>
        <w:rPr>
          <w:rFonts w:ascii="Arial" w:cs="Arial" w:eastAsia="Arial" w:hAnsi="Arial"/>
          <w:sz w:val="14"/>
          <w:szCs w:val="14"/>
          <w:color w:val="4B4B4B"/>
        </w:rPr>
        <w:t>w</w:t>
      </w:r>
      <w:r>
        <w:rPr>
          <w:rFonts w:ascii="Arial" w:cs="Arial" w:eastAsia="Arial" w:hAnsi="Arial"/>
          <w:sz w:val="14"/>
          <w:szCs w:val="14"/>
          <w:color w:val="5B5B5B"/>
        </w:rPr>
        <w:t>s</w:t>
      </w:r>
      <w:r>
        <w:rPr>
          <w:rFonts w:ascii="Arial" w:cs="Arial" w:eastAsia="Arial" w:hAnsi="Arial"/>
          <w:sz w:val="14"/>
          <w:szCs w:val="14"/>
          <w:color w:val="878787"/>
        </w:rPr>
        <w:t>:</w:t>
      </w:r>
    </w:p>
    <w:p>
      <w:pPr>
        <w:spacing w:after="0" w:line="200" w:lineRule="exact"/>
        <w:rPr>
          <w:sz w:val="20"/>
          <w:szCs w:val="20"/>
          <w:color w:val="auto"/>
        </w:rPr>
      </w:pPr>
    </w:p>
    <w:p>
      <w:pPr>
        <w:spacing w:after="0" w:line="237" w:lineRule="exact"/>
        <w:rPr>
          <w:sz w:val="20"/>
          <w:szCs w:val="20"/>
          <w:color w:val="auto"/>
        </w:rPr>
      </w:pPr>
    </w:p>
    <w:p>
      <w:pPr>
        <w:ind w:left="660" w:hanging="321"/>
        <w:spacing w:after="0"/>
        <w:tabs>
          <w:tab w:leader="none" w:pos="660" w:val="left"/>
        </w:tabs>
        <w:numPr>
          <w:ilvl w:val="0"/>
          <w:numId w:val="48"/>
        </w:numPr>
        <w:rPr>
          <w:rFonts w:ascii="Arial" w:cs="Arial" w:eastAsia="Arial" w:hAnsi="Arial"/>
          <w:sz w:val="14"/>
          <w:szCs w:val="14"/>
          <w:color w:val="5B5B5B"/>
        </w:rPr>
      </w:pPr>
      <w:r>
        <w:rPr>
          <w:rFonts w:ascii="Arial" w:cs="Arial" w:eastAsia="Arial" w:hAnsi="Arial"/>
          <w:sz w:val="14"/>
          <w:szCs w:val="14"/>
          <w:color w:val="auto"/>
        </w:rPr>
        <w:t xml:space="preserve">Recitals. </w:t>
      </w:r>
      <w:r>
        <w:rPr>
          <w:rFonts w:ascii="Arial" w:cs="Arial" w:eastAsia="Arial" w:hAnsi="Arial"/>
          <w:sz w:val="14"/>
          <w:szCs w:val="14"/>
          <w:color w:val="4B4B4B"/>
        </w:rPr>
        <w:t>Th</w:t>
      </w:r>
      <w:r>
        <w:rPr>
          <w:rFonts w:ascii="Arial" w:cs="Arial" w:eastAsia="Arial" w:hAnsi="Arial"/>
          <w:sz w:val="14"/>
          <w:szCs w:val="14"/>
          <w:color w:val="757575"/>
        </w:rPr>
        <w:t>i</w:t>
      </w:r>
      <w:r>
        <w:rPr>
          <w:rFonts w:ascii="Arial" w:cs="Arial" w:eastAsia="Arial" w:hAnsi="Arial"/>
          <w:sz w:val="14"/>
          <w:szCs w:val="14"/>
          <w:color w:val="5B5B5B"/>
        </w:rPr>
        <w:t>s Ext</w:t>
      </w:r>
      <w:r>
        <w:rPr>
          <w:rFonts w:ascii="Arial" w:cs="Arial" w:eastAsia="Arial" w:hAnsi="Arial"/>
          <w:sz w:val="14"/>
          <w:szCs w:val="14"/>
          <w:color w:val="4B4B4B"/>
        </w:rPr>
        <w:t>ens</w:t>
      </w:r>
      <w:r>
        <w:rPr>
          <w:rFonts w:ascii="Arial" w:cs="Arial" w:eastAsia="Arial" w:hAnsi="Arial"/>
          <w:sz w:val="14"/>
          <w:szCs w:val="14"/>
          <w:color w:val="5B5B5B"/>
        </w:rPr>
        <w:t>ion of</w:t>
      </w:r>
      <w:r>
        <w:rPr>
          <w:rFonts w:ascii="Arial" w:cs="Arial" w:eastAsia="Arial" w:hAnsi="Arial"/>
          <w:sz w:val="14"/>
          <w:szCs w:val="14"/>
          <w:color w:val="auto"/>
        </w:rPr>
        <w:t xml:space="preserve"> </w:t>
      </w:r>
      <w:r>
        <w:rPr>
          <w:rFonts w:ascii="Arial" w:cs="Arial" w:eastAsia="Arial" w:hAnsi="Arial"/>
          <w:sz w:val="14"/>
          <w:szCs w:val="14"/>
          <w:color w:val="4B4B4B"/>
        </w:rPr>
        <w:t>Lease</w:t>
      </w:r>
      <w:r>
        <w:rPr>
          <w:rFonts w:ascii="Arial" w:cs="Arial" w:eastAsia="Arial" w:hAnsi="Arial"/>
          <w:sz w:val="14"/>
          <w:szCs w:val="14"/>
          <w:color w:val="auto"/>
        </w:rPr>
        <w:t xml:space="preserve"> </w:t>
      </w:r>
      <w:r>
        <w:rPr>
          <w:rFonts w:ascii="Arial" w:cs="Arial" w:eastAsia="Arial" w:hAnsi="Arial"/>
          <w:sz w:val="14"/>
          <w:szCs w:val="14"/>
          <w:color w:val="5B5B5B"/>
        </w:rPr>
        <w:t>is m</w:t>
      </w:r>
      <w:r>
        <w:rPr>
          <w:rFonts w:ascii="Arial" w:cs="Arial" w:eastAsia="Arial" w:hAnsi="Arial"/>
          <w:sz w:val="14"/>
          <w:szCs w:val="14"/>
          <w:color w:val="4B4B4B"/>
        </w:rPr>
        <w:t>ade</w:t>
      </w:r>
      <w:r>
        <w:rPr>
          <w:rFonts w:ascii="Arial" w:cs="Arial" w:eastAsia="Arial" w:hAnsi="Arial"/>
          <w:sz w:val="14"/>
          <w:szCs w:val="14"/>
          <w:color w:val="auto"/>
        </w:rPr>
        <w:t xml:space="preserve"> </w:t>
      </w:r>
      <w:r>
        <w:rPr>
          <w:rFonts w:ascii="Arial" w:cs="Arial" w:eastAsia="Arial" w:hAnsi="Arial"/>
          <w:sz w:val="14"/>
          <w:szCs w:val="14"/>
          <w:color w:val="5B5B5B"/>
        </w:rPr>
        <w:t>with</w:t>
      </w:r>
      <w:r>
        <w:rPr>
          <w:rFonts w:ascii="Arial" w:cs="Arial" w:eastAsia="Arial" w:hAnsi="Arial"/>
          <w:sz w:val="14"/>
          <w:szCs w:val="14"/>
          <w:color w:val="auto"/>
        </w:rPr>
        <w:t xml:space="preserve"> </w:t>
      </w:r>
      <w:r>
        <w:rPr>
          <w:rFonts w:ascii="Arial" w:cs="Arial" w:eastAsia="Arial" w:hAnsi="Arial"/>
          <w:sz w:val="14"/>
          <w:szCs w:val="14"/>
          <w:color w:val="4B4B4B"/>
        </w:rPr>
        <w:t>refe</w:t>
      </w:r>
      <w:r>
        <w:rPr>
          <w:rFonts w:ascii="Arial" w:cs="Arial" w:eastAsia="Arial" w:hAnsi="Arial"/>
          <w:sz w:val="14"/>
          <w:szCs w:val="14"/>
          <w:color w:val="5B5B5B"/>
        </w:rPr>
        <w:t>r</w:t>
      </w:r>
      <w:r>
        <w:rPr>
          <w:rFonts w:ascii="Arial" w:cs="Arial" w:eastAsia="Arial" w:hAnsi="Arial"/>
          <w:sz w:val="14"/>
          <w:szCs w:val="14"/>
          <w:color w:val="4B4B4B"/>
        </w:rPr>
        <w:t>e</w:t>
      </w:r>
      <w:r>
        <w:rPr>
          <w:rFonts w:ascii="Arial" w:cs="Arial" w:eastAsia="Arial" w:hAnsi="Arial"/>
          <w:sz w:val="14"/>
          <w:szCs w:val="14"/>
          <w:color w:val="5B5B5B"/>
        </w:rPr>
        <w:t>nce</w:t>
      </w:r>
      <w:r>
        <w:rPr>
          <w:rFonts w:ascii="Arial" w:cs="Arial" w:eastAsia="Arial" w:hAnsi="Arial"/>
          <w:sz w:val="14"/>
          <w:szCs w:val="14"/>
          <w:color w:val="auto"/>
        </w:rPr>
        <w:t xml:space="preserve"> </w:t>
      </w:r>
      <w:r>
        <w:rPr>
          <w:rFonts w:ascii="Arial" w:cs="Arial" w:eastAsia="Arial" w:hAnsi="Arial"/>
          <w:sz w:val="14"/>
          <w:szCs w:val="14"/>
          <w:color w:val="4B4B4B"/>
        </w:rPr>
        <w:t>t</w:t>
      </w:r>
      <w:r>
        <w:rPr>
          <w:rFonts w:ascii="Arial" w:cs="Arial" w:eastAsia="Arial" w:hAnsi="Arial"/>
          <w:sz w:val="14"/>
          <w:szCs w:val="14"/>
          <w:color w:val="5B5B5B"/>
        </w:rPr>
        <w:t>o t</w:t>
      </w:r>
      <w:r>
        <w:rPr>
          <w:rFonts w:ascii="Arial" w:cs="Arial" w:eastAsia="Arial" w:hAnsi="Arial"/>
          <w:sz w:val="14"/>
          <w:szCs w:val="14"/>
          <w:color w:val="4B4B4B"/>
        </w:rPr>
        <w:t>he</w:t>
      </w:r>
      <w:r>
        <w:rPr>
          <w:rFonts w:ascii="Arial" w:cs="Arial" w:eastAsia="Arial" w:hAnsi="Arial"/>
          <w:sz w:val="14"/>
          <w:szCs w:val="14"/>
          <w:color w:val="auto"/>
        </w:rPr>
        <w:t xml:space="preserve"> </w:t>
      </w:r>
      <w:r>
        <w:rPr>
          <w:rFonts w:ascii="Arial" w:cs="Arial" w:eastAsia="Arial" w:hAnsi="Arial"/>
          <w:sz w:val="14"/>
          <w:szCs w:val="14"/>
          <w:color w:val="5B5B5B"/>
        </w:rPr>
        <w:t>fo</w:t>
      </w:r>
      <w:r>
        <w:rPr>
          <w:rFonts w:ascii="Arial" w:cs="Arial" w:eastAsia="Arial" w:hAnsi="Arial"/>
          <w:sz w:val="14"/>
          <w:szCs w:val="14"/>
          <w:color w:val="4B4B4B"/>
        </w:rPr>
        <w:t>ll</w:t>
      </w:r>
      <w:r>
        <w:rPr>
          <w:rFonts w:ascii="Arial" w:cs="Arial" w:eastAsia="Arial" w:hAnsi="Arial"/>
          <w:sz w:val="14"/>
          <w:szCs w:val="14"/>
          <w:color w:val="5B5B5B"/>
        </w:rPr>
        <w:t>owing</w:t>
      </w:r>
      <w:r>
        <w:rPr>
          <w:rFonts w:ascii="Arial" w:cs="Arial" w:eastAsia="Arial" w:hAnsi="Arial"/>
          <w:sz w:val="14"/>
          <w:szCs w:val="14"/>
          <w:color w:val="auto"/>
        </w:rPr>
        <w:t xml:space="preserve"> </w:t>
      </w:r>
      <w:r>
        <w:rPr>
          <w:rFonts w:ascii="Arial" w:cs="Arial" w:eastAsia="Arial" w:hAnsi="Arial"/>
          <w:sz w:val="14"/>
          <w:szCs w:val="14"/>
          <w:color w:val="4B4B4B"/>
        </w:rPr>
        <w:t>fa</w:t>
      </w:r>
      <w:r>
        <w:rPr>
          <w:rFonts w:ascii="Arial" w:cs="Arial" w:eastAsia="Arial" w:hAnsi="Arial"/>
          <w:sz w:val="14"/>
          <w:szCs w:val="14"/>
          <w:color w:val="5B5B5B"/>
        </w:rPr>
        <w:t>cts</w:t>
      </w:r>
      <w:r>
        <w:rPr>
          <w:rFonts w:ascii="Arial" w:cs="Arial" w:eastAsia="Arial" w:hAnsi="Arial"/>
          <w:sz w:val="14"/>
          <w:szCs w:val="14"/>
          <w:color w:val="auto"/>
        </w:rPr>
        <w:t xml:space="preserve"> </w:t>
      </w:r>
      <w:r>
        <w:rPr>
          <w:rFonts w:ascii="Arial" w:cs="Arial" w:eastAsia="Arial" w:hAnsi="Arial"/>
          <w:sz w:val="14"/>
          <w:szCs w:val="14"/>
          <w:color w:val="4B4B4B"/>
        </w:rPr>
        <w:t>a</w:t>
      </w:r>
      <w:r>
        <w:rPr>
          <w:rFonts w:ascii="Arial" w:cs="Arial" w:eastAsia="Arial" w:hAnsi="Arial"/>
          <w:sz w:val="14"/>
          <w:szCs w:val="14"/>
          <w:color w:val="5B5B5B"/>
        </w:rPr>
        <w:t>nd o</w:t>
      </w:r>
      <w:r>
        <w:rPr>
          <w:rFonts w:ascii="Arial" w:cs="Arial" w:eastAsia="Arial" w:hAnsi="Arial"/>
          <w:sz w:val="14"/>
          <w:szCs w:val="14"/>
          <w:color w:val="4B4B4B"/>
        </w:rPr>
        <w:t>b</w:t>
      </w:r>
      <w:r>
        <w:rPr>
          <w:rFonts w:ascii="Arial" w:cs="Arial" w:eastAsia="Arial" w:hAnsi="Arial"/>
          <w:sz w:val="14"/>
          <w:szCs w:val="14"/>
          <w:color w:val="5B5B5B"/>
        </w:rPr>
        <w:t>j</w:t>
      </w:r>
      <w:r>
        <w:rPr>
          <w:rFonts w:ascii="Arial" w:cs="Arial" w:eastAsia="Arial" w:hAnsi="Arial"/>
          <w:sz w:val="14"/>
          <w:szCs w:val="14"/>
          <w:color w:val="4B4B4B"/>
        </w:rPr>
        <w:t>e</w:t>
      </w:r>
      <w:r>
        <w:rPr>
          <w:rFonts w:ascii="Arial" w:cs="Arial" w:eastAsia="Arial" w:hAnsi="Arial"/>
          <w:sz w:val="14"/>
          <w:szCs w:val="14"/>
          <w:color w:val="5B5B5B"/>
        </w:rPr>
        <w:t>ct</w:t>
      </w:r>
      <w:r>
        <w:rPr>
          <w:rFonts w:ascii="Arial" w:cs="Arial" w:eastAsia="Arial" w:hAnsi="Arial"/>
          <w:sz w:val="14"/>
          <w:szCs w:val="14"/>
          <w:color w:val="4B4B4B"/>
        </w:rPr>
        <w:t>iv</w:t>
      </w:r>
      <w:r>
        <w:rPr>
          <w:rFonts w:ascii="Arial" w:cs="Arial" w:eastAsia="Arial" w:hAnsi="Arial"/>
          <w:sz w:val="14"/>
          <w:szCs w:val="14"/>
          <w:color w:val="5B5B5B"/>
        </w:rPr>
        <w:t>es:</w:t>
      </w:r>
    </w:p>
    <w:p>
      <w:pPr>
        <w:spacing w:after="0" w:line="217" w:lineRule="exact"/>
        <w:rPr>
          <w:rFonts w:ascii="Arial" w:cs="Arial" w:eastAsia="Arial" w:hAnsi="Arial"/>
          <w:sz w:val="14"/>
          <w:szCs w:val="14"/>
          <w:color w:val="5B5B5B"/>
        </w:rPr>
      </w:pPr>
    </w:p>
    <w:p>
      <w:pPr>
        <w:jc w:val="both"/>
        <w:ind w:left="1320" w:right="100" w:hanging="333"/>
        <w:spacing w:after="0" w:line="249" w:lineRule="auto"/>
        <w:tabs>
          <w:tab w:leader="none" w:pos="1318" w:val="left"/>
        </w:tabs>
        <w:numPr>
          <w:ilvl w:val="1"/>
          <w:numId w:val="48"/>
        </w:numPr>
        <w:rPr>
          <w:rFonts w:ascii="Arial" w:cs="Arial" w:eastAsia="Arial" w:hAnsi="Arial"/>
          <w:sz w:val="14"/>
          <w:szCs w:val="14"/>
          <w:color w:val="5B5B5B"/>
        </w:rPr>
      </w:pPr>
      <w:r>
        <w:rPr>
          <w:rFonts w:ascii="Arial" w:cs="Arial" w:eastAsia="Arial" w:hAnsi="Arial"/>
          <w:sz w:val="14"/>
          <w:szCs w:val="14"/>
          <w:color w:val="4B4B4B"/>
        </w:rPr>
        <w:t xml:space="preserve">Lessor and Lessee entered </w:t>
      </w:r>
      <w:r>
        <w:rPr>
          <w:rFonts w:ascii="Arial" w:cs="Arial" w:eastAsia="Arial" w:hAnsi="Arial"/>
          <w:sz w:val="14"/>
          <w:szCs w:val="14"/>
          <w:color w:val="5B5B5B"/>
        </w:rPr>
        <w:t>i</w:t>
      </w:r>
      <w:r>
        <w:rPr>
          <w:rFonts w:ascii="Arial" w:cs="Arial" w:eastAsia="Arial" w:hAnsi="Arial"/>
          <w:sz w:val="14"/>
          <w:szCs w:val="14"/>
          <w:color w:val="4B4B4B"/>
        </w:rPr>
        <w:t>nto a written Lease dated Augus</w:t>
      </w:r>
      <w:r>
        <w:rPr>
          <w:rFonts w:ascii="Arial" w:cs="Arial" w:eastAsia="Arial" w:hAnsi="Arial"/>
          <w:sz w:val="14"/>
          <w:szCs w:val="14"/>
          <w:color w:val="5B5B5B"/>
        </w:rPr>
        <w:t>t</w:t>
      </w:r>
      <w:r>
        <w:rPr>
          <w:rFonts w:ascii="Arial" w:cs="Arial" w:eastAsia="Arial" w:hAnsi="Arial"/>
          <w:sz w:val="14"/>
          <w:szCs w:val="14"/>
          <w:color w:val="4B4B4B"/>
        </w:rPr>
        <w:t xml:space="preserve"> 1</w:t>
      </w:r>
      <w:r>
        <w:rPr>
          <w:rFonts w:ascii="Arial" w:cs="Arial" w:eastAsia="Arial" w:hAnsi="Arial"/>
          <w:sz w:val="14"/>
          <w:szCs w:val="14"/>
          <w:color w:val="5B5B5B"/>
        </w:rPr>
        <w:t>5</w:t>
      </w:r>
      <w:r>
        <w:rPr>
          <w:rFonts w:ascii="Arial" w:cs="Arial" w:eastAsia="Arial" w:hAnsi="Arial"/>
          <w:sz w:val="14"/>
          <w:szCs w:val="14"/>
          <w:color w:val="878787"/>
        </w:rPr>
        <w:t>,</w:t>
      </w:r>
      <w:r>
        <w:rPr>
          <w:rFonts w:ascii="Arial" w:cs="Arial" w:eastAsia="Arial" w:hAnsi="Arial"/>
          <w:sz w:val="14"/>
          <w:szCs w:val="14"/>
          <w:color w:val="4B4B4B"/>
        </w:rPr>
        <w:t xml:space="preserve"> 2</w:t>
      </w:r>
      <w:r>
        <w:rPr>
          <w:rFonts w:ascii="Arial" w:cs="Arial" w:eastAsia="Arial" w:hAnsi="Arial"/>
          <w:sz w:val="14"/>
          <w:szCs w:val="14"/>
          <w:color w:val="5B5B5B"/>
        </w:rPr>
        <w:t>0</w:t>
      </w:r>
      <w:r>
        <w:rPr>
          <w:rFonts w:ascii="Arial" w:cs="Arial" w:eastAsia="Arial" w:hAnsi="Arial"/>
          <w:sz w:val="14"/>
          <w:szCs w:val="14"/>
          <w:color w:val="4B4B4B"/>
        </w:rPr>
        <w:t>14</w:t>
      </w:r>
      <w:r>
        <w:rPr>
          <w:rFonts w:ascii="Arial" w:cs="Arial" w:eastAsia="Arial" w:hAnsi="Arial"/>
          <w:sz w:val="14"/>
          <w:szCs w:val="14"/>
          <w:color w:val="757575"/>
        </w:rPr>
        <w:t>,</w:t>
      </w:r>
      <w:r>
        <w:rPr>
          <w:rFonts w:ascii="Arial" w:cs="Arial" w:eastAsia="Arial" w:hAnsi="Arial"/>
          <w:sz w:val="14"/>
          <w:szCs w:val="14"/>
          <w:color w:val="4B4B4B"/>
        </w:rPr>
        <w:t xml:space="preserve"> as exte</w:t>
      </w:r>
      <w:r>
        <w:rPr>
          <w:rFonts w:ascii="Arial" w:cs="Arial" w:eastAsia="Arial" w:hAnsi="Arial"/>
          <w:sz w:val="14"/>
          <w:szCs w:val="14"/>
          <w:color w:val="5B5B5B"/>
        </w:rPr>
        <w:t>n</w:t>
      </w:r>
      <w:r>
        <w:rPr>
          <w:rFonts w:ascii="Arial" w:cs="Arial" w:eastAsia="Arial" w:hAnsi="Arial"/>
          <w:sz w:val="14"/>
          <w:szCs w:val="14"/>
          <w:color w:val="4B4B4B"/>
        </w:rPr>
        <w:t xml:space="preserve">ded </w:t>
      </w:r>
      <w:r>
        <w:rPr>
          <w:rFonts w:ascii="Arial" w:cs="Arial" w:eastAsia="Arial" w:hAnsi="Arial"/>
          <w:sz w:val="14"/>
          <w:szCs w:val="14"/>
          <w:color w:val="5B5B5B"/>
        </w:rPr>
        <w:t>Fe</w:t>
      </w:r>
      <w:r>
        <w:rPr>
          <w:rFonts w:ascii="Arial" w:cs="Arial" w:eastAsia="Arial" w:hAnsi="Arial"/>
          <w:sz w:val="14"/>
          <w:szCs w:val="14"/>
          <w:color w:val="4B4B4B"/>
        </w:rPr>
        <w:t>b</w:t>
      </w:r>
      <w:r>
        <w:rPr>
          <w:rFonts w:ascii="Arial" w:cs="Arial" w:eastAsia="Arial" w:hAnsi="Arial"/>
          <w:sz w:val="14"/>
          <w:szCs w:val="14"/>
          <w:color w:val="5B5B5B"/>
        </w:rPr>
        <w:t>ru</w:t>
      </w:r>
      <w:r>
        <w:rPr>
          <w:rFonts w:ascii="Arial" w:cs="Arial" w:eastAsia="Arial" w:hAnsi="Arial"/>
          <w:sz w:val="14"/>
          <w:szCs w:val="14"/>
          <w:color w:val="4B4B4B"/>
        </w:rPr>
        <w:t>a</w:t>
      </w:r>
      <w:r>
        <w:rPr>
          <w:rFonts w:ascii="Arial" w:cs="Arial" w:eastAsia="Arial" w:hAnsi="Arial"/>
          <w:sz w:val="14"/>
          <w:szCs w:val="14"/>
          <w:color w:val="5B5B5B"/>
        </w:rPr>
        <w:t>ry</w:t>
      </w:r>
      <w:r>
        <w:rPr>
          <w:rFonts w:ascii="Arial" w:cs="Arial" w:eastAsia="Arial" w:hAnsi="Arial"/>
          <w:sz w:val="14"/>
          <w:szCs w:val="14"/>
          <w:color w:val="4B4B4B"/>
        </w:rPr>
        <w:t xml:space="preserve"> 1</w:t>
      </w:r>
      <w:r>
        <w:rPr>
          <w:rFonts w:ascii="Arial" w:cs="Arial" w:eastAsia="Arial" w:hAnsi="Arial"/>
          <w:sz w:val="14"/>
          <w:szCs w:val="14"/>
          <w:color w:val="5B5B5B"/>
        </w:rPr>
        <w:t>,</w:t>
      </w:r>
      <w:r>
        <w:rPr>
          <w:rFonts w:ascii="Arial" w:cs="Arial" w:eastAsia="Arial" w:hAnsi="Arial"/>
          <w:sz w:val="14"/>
          <w:szCs w:val="14"/>
          <w:color w:val="4B4B4B"/>
        </w:rPr>
        <w:t xml:space="preserve"> 2</w:t>
      </w:r>
      <w:r>
        <w:rPr>
          <w:rFonts w:ascii="Arial" w:cs="Arial" w:eastAsia="Arial" w:hAnsi="Arial"/>
          <w:sz w:val="14"/>
          <w:szCs w:val="14"/>
          <w:color w:val="5B5B5B"/>
        </w:rPr>
        <w:t>0</w:t>
      </w:r>
      <w:r>
        <w:rPr>
          <w:rFonts w:ascii="Arial" w:cs="Arial" w:eastAsia="Arial" w:hAnsi="Arial"/>
          <w:sz w:val="14"/>
          <w:szCs w:val="14"/>
          <w:color w:val="4B4B4B"/>
        </w:rPr>
        <w:t>1</w:t>
      </w:r>
      <w:r>
        <w:rPr>
          <w:rFonts w:ascii="Arial" w:cs="Arial" w:eastAsia="Arial" w:hAnsi="Arial"/>
          <w:sz w:val="14"/>
          <w:szCs w:val="14"/>
          <w:color w:val="5B5B5B"/>
        </w:rPr>
        <w:t>8 ("t</w:t>
      </w:r>
      <w:r>
        <w:rPr>
          <w:rFonts w:ascii="Arial" w:cs="Arial" w:eastAsia="Arial" w:hAnsi="Arial"/>
          <w:sz w:val="14"/>
          <w:szCs w:val="14"/>
          <w:color w:val="4B4B4B"/>
        </w:rPr>
        <w:t>h</w:t>
      </w:r>
      <w:r>
        <w:rPr>
          <w:rFonts w:ascii="Arial" w:cs="Arial" w:eastAsia="Arial" w:hAnsi="Arial"/>
          <w:sz w:val="14"/>
          <w:szCs w:val="14"/>
          <w:color w:val="5B5B5B"/>
        </w:rPr>
        <w:t>e L</w:t>
      </w:r>
      <w:r>
        <w:rPr>
          <w:rFonts w:ascii="Arial" w:cs="Arial" w:eastAsia="Arial" w:hAnsi="Arial"/>
          <w:sz w:val="14"/>
          <w:szCs w:val="14"/>
          <w:color w:val="4B4B4B"/>
        </w:rPr>
        <w:t>ease</w:t>
      </w:r>
      <w:r>
        <w:rPr>
          <w:rFonts w:ascii="Arial" w:cs="Arial" w:eastAsia="Arial" w:hAnsi="Arial"/>
          <w:sz w:val="14"/>
          <w:szCs w:val="14"/>
          <w:color w:val="757575"/>
        </w:rPr>
        <w:t>"</w:t>
      </w:r>
      <w:r>
        <w:rPr>
          <w:rFonts w:ascii="Arial" w:cs="Arial" w:eastAsia="Arial" w:hAnsi="Arial"/>
          <w:sz w:val="14"/>
          <w:szCs w:val="14"/>
          <w:color w:val="5B5B5B"/>
        </w:rPr>
        <w:t>) i</w:t>
      </w:r>
      <w:r>
        <w:rPr>
          <w:rFonts w:ascii="Arial" w:cs="Arial" w:eastAsia="Arial" w:hAnsi="Arial"/>
          <w:sz w:val="14"/>
          <w:szCs w:val="14"/>
          <w:color w:val="4B4B4B"/>
        </w:rPr>
        <w:t>n wh</w:t>
      </w:r>
      <w:r>
        <w:rPr>
          <w:rFonts w:ascii="Arial" w:cs="Arial" w:eastAsia="Arial" w:hAnsi="Arial"/>
          <w:sz w:val="14"/>
          <w:szCs w:val="14"/>
          <w:color w:val="5B5B5B"/>
        </w:rPr>
        <w:t>ic</w:t>
      </w:r>
      <w:r>
        <w:rPr>
          <w:rFonts w:ascii="Arial" w:cs="Arial" w:eastAsia="Arial" w:hAnsi="Arial"/>
          <w:sz w:val="14"/>
          <w:szCs w:val="14"/>
          <w:color w:val="4B4B4B"/>
        </w:rPr>
        <w:t xml:space="preserve">h </w:t>
      </w:r>
      <w:r>
        <w:rPr>
          <w:rFonts w:ascii="Arial" w:cs="Arial" w:eastAsia="Arial" w:hAnsi="Arial"/>
          <w:sz w:val="14"/>
          <w:szCs w:val="14"/>
          <w:color w:val="5B5B5B"/>
        </w:rPr>
        <w:t>L</w:t>
      </w:r>
      <w:r>
        <w:rPr>
          <w:rFonts w:ascii="Arial" w:cs="Arial" w:eastAsia="Arial" w:hAnsi="Arial"/>
          <w:sz w:val="14"/>
          <w:szCs w:val="14"/>
          <w:color w:val="4B4B4B"/>
        </w:rPr>
        <w:t>es</w:t>
      </w:r>
      <w:r>
        <w:rPr>
          <w:rFonts w:ascii="Arial" w:cs="Arial" w:eastAsia="Arial" w:hAnsi="Arial"/>
          <w:sz w:val="14"/>
          <w:szCs w:val="14"/>
          <w:color w:val="5B5B5B"/>
        </w:rPr>
        <w:t>sor</w:t>
      </w:r>
      <w:r>
        <w:rPr>
          <w:rFonts w:ascii="Arial" w:cs="Arial" w:eastAsia="Arial" w:hAnsi="Arial"/>
          <w:sz w:val="14"/>
          <w:szCs w:val="14"/>
          <w:color w:val="4B4B4B"/>
        </w:rPr>
        <w:t xml:space="preserve"> leased t</w:t>
      </w:r>
      <w:r>
        <w:rPr>
          <w:rFonts w:ascii="Arial" w:cs="Arial" w:eastAsia="Arial" w:hAnsi="Arial"/>
          <w:sz w:val="14"/>
          <w:szCs w:val="14"/>
          <w:color w:val="5B5B5B"/>
        </w:rPr>
        <w:t>o</w:t>
      </w:r>
      <w:r>
        <w:rPr>
          <w:rFonts w:ascii="Arial" w:cs="Arial" w:eastAsia="Arial" w:hAnsi="Arial"/>
          <w:sz w:val="14"/>
          <w:szCs w:val="14"/>
          <w:color w:val="4B4B4B"/>
        </w:rPr>
        <w:t xml:space="preserve"> Lessee</w:t>
      </w:r>
      <w:r>
        <w:rPr>
          <w:rFonts w:ascii="Arial" w:cs="Arial" w:eastAsia="Arial" w:hAnsi="Arial"/>
          <w:sz w:val="14"/>
          <w:szCs w:val="14"/>
          <w:color w:val="878787"/>
        </w:rPr>
        <w:t>,</w:t>
      </w:r>
      <w:r>
        <w:rPr>
          <w:rFonts w:ascii="Arial" w:cs="Arial" w:eastAsia="Arial" w:hAnsi="Arial"/>
          <w:sz w:val="14"/>
          <w:szCs w:val="14"/>
          <w:color w:val="4B4B4B"/>
        </w:rPr>
        <w:t xml:space="preserve"> and </w:t>
      </w:r>
      <w:r>
        <w:rPr>
          <w:rFonts w:ascii="Arial" w:cs="Arial" w:eastAsia="Arial" w:hAnsi="Arial"/>
          <w:sz w:val="14"/>
          <w:szCs w:val="14"/>
          <w:color w:val="5B5B5B"/>
        </w:rPr>
        <w:t>L</w:t>
      </w:r>
      <w:r>
        <w:rPr>
          <w:rFonts w:ascii="Arial" w:cs="Arial" w:eastAsia="Arial" w:hAnsi="Arial"/>
          <w:sz w:val="14"/>
          <w:szCs w:val="14"/>
          <w:color w:val="4B4B4B"/>
        </w:rPr>
        <w:t>e</w:t>
      </w:r>
      <w:r>
        <w:rPr>
          <w:rFonts w:ascii="Arial" w:cs="Arial" w:eastAsia="Arial" w:hAnsi="Arial"/>
          <w:sz w:val="14"/>
          <w:szCs w:val="14"/>
          <w:color w:val="5B5B5B"/>
        </w:rPr>
        <w:t>ss</w:t>
      </w:r>
      <w:r>
        <w:rPr>
          <w:rFonts w:ascii="Arial" w:cs="Arial" w:eastAsia="Arial" w:hAnsi="Arial"/>
          <w:sz w:val="14"/>
          <w:szCs w:val="14"/>
          <w:color w:val="4B4B4B"/>
        </w:rPr>
        <w:t>e</w:t>
      </w:r>
      <w:r>
        <w:rPr>
          <w:rFonts w:ascii="Arial" w:cs="Arial" w:eastAsia="Arial" w:hAnsi="Arial"/>
          <w:sz w:val="14"/>
          <w:szCs w:val="14"/>
          <w:color w:val="5B5B5B"/>
        </w:rPr>
        <w:t>e</w:t>
      </w:r>
      <w:r>
        <w:rPr>
          <w:rFonts w:ascii="Arial" w:cs="Arial" w:eastAsia="Arial" w:hAnsi="Arial"/>
          <w:sz w:val="14"/>
          <w:szCs w:val="14"/>
          <w:color w:val="4B4B4B"/>
        </w:rPr>
        <w:t xml:space="preserve"> l</w:t>
      </w:r>
      <w:r>
        <w:rPr>
          <w:rFonts w:ascii="Arial" w:cs="Arial" w:eastAsia="Arial" w:hAnsi="Arial"/>
          <w:sz w:val="14"/>
          <w:szCs w:val="14"/>
          <w:color w:val="5B5B5B"/>
        </w:rPr>
        <w:t>e</w:t>
      </w:r>
      <w:r>
        <w:rPr>
          <w:rFonts w:ascii="Arial" w:cs="Arial" w:eastAsia="Arial" w:hAnsi="Arial"/>
          <w:sz w:val="14"/>
          <w:szCs w:val="14"/>
          <w:color w:val="4B4B4B"/>
        </w:rPr>
        <w:t>ased fr</w:t>
      </w:r>
      <w:r>
        <w:rPr>
          <w:rFonts w:ascii="Arial" w:cs="Arial" w:eastAsia="Arial" w:hAnsi="Arial"/>
          <w:sz w:val="14"/>
          <w:szCs w:val="14"/>
          <w:color w:val="5B5B5B"/>
        </w:rPr>
        <w:t>om</w:t>
      </w:r>
      <w:r>
        <w:rPr>
          <w:rFonts w:ascii="Arial" w:cs="Arial" w:eastAsia="Arial" w:hAnsi="Arial"/>
          <w:sz w:val="14"/>
          <w:szCs w:val="14"/>
          <w:color w:val="4B4B4B"/>
        </w:rPr>
        <w:t xml:space="preserve"> Less</w:t>
      </w:r>
      <w:r>
        <w:rPr>
          <w:rFonts w:ascii="Arial" w:cs="Arial" w:eastAsia="Arial" w:hAnsi="Arial"/>
          <w:sz w:val="14"/>
          <w:szCs w:val="14"/>
          <w:color w:val="5B5B5B"/>
        </w:rPr>
        <w:t>or</w:t>
      </w:r>
      <w:r>
        <w:rPr>
          <w:rFonts w:ascii="Arial" w:cs="Arial" w:eastAsia="Arial" w:hAnsi="Arial"/>
          <w:sz w:val="14"/>
          <w:szCs w:val="14"/>
          <w:color w:val="757575"/>
        </w:rPr>
        <w:t>,</w:t>
      </w:r>
      <w:r>
        <w:rPr>
          <w:rFonts w:ascii="Arial" w:cs="Arial" w:eastAsia="Arial" w:hAnsi="Arial"/>
          <w:sz w:val="14"/>
          <w:szCs w:val="14"/>
          <w:color w:val="4B4B4B"/>
        </w:rPr>
        <w:t xml:space="preserve"> </w:t>
      </w:r>
      <w:r>
        <w:rPr>
          <w:rFonts w:ascii="Arial" w:cs="Arial" w:eastAsia="Arial" w:hAnsi="Arial"/>
          <w:sz w:val="14"/>
          <w:szCs w:val="14"/>
          <w:color w:val="5B5B5B"/>
        </w:rPr>
        <w:t>pr</w:t>
      </w:r>
      <w:r>
        <w:rPr>
          <w:rFonts w:ascii="Arial" w:cs="Arial" w:eastAsia="Arial" w:hAnsi="Arial"/>
          <w:sz w:val="14"/>
          <w:szCs w:val="14"/>
          <w:color w:val="4B4B4B"/>
        </w:rPr>
        <w:t>em</w:t>
      </w:r>
      <w:r>
        <w:rPr>
          <w:rFonts w:ascii="Arial" w:cs="Arial" w:eastAsia="Arial" w:hAnsi="Arial"/>
          <w:sz w:val="14"/>
          <w:szCs w:val="14"/>
          <w:color w:val="5B5B5B"/>
        </w:rPr>
        <w:t>i</w:t>
      </w:r>
      <w:r>
        <w:rPr>
          <w:rFonts w:ascii="Arial" w:cs="Arial" w:eastAsia="Arial" w:hAnsi="Arial"/>
          <w:sz w:val="14"/>
          <w:szCs w:val="14"/>
          <w:color w:val="4B4B4B"/>
        </w:rPr>
        <w:t>se</w:t>
      </w:r>
      <w:r>
        <w:rPr>
          <w:rFonts w:ascii="Arial" w:cs="Arial" w:eastAsia="Arial" w:hAnsi="Arial"/>
          <w:sz w:val="14"/>
          <w:szCs w:val="14"/>
          <w:color w:val="5B5B5B"/>
        </w:rPr>
        <w:t>s</w:t>
      </w:r>
      <w:r>
        <w:rPr>
          <w:rFonts w:ascii="Arial" w:cs="Arial" w:eastAsia="Arial" w:hAnsi="Arial"/>
          <w:sz w:val="14"/>
          <w:szCs w:val="14"/>
          <w:color w:val="4B4B4B"/>
        </w:rPr>
        <w:t xml:space="preserve"> l</w:t>
      </w:r>
      <w:r>
        <w:rPr>
          <w:rFonts w:ascii="Arial" w:cs="Arial" w:eastAsia="Arial" w:hAnsi="Arial"/>
          <w:sz w:val="14"/>
          <w:szCs w:val="14"/>
          <w:color w:val="5B5B5B"/>
        </w:rPr>
        <w:t>ocat</w:t>
      </w:r>
      <w:r>
        <w:rPr>
          <w:rFonts w:ascii="Arial" w:cs="Arial" w:eastAsia="Arial" w:hAnsi="Arial"/>
          <w:sz w:val="14"/>
          <w:szCs w:val="14"/>
          <w:color w:val="4B4B4B"/>
        </w:rPr>
        <w:t xml:space="preserve">ed </w:t>
      </w:r>
      <w:r>
        <w:rPr>
          <w:rFonts w:ascii="Arial" w:cs="Arial" w:eastAsia="Arial" w:hAnsi="Arial"/>
          <w:sz w:val="14"/>
          <w:szCs w:val="14"/>
          <w:color w:val="5B5B5B"/>
        </w:rPr>
        <w:t>i</w:t>
      </w:r>
      <w:r>
        <w:rPr>
          <w:rFonts w:ascii="Arial" w:cs="Arial" w:eastAsia="Arial" w:hAnsi="Arial"/>
          <w:sz w:val="14"/>
          <w:szCs w:val="14"/>
          <w:color w:val="4B4B4B"/>
        </w:rPr>
        <w:t xml:space="preserve">n </w:t>
      </w:r>
      <w:r>
        <w:rPr>
          <w:rFonts w:ascii="Arial" w:cs="Arial" w:eastAsia="Arial" w:hAnsi="Arial"/>
          <w:sz w:val="14"/>
          <w:szCs w:val="14"/>
          <w:color w:val="5B5B5B"/>
        </w:rPr>
        <w:t>t</w:t>
      </w:r>
      <w:r>
        <w:rPr>
          <w:rFonts w:ascii="Arial" w:cs="Arial" w:eastAsia="Arial" w:hAnsi="Arial"/>
          <w:sz w:val="14"/>
          <w:szCs w:val="14"/>
          <w:color w:val="4B4B4B"/>
        </w:rPr>
        <w:t>h</w:t>
      </w:r>
      <w:r>
        <w:rPr>
          <w:rFonts w:ascii="Arial" w:cs="Arial" w:eastAsia="Arial" w:hAnsi="Arial"/>
          <w:sz w:val="14"/>
          <w:szCs w:val="14"/>
          <w:color w:val="5B5B5B"/>
        </w:rPr>
        <w:t>e Ci</w:t>
      </w:r>
      <w:r>
        <w:rPr>
          <w:rFonts w:ascii="Arial" w:cs="Arial" w:eastAsia="Arial" w:hAnsi="Arial"/>
          <w:sz w:val="14"/>
          <w:szCs w:val="14"/>
          <w:color w:val="4B4B4B"/>
        </w:rPr>
        <w:t>t</w:t>
      </w:r>
      <w:r>
        <w:rPr>
          <w:rFonts w:ascii="Arial" w:cs="Arial" w:eastAsia="Arial" w:hAnsi="Arial"/>
          <w:sz w:val="14"/>
          <w:szCs w:val="14"/>
          <w:color w:val="5B5B5B"/>
        </w:rPr>
        <w:t>y of Sa</w:t>
      </w:r>
      <w:r>
        <w:rPr>
          <w:rFonts w:ascii="Arial" w:cs="Arial" w:eastAsia="Arial" w:hAnsi="Arial"/>
          <w:sz w:val="14"/>
          <w:szCs w:val="14"/>
          <w:color w:val="4B4B4B"/>
        </w:rPr>
        <w:t xml:space="preserve">n </w:t>
      </w:r>
      <w:r>
        <w:rPr>
          <w:rFonts w:ascii="Arial" w:cs="Arial" w:eastAsia="Arial" w:hAnsi="Arial"/>
          <w:sz w:val="14"/>
          <w:szCs w:val="14"/>
          <w:color w:val="5B5B5B"/>
        </w:rPr>
        <w:t>Di</w:t>
      </w:r>
      <w:r>
        <w:rPr>
          <w:rFonts w:ascii="Arial" w:cs="Arial" w:eastAsia="Arial" w:hAnsi="Arial"/>
          <w:sz w:val="14"/>
          <w:szCs w:val="14"/>
          <w:color w:val="4B4B4B"/>
        </w:rPr>
        <w:t>eg</w:t>
      </w:r>
      <w:r>
        <w:rPr>
          <w:rFonts w:ascii="Arial" w:cs="Arial" w:eastAsia="Arial" w:hAnsi="Arial"/>
          <w:sz w:val="14"/>
          <w:szCs w:val="14"/>
          <w:color w:val="5B5B5B"/>
        </w:rPr>
        <w:t>o</w:t>
      </w:r>
      <w:r>
        <w:rPr>
          <w:rFonts w:ascii="Arial" w:cs="Arial" w:eastAsia="Arial" w:hAnsi="Arial"/>
          <w:sz w:val="14"/>
          <w:szCs w:val="14"/>
          <w:color w:val="878787"/>
        </w:rPr>
        <w:t>,</w:t>
      </w:r>
      <w:r>
        <w:rPr>
          <w:rFonts w:ascii="Arial" w:cs="Arial" w:eastAsia="Arial" w:hAnsi="Arial"/>
          <w:sz w:val="14"/>
          <w:szCs w:val="14"/>
          <w:color w:val="4B4B4B"/>
        </w:rPr>
        <w:t xml:space="preserve"> </w:t>
      </w:r>
      <w:r>
        <w:rPr>
          <w:rFonts w:ascii="Arial" w:cs="Arial" w:eastAsia="Arial" w:hAnsi="Arial"/>
          <w:sz w:val="14"/>
          <w:szCs w:val="14"/>
          <w:color w:val="5B5B5B"/>
        </w:rPr>
        <w:t>Cou</w:t>
      </w:r>
      <w:r>
        <w:rPr>
          <w:rFonts w:ascii="Arial" w:cs="Arial" w:eastAsia="Arial" w:hAnsi="Arial"/>
          <w:sz w:val="14"/>
          <w:szCs w:val="14"/>
          <w:color w:val="4B4B4B"/>
        </w:rPr>
        <w:t>nty o</w:t>
      </w:r>
      <w:r>
        <w:rPr>
          <w:rFonts w:ascii="Arial" w:cs="Arial" w:eastAsia="Arial" w:hAnsi="Arial"/>
          <w:sz w:val="14"/>
          <w:szCs w:val="14"/>
          <w:color w:val="5B5B5B"/>
        </w:rPr>
        <w:t>f San Di</w:t>
      </w:r>
      <w:r>
        <w:rPr>
          <w:rFonts w:ascii="Arial" w:cs="Arial" w:eastAsia="Arial" w:hAnsi="Arial"/>
          <w:sz w:val="14"/>
          <w:szCs w:val="14"/>
          <w:color w:val="4B4B4B"/>
        </w:rPr>
        <w:t>eg</w:t>
      </w:r>
      <w:r>
        <w:rPr>
          <w:rFonts w:ascii="Arial" w:cs="Arial" w:eastAsia="Arial" w:hAnsi="Arial"/>
          <w:sz w:val="14"/>
          <w:szCs w:val="14"/>
          <w:color w:val="5B5B5B"/>
        </w:rPr>
        <w:t>o</w:t>
      </w:r>
      <w:r>
        <w:rPr>
          <w:rFonts w:ascii="Arial" w:cs="Arial" w:eastAsia="Arial" w:hAnsi="Arial"/>
          <w:sz w:val="14"/>
          <w:szCs w:val="14"/>
          <w:color w:val="878787"/>
        </w:rPr>
        <w:t>,</w:t>
      </w:r>
      <w:r>
        <w:rPr>
          <w:rFonts w:ascii="Arial" w:cs="Arial" w:eastAsia="Arial" w:hAnsi="Arial"/>
          <w:sz w:val="14"/>
          <w:szCs w:val="14"/>
          <w:color w:val="4B4B4B"/>
        </w:rPr>
        <w:t xml:space="preserve"> </w:t>
      </w:r>
      <w:r>
        <w:rPr>
          <w:rFonts w:ascii="Arial" w:cs="Arial" w:eastAsia="Arial" w:hAnsi="Arial"/>
          <w:sz w:val="14"/>
          <w:szCs w:val="14"/>
          <w:color w:val="5B5B5B"/>
        </w:rPr>
        <w:t>C</w:t>
      </w:r>
      <w:r>
        <w:rPr>
          <w:rFonts w:ascii="Arial" w:cs="Arial" w:eastAsia="Arial" w:hAnsi="Arial"/>
          <w:sz w:val="14"/>
          <w:szCs w:val="14"/>
          <w:color w:val="4B4B4B"/>
        </w:rPr>
        <w:t>a</w:t>
      </w:r>
      <w:r>
        <w:rPr>
          <w:rFonts w:ascii="Arial" w:cs="Arial" w:eastAsia="Arial" w:hAnsi="Arial"/>
          <w:sz w:val="14"/>
          <w:szCs w:val="14"/>
          <w:color w:val="5B5B5B"/>
        </w:rPr>
        <w:t>li</w:t>
      </w:r>
      <w:r>
        <w:rPr>
          <w:rFonts w:ascii="Arial" w:cs="Arial" w:eastAsia="Arial" w:hAnsi="Arial"/>
          <w:sz w:val="14"/>
          <w:szCs w:val="14"/>
          <w:color w:val="4B4B4B"/>
        </w:rPr>
        <w:t>forn</w:t>
      </w:r>
      <w:r>
        <w:rPr>
          <w:rFonts w:ascii="Arial" w:cs="Arial" w:eastAsia="Arial" w:hAnsi="Arial"/>
          <w:sz w:val="14"/>
          <w:szCs w:val="14"/>
          <w:color w:val="5B5B5B"/>
        </w:rPr>
        <w:t>i</w:t>
      </w:r>
      <w:r>
        <w:rPr>
          <w:rFonts w:ascii="Arial" w:cs="Arial" w:eastAsia="Arial" w:hAnsi="Arial"/>
          <w:sz w:val="14"/>
          <w:szCs w:val="14"/>
          <w:color w:val="4B4B4B"/>
        </w:rPr>
        <w:t>a</w:t>
      </w:r>
      <w:r>
        <w:rPr>
          <w:rFonts w:ascii="Arial" w:cs="Arial" w:eastAsia="Arial" w:hAnsi="Arial"/>
          <w:sz w:val="14"/>
          <w:szCs w:val="14"/>
          <w:color w:val="878787"/>
        </w:rPr>
        <w:t>,</w:t>
      </w:r>
      <w:r>
        <w:rPr>
          <w:rFonts w:ascii="Arial" w:cs="Arial" w:eastAsia="Arial" w:hAnsi="Arial"/>
          <w:sz w:val="14"/>
          <w:szCs w:val="14"/>
          <w:color w:val="4B4B4B"/>
        </w:rPr>
        <w:t xml:space="preserve"> </w:t>
      </w:r>
      <w:r>
        <w:rPr>
          <w:rFonts w:ascii="Arial" w:cs="Arial" w:eastAsia="Arial" w:hAnsi="Arial"/>
          <w:sz w:val="14"/>
          <w:szCs w:val="14"/>
          <w:color w:val="5B5B5B"/>
        </w:rPr>
        <w:t>comm</w:t>
      </w:r>
      <w:r>
        <w:rPr>
          <w:rFonts w:ascii="Arial" w:cs="Arial" w:eastAsia="Arial" w:hAnsi="Arial"/>
          <w:sz w:val="14"/>
          <w:szCs w:val="14"/>
          <w:color w:val="4B4B4B"/>
        </w:rPr>
        <w:t>o</w:t>
      </w:r>
      <w:r>
        <w:rPr>
          <w:rFonts w:ascii="Arial" w:cs="Arial" w:eastAsia="Arial" w:hAnsi="Arial"/>
          <w:sz w:val="14"/>
          <w:szCs w:val="14"/>
          <w:color w:val="5B5B5B"/>
        </w:rPr>
        <w:t>n</w:t>
      </w:r>
      <w:r>
        <w:rPr>
          <w:rFonts w:ascii="Arial" w:cs="Arial" w:eastAsia="Arial" w:hAnsi="Arial"/>
          <w:sz w:val="14"/>
          <w:szCs w:val="14"/>
          <w:color w:val="4B4B4B"/>
        </w:rPr>
        <w:t>l</w:t>
      </w:r>
      <w:r>
        <w:rPr>
          <w:rFonts w:ascii="Arial" w:cs="Arial" w:eastAsia="Arial" w:hAnsi="Arial"/>
          <w:sz w:val="14"/>
          <w:szCs w:val="14"/>
          <w:color w:val="5B5B5B"/>
        </w:rPr>
        <w:t>y</w:t>
      </w:r>
      <w:r>
        <w:rPr>
          <w:rFonts w:ascii="Arial" w:cs="Arial" w:eastAsia="Arial" w:hAnsi="Arial"/>
          <w:sz w:val="14"/>
          <w:szCs w:val="14"/>
          <w:color w:val="4B4B4B"/>
        </w:rPr>
        <w:t xml:space="preserve"> k</w:t>
      </w:r>
      <w:r>
        <w:rPr>
          <w:rFonts w:ascii="Arial" w:cs="Arial" w:eastAsia="Arial" w:hAnsi="Arial"/>
          <w:sz w:val="14"/>
          <w:szCs w:val="14"/>
          <w:color w:val="5B5B5B"/>
        </w:rPr>
        <w:t>nown</w:t>
      </w:r>
      <w:r>
        <w:rPr>
          <w:rFonts w:ascii="Arial" w:cs="Arial" w:eastAsia="Arial" w:hAnsi="Arial"/>
          <w:sz w:val="14"/>
          <w:szCs w:val="14"/>
          <w:color w:val="4B4B4B"/>
        </w:rPr>
        <w:t xml:space="preserve"> as </w:t>
      </w:r>
      <w:r>
        <w:rPr>
          <w:rFonts w:ascii="Arial" w:cs="Arial" w:eastAsia="Arial" w:hAnsi="Arial"/>
          <w:sz w:val="14"/>
          <w:szCs w:val="14"/>
          <w:color w:val="5B5B5B"/>
        </w:rPr>
        <w:t>12</w:t>
      </w:r>
      <w:r>
        <w:rPr>
          <w:rFonts w:ascii="Arial" w:cs="Arial" w:eastAsia="Arial" w:hAnsi="Arial"/>
          <w:sz w:val="14"/>
          <w:szCs w:val="14"/>
          <w:color w:val="4B4B4B"/>
        </w:rPr>
        <w:t>21</w:t>
      </w:r>
      <w:r>
        <w:rPr>
          <w:rFonts w:ascii="Arial" w:cs="Arial" w:eastAsia="Arial" w:hAnsi="Arial"/>
          <w:sz w:val="14"/>
          <w:szCs w:val="14"/>
          <w:color w:val="5B5B5B"/>
        </w:rPr>
        <w:t xml:space="preserve"> Li</w:t>
      </w:r>
      <w:r>
        <w:rPr>
          <w:rFonts w:ascii="Arial" w:cs="Arial" w:eastAsia="Arial" w:hAnsi="Arial"/>
          <w:sz w:val="14"/>
          <w:szCs w:val="14"/>
          <w:color w:val="4B4B4B"/>
        </w:rPr>
        <w:t>be</w:t>
      </w:r>
      <w:r>
        <w:rPr>
          <w:rFonts w:ascii="Arial" w:cs="Arial" w:eastAsia="Arial" w:hAnsi="Arial"/>
          <w:sz w:val="14"/>
          <w:szCs w:val="14"/>
          <w:color w:val="5B5B5B"/>
        </w:rPr>
        <w:t>rty W</w:t>
      </w:r>
      <w:r>
        <w:rPr>
          <w:rFonts w:ascii="Arial" w:cs="Arial" w:eastAsia="Arial" w:hAnsi="Arial"/>
          <w:sz w:val="14"/>
          <w:szCs w:val="14"/>
          <w:color w:val="4B4B4B"/>
        </w:rPr>
        <w:t>a</w:t>
      </w:r>
      <w:r>
        <w:rPr>
          <w:rFonts w:ascii="Arial" w:cs="Arial" w:eastAsia="Arial" w:hAnsi="Arial"/>
          <w:sz w:val="14"/>
          <w:szCs w:val="14"/>
          <w:color w:val="5B5B5B"/>
        </w:rPr>
        <w:t>y</w:t>
      </w:r>
      <w:r>
        <w:rPr>
          <w:rFonts w:ascii="Arial" w:cs="Arial" w:eastAsia="Arial" w:hAnsi="Arial"/>
          <w:sz w:val="14"/>
          <w:szCs w:val="14"/>
          <w:color w:val="757575"/>
        </w:rPr>
        <w:t>,</w:t>
      </w:r>
      <w:r>
        <w:rPr>
          <w:rFonts w:ascii="Arial" w:cs="Arial" w:eastAsia="Arial" w:hAnsi="Arial"/>
          <w:sz w:val="14"/>
          <w:szCs w:val="14"/>
          <w:color w:val="5B5B5B"/>
        </w:rPr>
        <w:t xml:space="preserve"> </w:t>
      </w:r>
      <w:r>
        <w:rPr>
          <w:rFonts w:ascii="Arial" w:cs="Arial" w:eastAsia="Arial" w:hAnsi="Arial"/>
          <w:sz w:val="14"/>
          <w:szCs w:val="14"/>
          <w:color w:val="4B4B4B"/>
        </w:rPr>
        <w:t>Sa</w:t>
      </w:r>
      <w:r>
        <w:rPr>
          <w:rFonts w:ascii="Arial" w:cs="Arial" w:eastAsia="Arial" w:hAnsi="Arial"/>
          <w:sz w:val="14"/>
          <w:szCs w:val="14"/>
          <w:color w:val="5B5B5B"/>
        </w:rPr>
        <w:t xml:space="preserve">n </w:t>
      </w:r>
      <w:r>
        <w:rPr>
          <w:rFonts w:ascii="Arial" w:cs="Arial" w:eastAsia="Arial" w:hAnsi="Arial"/>
          <w:sz w:val="14"/>
          <w:szCs w:val="14"/>
          <w:color w:val="4B4B4B"/>
        </w:rPr>
        <w:t>Diego</w:t>
      </w:r>
      <w:r>
        <w:rPr>
          <w:rFonts w:ascii="Arial" w:cs="Arial" w:eastAsia="Arial" w:hAnsi="Arial"/>
          <w:sz w:val="14"/>
          <w:szCs w:val="14"/>
          <w:color w:val="878787"/>
        </w:rPr>
        <w:t>,</w:t>
      </w:r>
      <w:r>
        <w:rPr>
          <w:rFonts w:ascii="Arial" w:cs="Arial" w:eastAsia="Arial" w:hAnsi="Arial"/>
          <w:sz w:val="14"/>
          <w:szCs w:val="14"/>
          <w:color w:val="5B5B5B"/>
        </w:rPr>
        <w:t xml:space="preserve"> CA 9</w:t>
      </w:r>
      <w:r>
        <w:rPr>
          <w:rFonts w:ascii="Arial" w:cs="Arial" w:eastAsia="Arial" w:hAnsi="Arial"/>
          <w:sz w:val="14"/>
          <w:szCs w:val="14"/>
          <w:color w:val="4B4B4B"/>
        </w:rPr>
        <w:t>2083</w:t>
      </w:r>
      <w:r>
        <w:rPr>
          <w:rFonts w:ascii="Arial" w:cs="Arial" w:eastAsia="Arial" w:hAnsi="Arial"/>
          <w:sz w:val="14"/>
          <w:szCs w:val="14"/>
          <w:color w:val="5B5B5B"/>
        </w:rPr>
        <w:t>, c</w:t>
      </w:r>
      <w:r>
        <w:rPr>
          <w:rFonts w:ascii="Arial" w:cs="Arial" w:eastAsia="Arial" w:hAnsi="Arial"/>
          <w:sz w:val="14"/>
          <w:szCs w:val="14"/>
          <w:color w:val="4B4B4B"/>
        </w:rPr>
        <w:t>on</w:t>
      </w:r>
      <w:r>
        <w:rPr>
          <w:rFonts w:ascii="Arial" w:cs="Arial" w:eastAsia="Arial" w:hAnsi="Arial"/>
          <w:sz w:val="14"/>
          <w:szCs w:val="14"/>
          <w:color w:val="5B5B5B"/>
        </w:rPr>
        <w:t>sis</w:t>
      </w:r>
      <w:r>
        <w:rPr>
          <w:rFonts w:ascii="Arial" w:cs="Arial" w:eastAsia="Arial" w:hAnsi="Arial"/>
          <w:sz w:val="14"/>
          <w:szCs w:val="14"/>
          <w:color w:val="4B4B4B"/>
        </w:rPr>
        <w:t>ting of approximately 1</w:t>
      </w:r>
      <w:r>
        <w:rPr>
          <w:rFonts w:ascii="Arial" w:cs="Arial" w:eastAsia="Arial" w:hAnsi="Arial"/>
          <w:sz w:val="14"/>
          <w:szCs w:val="14"/>
          <w:color w:val="5B5B5B"/>
        </w:rPr>
        <w:t>9</w:t>
      </w:r>
      <w:r>
        <w:rPr>
          <w:rFonts w:ascii="Arial" w:cs="Arial" w:eastAsia="Arial" w:hAnsi="Arial"/>
          <w:sz w:val="14"/>
          <w:szCs w:val="14"/>
          <w:color w:val="878787"/>
        </w:rPr>
        <w:t>,</w:t>
      </w:r>
      <w:r>
        <w:rPr>
          <w:rFonts w:ascii="Arial" w:cs="Arial" w:eastAsia="Arial" w:hAnsi="Arial"/>
          <w:sz w:val="14"/>
          <w:szCs w:val="14"/>
          <w:color w:val="4B4B4B"/>
        </w:rPr>
        <w:t>5</w:t>
      </w:r>
      <w:r>
        <w:rPr>
          <w:rFonts w:ascii="Arial" w:cs="Arial" w:eastAsia="Arial" w:hAnsi="Arial"/>
          <w:sz w:val="14"/>
          <w:szCs w:val="14"/>
          <w:color w:val="5B5B5B"/>
        </w:rPr>
        <w:t>0</w:t>
      </w:r>
      <w:r>
        <w:rPr>
          <w:rFonts w:ascii="Arial" w:cs="Arial" w:eastAsia="Arial" w:hAnsi="Arial"/>
          <w:sz w:val="14"/>
          <w:szCs w:val="14"/>
          <w:color w:val="4B4B4B"/>
        </w:rPr>
        <w:t>4</w:t>
      </w:r>
      <w:r>
        <w:rPr>
          <w:rFonts w:ascii="Arial" w:cs="Arial" w:eastAsia="Arial" w:hAnsi="Arial"/>
          <w:sz w:val="14"/>
          <w:szCs w:val="14"/>
          <w:color w:val="5B5B5B"/>
        </w:rPr>
        <w:t xml:space="preserve"> s</w:t>
      </w:r>
      <w:r>
        <w:rPr>
          <w:rFonts w:ascii="Arial" w:cs="Arial" w:eastAsia="Arial" w:hAnsi="Arial"/>
          <w:sz w:val="14"/>
          <w:szCs w:val="14"/>
          <w:color w:val="4B4B4B"/>
        </w:rPr>
        <w:t>q</w:t>
      </w:r>
      <w:r>
        <w:rPr>
          <w:rFonts w:ascii="Arial" w:cs="Arial" w:eastAsia="Arial" w:hAnsi="Arial"/>
          <w:sz w:val="14"/>
          <w:szCs w:val="14"/>
          <w:color w:val="5B5B5B"/>
        </w:rPr>
        <w:t>u</w:t>
      </w:r>
      <w:r>
        <w:rPr>
          <w:rFonts w:ascii="Arial" w:cs="Arial" w:eastAsia="Arial" w:hAnsi="Arial"/>
          <w:sz w:val="14"/>
          <w:szCs w:val="14"/>
          <w:color w:val="4B4B4B"/>
        </w:rPr>
        <w:t>a</w:t>
      </w:r>
      <w:r>
        <w:rPr>
          <w:rFonts w:ascii="Arial" w:cs="Arial" w:eastAsia="Arial" w:hAnsi="Arial"/>
          <w:sz w:val="14"/>
          <w:szCs w:val="14"/>
          <w:color w:val="5B5B5B"/>
        </w:rPr>
        <w:t>r</w:t>
      </w:r>
      <w:r>
        <w:rPr>
          <w:rFonts w:ascii="Arial" w:cs="Arial" w:eastAsia="Arial" w:hAnsi="Arial"/>
          <w:sz w:val="14"/>
          <w:szCs w:val="14"/>
          <w:color w:val="4B4B4B"/>
        </w:rPr>
        <w:t>e feet</w:t>
      </w:r>
      <w:r>
        <w:rPr>
          <w:rFonts w:ascii="Arial" w:cs="Arial" w:eastAsia="Arial" w:hAnsi="Arial"/>
          <w:sz w:val="14"/>
          <w:szCs w:val="14"/>
          <w:color w:val="5B5B5B"/>
        </w:rPr>
        <w:t xml:space="preserve"> </w:t>
      </w:r>
      <w:r>
        <w:rPr>
          <w:rFonts w:ascii="Arial" w:cs="Arial" w:eastAsia="Arial" w:hAnsi="Arial"/>
          <w:sz w:val="14"/>
          <w:szCs w:val="14"/>
          <w:color w:val="757575"/>
        </w:rPr>
        <w:t>("</w:t>
      </w:r>
      <w:r>
        <w:rPr>
          <w:rFonts w:ascii="Arial" w:cs="Arial" w:eastAsia="Arial" w:hAnsi="Arial"/>
          <w:sz w:val="14"/>
          <w:szCs w:val="14"/>
          <w:color w:val="5B5B5B"/>
        </w:rPr>
        <w:t>P</w:t>
      </w:r>
      <w:r>
        <w:rPr>
          <w:rFonts w:ascii="Arial" w:cs="Arial" w:eastAsia="Arial" w:hAnsi="Arial"/>
          <w:sz w:val="14"/>
          <w:szCs w:val="14"/>
          <w:color w:val="4B4B4B"/>
        </w:rPr>
        <w:t>re</w:t>
      </w:r>
      <w:r>
        <w:rPr>
          <w:rFonts w:ascii="Arial" w:cs="Arial" w:eastAsia="Arial" w:hAnsi="Arial"/>
          <w:sz w:val="14"/>
          <w:szCs w:val="14"/>
          <w:color w:val="5B5B5B"/>
        </w:rPr>
        <w:t>mi</w:t>
      </w:r>
      <w:r>
        <w:rPr>
          <w:rFonts w:ascii="Arial" w:cs="Arial" w:eastAsia="Arial" w:hAnsi="Arial"/>
          <w:sz w:val="14"/>
          <w:szCs w:val="14"/>
          <w:color w:val="4B4B4B"/>
        </w:rPr>
        <w:t>se</w:t>
      </w:r>
      <w:r>
        <w:rPr>
          <w:rFonts w:ascii="Arial" w:cs="Arial" w:eastAsia="Arial" w:hAnsi="Arial"/>
          <w:sz w:val="14"/>
          <w:szCs w:val="14"/>
          <w:color w:val="5B5B5B"/>
        </w:rPr>
        <w:t>s</w:t>
      </w:r>
      <w:r>
        <w:rPr>
          <w:rFonts w:ascii="Arial" w:cs="Arial" w:eastAsia="Arial" w:hAnsi="Arial"/>
          <w:sz w:val="14"/>
          <w:szCs w:val="14"/>
          <w:color w:val="878787"/>
        </w:rPr>
        <w:t>"</w:t>
      </w:r>
      <w:r>
        <w:rPr>
          <w:rFonts w:ascii="Arial" w:cs="Arial" w:eastAsia="Arial" w:hAnsi="Arial"/>
          <w:sz w:val="14"/>
          <w:szCs w:val="14"/>
          <w:color w:val="5B5B5B"/>
        </w:rPr>
        <w:t>).</w:t>
      </w:r>
    </w:p>
    <w:p>
      <w:pPr>
        <w:spacing w:after="0" w:line="200" w:lineRule="exact"/>
        <w:rPr>
          <w:rFonts w:ascii="Arial" w:cs="Arial" w:eastAsia="Arial" w:hAnsi="Arial"/>
          <w:sz w:val="14"/>
          <w:szCs w:val="14"/>
          <w:color w:val="5B5B5B"/>
        </w:rPr>
      </w:pPr>
    </w:p>
    <w:p>
      <w:pPr>
        <w:ind w:left="1300" w:hanging="313"/>
        <w:spacing w:after="0"/>
        <w:tabs>
          <w:tab w:leader="none" w:pos="1300" w:val="left"/>
        </w:tabs>
        <w:numPr>
          <w:ilvl w:val="1"/>
          <w:numId w:val="48"/>
        </w:numPr>
        <w:rPr>
          <w:rFonts w:ascii="Arial" w:cs="Arial" w:eastAsia="Arial" w:hAnsi="Arial"/>
          <w:sz w:val="14"/>
          <w:szCs w:val="14"/>
          <w:color w:val="5B5B5B"/>
        </w:rPr>
      </w:pPr>
      <w:r>
        <w:rPr>
          <w:rFonts w:ascii="Arial" w:cs="Arial" w:eastAsia="Arial" w:hAnsi="Arial"/>
          <w:sz w:val="14"/>
          <w:szCs w:val="14"/>
          <w:color w:val="4B4B4B"/>
        </w:rPr>
        <w:t>The term of the Lease expir</w:t>
      </w:r>
      <w:r>
        <w:rPr>
          <w:rFonts w:ascii="Arial" w:cs="Arial" w:eastAsia="Arial" w:hAnsi="Arial"/>
          <w:sz w:val="14"/>
          <w:szCs w:val="14"/>
          <w:color w:val="2F2F2F"/>
        </w:rPr>
        <w:t>e</w:t>
      </w:r>
      <w:r>
        <w:rPr>
          <w:rFonts w:ascii="Arial" w:cs="Arial" w:eastAsia="Arial" w:hAnsi="Arial"/>
          <w:sz w:val="14"/>
          <w:szCs w:val="14"/>
          <w:color w:val="4B4B4B"/>
        </w:rPr>
        <w:t xml:space="preserve">s </w:t>
      </w:r>
      <w:r>
        <w:rPr>
          <w:rFonts w:ascii="Arial" w:cs="Arial" w:eastAsia="Arial" w:hAnsi="Arial"/>
          <w:sz w:val="14"/>
          <w:szCs w:val="14"/>
          <w:color w:val="5B5B5B"/>
        </w:rPr>
        <w:t>o</w:t>
      </w:r>
      <w:r>
        <w:rPr>
          <w:rFonts w:ascii="Arial" w:cs="Arial" w:eastAsia="Arial" w:hAnsi="Arial"/>
          <w:sz w:val="14"/>
          <w:szCs w:val="14"/>
          <w:color w:val="4B4B4B"/>
        </w:rPr>
        <w:t xml:space="preserve">n January </w:t>
      </w:r>
      <w:r>
        <w:rPr>
          <w:rFonts w:ascii="Arial" w:cs="Arial" w:eastAsia="Arial" w:hAnsi="Arial"/>
          <w:sz w:val="14"/>
          <w:szCs w:val="14"/>
          <w:color w:val="5B5B5B"/>
        </w:rPr>
        <w:t>3</w:t>
      </w:r>
      <w:r>
        <w:rPr>
          <w:rFonts w:ascii="Arial" w:cs="Arial" w:eastAsia="Arial" w:hAnsi="Arial"/>
          <w:sz w:val="14"/>
          <w:szCs w:val="14"/>
          <w:color w:val="4B4B4B"/>
        </w:rPr>
        <w:t>1</w:t>
      </w:r>
      <w:r>
        <w:rPr>
          <w:rFonts w:ascii="Arial" w:cs="Arial" w:eastAsia="Arial" w:hAnsi="Arial"/>
          <w:sz w:val="14"/>
          <w:szCs w:val="14"/>
          <w:color w:val="757575"/>
        </w:rPr>
        <w:t>,</w:t>
      </w:r>
      <w:r>
        <w:rPr>
          <w:rFonts w:ascii="Arial" w:cs="Arial" w:eastAsia="Arial" w:hAnsi="Arial"/>
          <w:sz w:val="14"/>
          <w:szCs w:val="14"/>
          <w:color w:val="4B4B4B"/>
        </w:rPr>
        <w:t xml:space="preserve"> 2021</w:t>
      </w:r>
      <w:r>
        <w:rPr>
          <w:rFonts w:ascii="Arial" w:cs="Arial" w:eastAsia="Arial" w:hAnsi="Arial"/>
          <w:sz w:val="14"/>
          <w:szCs w:val="14"/>
          <w:color w:val="5B5B5B"/>
        </w:rPr>
        <w:t>.</w:t>
      </w:r>
    </w:p>
    <w:p>
      <w:pPr>
        <w:spacing w:after="0" w:line="217" w:lineRule="exact"/>
        <w:rPr>
          <w:rFonts w:ascii="Arial" w:cs="Arial" w:eastAsia="Arial" w:hAnsi="Arial"/>
          <w:sz w:val="14"/>
          <w:szCs w:val="14"/>
          <w:color w:val="5B5B5B"/>
        </w:rPr>
      </w:pPr>
    </w:p>
    <w:p>
      <w:pPr>
        <w:ind w:left="1300" w:hanging="313"/>
        <w:spacing w:after="0"/>
        <w:tabs>
          <w:tab w:leader="none" w:pos="1300" w:val="left"/>
        </w:tabs>
        <w:numPr>
          <w:ilvl w:val="1"/>
          <w:numId w:val="48"/>
        </w:numPr>
        <w:rPr>
          <w:rFonts w:ascii="Arial" w:cs="Arial" w:eastAsia="Arial" w:hAnsi="Arial"/>
          <w:sz w:val="14"/>
          <w:szCs w:val="14"/>
          <w:color w:val="5B5B5B"/>
        </w:rPr>
      </w:pPr>
      <w:r>
        <w:rPr>
          <w:rFonts w:ascii="Arial" w:cs="Arial" w:eastAsia="Arial" w:hAnsi="Arial"/>
          <w:sz w:val="14"/>
          <w:szCs w:val="14"/>
          <w:color w:val="5B5B5B"/>
        </w:rPr>
        <w:t>Th</w:t>
      </w:r>
      <w:r>
        <w:rPr>
          <w:rFonts w:ascii="Arial" w:cs="Arial" w:eastAsia="Arial" w:hAnsi="Arial"/>
          <w:sz w:val="14"/>
          <w:szCs w:val="14"/>
          <w:color w:val="4B4B4B"/>
        </w:rPr>
        <w:t>e part</w:t>
      </w:r>
      <w:r>
        <w:rPr>
          <w:rFonts w:ascii="Arial" w:cs="Arial" w:eastAsia="Arial" w:hAnsi="Arial"/>
          <w:sz w:val="14"/>
          <w:szCs w:val="14"/>
          <w:color w:val="5B5B5B"/>
        </w:rPr>
        <w:t>i</w:t>
      </w:r>
      <w:r>
        <w:rPr>
          <w:rFonts w:ascii="Arial" w:cs="Arial" w:eastAsia="Arial" w:hAnsi="Arial"/>
          <w:sz w:val="14"/>
          <w:szCs w:val="14"/>
          <w:color w:val="4B4B4B"/>
        </w:rPr>
        <w:t>e</w:t>
      </w:r>
      <w:r>
        <w:rPr>
          <w:rFonts w:ascii="Arial" w:cs="Arial" w:eastAsia="Arial" w:hAnsi="Arial"/>
          <w:sz w:val="14"/>
          <w:szCs w:val="14"/>
          <w:color w:val="5B5B5B"/>
        </w:rPr>
        <w:t xml:space="preserve">s </w:t>
      </w:r>
      <w:r>
        <w:rPr>
          <w:rFonts w:ascii="Arial" w:cs="Arial" w:eastAsia="Arial" w:hAnsi="Arial"/>
          <w:sz w:val="14"/>
          <w:szCs w:val="14"/>
          <w:color w:val="4B4B4B"/>
        </w:rPr>
        <w:t>desire t</w:t>
      </w:r>
      <w:r>
        <w:rPr>
          <w:rFonts w:ascii="Arial" w:cs="Arial" w:eastAsia="Arial" w:hAnsi="Arial"/>
          <w:sz w:val="14"/>
          <w:szCs w:val="14"/>
          <w:color w:val="5B5B5B"/>
        </w:rPr>
        <w:t>o e</w:t>
      </w:r>
      <w:r>
        <w:rPr>
          <w:rFonts w:ascii="Arial" w:cs="Arial" w:eastAsia="Arial" w:hAnsi="Arial"/>
          <w:sz w:val="14"/>
          <w:szCs w:val="14"/>
          <w:color w:val="4B4B4B"/>
        </w:rPr>
        <w:t>xt</w:t>
      </w:r>
      <w:r>
        <w:rPr>
          <w:rFonts w:ascii="Arial" w:cs="Arial" w:eastAsia="Arial" w:hAnsi="Arial"/>
          <w:sz w:val="14"/>
          <w:szCs w:val="14"/>
          <w:color w:val="5B5B5B"/>
        </w:rPr>
        <w:t>e</w:t>
      </w:r>
      <w:r>
        <w:rPr>
          <w:rFonts w:ascii="Arial" w:cs="Arial" w:eastAsia="Arial" w:hAnsi="Arial"/>
          <w:sz w:val="14"/>
          <w:szCs w:val="14"/>
          <w:color w:val="4B4B4B"/>
        </w:rPr>
        <w:t>nd t</w:t>
      </w:r>
      <w:r>
        <w:rPr>
          <w:rFonts w:ascii="Arial" w:cs="Arial" w:eastAsia="Arial" w:hAnsi="Arial"/>
          <w:sz w:val="14"/>
          <w:szCs w:val="14"/>
          <w:color w:val="5B5B5B"/>
        </w:rPr>
        <w:t>h</w:t>
      </w:r>
      <w:r>
        <w:rPr>
          <w:rFonts w:ascii="Arial" w:cs="Arial" w:eastAsia="Arial" w:hAnsi="Arial"/>
          <w:sz w:val="14"/>
          <w:szCs w:val="14"/>
          <w:color w:val="4B4B4B"/>
        </w:rPr>
        <w:t>e</w:t>
      </w:r>
      <w:r>
        <w:rPr>
          <w:rFonts w:ascii="Arial" w:cs="Arial" w:eastAsia="Arial" w:hAnsi="Arial"/>
          <w:sz w:val="14"/>
          <w:szCs w:val="14"/>
          <w:color w:val="5B5B5B"/>
        </w:rPr>
        <w:t xml:space="preserve"> t</w:t>
      </w:r>
      <w:r>
        <w:rPr>
          <w:rFonts w:ascii="Arial" w:cs="Arial" w:eastAsia="Arial" w:hAnsi="Arial"/>
          <w:sz w:val="14"/>
          <w:szCs w:val="14"/>
          <w:color w:val="4B4B4B"/>
        </w:rPr>
        <w:t>erm of the</w:t>
      </w:r>
      <w:r>
        <w:rPr>
          <w:rFonts w:ascii="Arial" w:cs="Arial" w:eastAsia="Arial" w:hAnsi="Arial"/>
          <w:sz w:val="14"/>
          <w:szCs w:val="14"/>
          <w:color w:val="5B5B5B"/>
        </w:rPr>
        <w:t xml:space="preserve"> Le</w:t>
      </w:r>
      <w:r>
        <w:rPr>
          <w:rFonts w:ascii="Arial" w:cs="Arial" w:eastAsia="Arial" w:hAnsi="Arial"/>
          <w:sz w:val="14"/>
          <w:szCs w:val="14"/>
          <w:color w:val="4B4B4B"/>
        </w:rPr>
        <w:t>ase fo</w:t>
      </w:r>
      <w:r>
        <w:rPr>
          <w:rFonts w:ascii="Arial" w:cs="Arial" w:eastAsia="Arial" w:hAnsi="Arial"/>
          <w:sz w:val="14"/>
          <w:szCs w:val="14"/>
          <w:color w:val="5B5B5B"/>
        </w:rPr>
        <w:t xml:space="preserve">r </w:t>
      </w:r>
      <w:r>
        <w:rPr>
          <w:rFonts w:ascii="Arial" w:cs="Arial" w:eastAsia="Arial" w:hAnsi="Arial"/>
          <w:sz w:val="14"/>
          <w:szCs w:val="14"/>
          <w:color w:val="4B4B4B"/>
        </w:rPr>
        <w:t>a</w:t>
      </w:r>
      <w:r>
        <w:rPr>
          <w:rFonts w:ascii="Arial" w:cs="Arial" w:eastAsia="Arial" w:hAnsi="Arial"/>
          <w:sz w:val="14"/>
          <w:szCs w:val="14"/>
          <w:color w:val="5B5B5B"/>
        </w:rPr>
        <w:t xml:space="preserve">n </w:t>
      </w:r>
      <w:r>
        <w:rPr>
          <w:rFonts w:ascii="Arial" w:cs="Arial" w:eastAsia="Arial" w:hAnsi="Arial"/>
          <w:sz w:val="14"/>
          <w:szCs w:val="14"/>
          <w:color w:val="4B4B4B"/>
        </w:rPr>
        <w:t>add</w:t>
      </w:r>
      <w:r>
        <w:rPr>
          <w:rFonts w:ascii="Arial" w:cs="Arial" w:eastAsia="Arial" w:hAnsi="Arial"/>
          <w:sz w:val="14"/>
          <w:szCs w:val="14"/>
          <w:color w:val="5B5B5B"/>
        </w:rPr>
        <w:t>iti</w:t>
      </w:r>
      <w:r>
        <w:rPr>
          <w:rFonts w:ascii="Arial" w:cs="Arial" w:eastAsia="Arial" w:hAnsi="Arial"/>
          <w:sz w:val="14"/>
          <w:szCs w:val="14"/>
          <w:color w:val="4B4B4B"/>
        </w:rPr>
        <w:t>ona</w:t>
      </w:r>
      <w:r>
        <w:rPr>
          <w:rFonts w:ascii="Arial" w:cs="Arial" w:eastAsia="Arial" w:hAnsi="Arial"/>
          <w:sz w:val="14"/>
          <w:szCs w:val="14"/>
          <w:color w:val="5B5B5B"/>
        </w:rPr>
        <w:t xml:space="preserve">l </w:t>
      </w:r>
      <w:r>
        <w:rPr>
          <w:rFonts w:ascii="Arial" w:cs="Arial" w:eastAsia="Arial" w:hAnsi="Arial"/>
          <w:sz w:val="14"/>
          <w:szCs w:val="14"/>
          <w:color w:val="4B4B4B"/>
        </w:rPr>
        <w:t>per</w:t>
      </w:r>
      <w:r>
        <w:rPr>
          <w:rFonts w:ascii="Arial" w:cs="Arial" w:eastAsia="Arial" w:hAnsi="Arial"/>
          <w:sz w:val="14"/>
          <w:szCs w:val="14"/>
          <w:color w:val="757575"/>
        </w:rPr>
        <w:t>i</w:t>
      </w:r>
      <w:r>
        <w:rPr>
          <w:rFonts w:ascii="Arial" w:cs="Arial" w:eastAsia="Arial" w:hAnsi="Arial"/>
          <w:sz w:val="14"/>
          <w:szCs w:val="14"/>
          <w:color w:val="4B4B4B"/>
        </w:rPr>
        <w:t>od</w:t>
      </w:r>
      <w:r>
        <w:rPr>
          <w:rFonts w:ascii="Arial" w:cs="Arial" w:eastAsia="Arial" w:hAnsi="Arial"/>
          <w:sz w:val="14"/>
          <w:szCs w:val="14"/>
          <w:color w:val="5B5B5B"/>
        </w:rPr>
        <w:t xml:space="preserve"> o</w:t>
      </w:r>
      <w:r>
        <w:rPr>
          <w:rFonts w:ascii="Arial" w:cs="Arial" w:eastAsia="Arial" w:hAnsi="Arial"/>
          <w:sz w:val="14"/>
          <w:szCs w:val="14"/>
          <w:color w:val="4B4B4B"/>
        </w:rPr>
        <w:t>f</w:t>
      </w:r>
      <w:r>
        <w:rPr>
          <w:rFonts w:ascii="Arial" w:cs="Arial" w:eastAsia="Arial" w:hAnsi="Arial"/>
          <w:sz w:val="14"/>
          <w:szCs w:val="14"/>
          <w:color w:val="5B5B5B"/>
        </w:rPr>
        <w:t xml:space="preserve"> five (</w:t>
      </w:r>
      <w:r>
        <w:rPr>
          <w:rFonts w:ascii="Arial" w:cs="Arial" w:eastAsia="Arial" w:hAnsi="Arial"/>
          <w:sz w:val="14"/>
          <w:szCs w:val="14"/>
          <w:color w:val="4B4B4B"/>
        </w:rPr>
        <w:t>5</w:t>
      </w:r>
      <w:r>
        <w:rPr>
          <w:rFonts w:ascii="Arial" w:cs="Arial" w:eastAsia="Arial" w:hAnsi="Arial"/>
          <w:sz w:val="14"/>
          <w:szCs w:val="14"/>
          <w:color w:val="757575"/>
        </w:rPr>
        <w:t>)</w:t>
      </w:r>
      <w:r>
        <w:rPr>
          <w:rFonts w:ascii="Arial" w:cs="Arial" w:eastAsia="Arial" w:hAnsi="Arial"/>
          <w:sz w:val="14"/>
          <w:szCs w:val="14"/>
          <w:color w:val="5B5B5B"/>
        </w:rPr>
        <w:t xml:space="preserve"> y</w:t>
      </w:r>
      <w:r>
        <w:rPr>
          <w:rFonts w:ascii="Arial" w:cs="Arial" w:eastAsia="Arial" w:hAnsi="Arial"/>
          <w:sz w:val="14"/>
          <w:szCs w:val="14"/>
          <w:color w:val="4B4B4B"/>
        </w:rPr>
        <w:t>ea</w:t>
      </w:r>
      <w:r>
        <w:rPr>
          <w:rFonts w:ascii="Arial" w:cs="Arial" w:eastAsia="Arial" w:hAnsi="Arial"/>
          <w:sz w:val="14"/>
          <w:szCs w:val="14"/>
          <w:color w:val="5B5B5B"/>
        </w:rPr>
        <w:t xml:space="preserve">rs </w:t>
      </w:r>
      <w:r>
        <w:rPr>
          <w:rFonts w:ascii="Arial" w:cs="Arial" w:eastAsia="Arial" w:hAnsi="Arial"/>
          <w:sz w:val="14"/>
          <w:szCs w:val="14"/>
          <w:color w:val="4B4B4B"/>
        </w:rPr>
        <w:t>b</w:t>
      </w:r>
      <w:r>
        <w:rPr>
          <w:rFonts w:ascii="Arial" w:cs="Arial" w:eastAsia="Arial" w:hAnsi="Arial"/>
          <w:sz w:val="14"/>
          <w:szCs w:val="14"/>
          <w:color w:val="5B5B5B"/>
        </w:rPr>
        <w:t>e</w:t>
      </w:r>
      <w:r>
        <w:rPr>
          <w:rFonts w:ascii="Arial" w:cs="Arial" w:eastAsia="Arial" w:hAnsi="Arial"/>
          <w:sz w:val="14"/>
          <w:szCs w:val="14"/>
          <w:color w:val="4B4B4B"/>
        </w:rPr>
        <w:t>g</w:t>
      </w:r>
      <w:r>
        <w:rPr>
          <w:rFonts w:ascii="Arial" w:cs="Arial" w:eastAsia="Arial" w:hAnsi="Arial"/>
          <w:sz w:val="14"/>
          <w:szCs w:val="14"/>
          <w:color w:val="5B5B5B"/>
        </w:rPr>
        <w:t>inni</w:t>
      </w:r>
      <w:r>
        <w:rPr>
          <w:rFonts w:ascii="Arial" w:cs="Arial" w:eastAsia="Arial" w:hAnsi="Arial"/>
          <w:sz w:val="14"/>
          <w:szCs w:val="14"/>
          <w:color w:val="4B4B4B"/>
        </w:rPr>
        <w:t>n</w:t>
      </w:r>
      <w:r>
        <w:rPr>
          <w:rFonts w:ascii="Arial" w:cs="Arial" w:eastAsia="Arial" w:hAnsi="Arial"/>
          <w:sz w:val="14"/>
          <w:szCs w:val="14"/>
          <w:color w:val="5B5B5B"/>
        </w:rPr>
        <w:t>g F</w:t>
      </w:r>
      <w:r>
        <w:rPr>
          <w:rFonts w:ascii="Arial" w:cs="Arial" w:eastAsia="Arial" w:hAnsi="Arial"/>
          <w:sz w:val="14"/>
          <w:szCs w:val="14"/>
          <w:color w:val="4B4B4B"/>
        </w:rPr>
        <w:t>ebrua</w:t>
      </w:r>
      <w:r>
        <w:rPr>
          <w:rFonts w:ascii="Arial" w:cs="Arial" w:eastAsia="Arial" w:hAnsi="Arial"/>
          <w:sz w:val="14"/>
          <w:szCs w:val="14"/>
          <w:color w:val="5B5B5B"/>
        </w:rPr>
        <w:t>ry 1</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2021</w:t>
      </w:r>
      <w:r>
        <w:rPr>
          <w:rFonts w:ascii="Arial" w:cs="Arial" w:eastAsia="Arial" w:hAnsi="Arial"/>
          <w:sz w:val="14"/>
          <w:szCs w:val="14"/>
          <w:color w:val="757575"/>
        </w:rPr>
        <w:t>.</w:t>
      </w:r>
    </w:p>
    <w:p>
      <w:pPr>
        <w:spacing w:after="0" w:line="199" w:lineRule="exact"/>
        <w:rPr>
          <w:rFonts w:ascii="Arial" w:cs="Arial" w:eastAsia="Arial" w:hAnsi="Arial"/>
          <w:sz w:val="14"/>
          <w:szCs w:val="14"/>
          <w:color w:val="5B5B5B"/>
        </w:rPr>
      </w:pPr>
    </w:p>
    <w:p>
      <w:pPr>
        <w:ind w:left="660" w:right="60" w:hanging="321"/>
        <w:spacing w:after="0" w:line="285" w:lineRule="auto"/>
        <w:tabs>
          <w:tab w:leader="none" w:pos="658" w:val="left"/>
        </w:tabs>
        <w:numPr>
          <w:ilvl w:val="0"/>
          <w:numId w:val="48"/>
        </w:numPr>
        <w:rPr>
          <w:rFonts w:ascii="Arial" w:cs="Arial" w:eastAsia="Arial" w:hAnsi="Arial"/>
          <w:sz w:val="14"/>
          <w:szCs w:val="14"/>
          <w:color w:val="757575"/>
        </w:rPr>
      </w:pPr>
      <w:r>
        <w:rPr>
          <w:rFonts w:ascii="Arial" w:cs="Arial" w:eastAsia="Arial" w:hAnsi="Arial"/>
          <w:sz w:val="14"/>
          <w:szCs w:val="14"/>
          <w:b w:val="1"/>
          <w:bCs w:val="1"/>
          <w:color w:val="2F2F2F"/>
        </w:rPr>
        <w:t>Ext</w:t>
      </w:r>
      <w:r>
        <w:rPr>
          <w:rFonts w:ascii="Arial" w:cs="Arial" w:eastAsia="Arial" w:hAnsi="Arial"/>
          <w:sz w:val="14"/>
          <w:szCs w:val="14"/>
          <w:b w:val="1"/>
          <w:bCs w:val="1"/>
          <w:color w:val="4B4B4B"/>
        </w:rPr>
        <w:t>e</w:t>
      </w:r>
      <w:r>
        <w:rPr>
          <w:rFonts w:ascii="Arial" w:cs="Arial" w:eastAsia="Arial" w:hAnsi="Arial"/>
          <w:sz w:val="14"/>
          <w:szCs w:val="14"/>
          <w:b w:val="1"/>
          <w:bCs w:val="1"/>
          <w:color w:val="2F2F2F"/>
        </w:rPr>
        <w:t>n</w:t>
      </w:r>
      <w:r>
        <w:rPr>
          <w:rFonts w:ascii="Arial" w:cs="Arial" w:eastAsia="Arial" w:hAnsi="Arial"/>
          <w:sz w:val="14"/>
          <w:szCs w:val="14"/>
          <w:b w:val="1"/>
          <w:bCs w:val="1"/>
          <w:color w:val="4B4B4B"/>
        </w:rPr>
        <w:t>si</w:t>
      </w:r>
      <w:r>
        <w:rPr>
          <w:rFonts w:ascii="Arial" w:cs="Arial" w:eastAsia="Arial" w:hAnsi="Arial"/>
          <w:sz w:val="14"/>
          <w:szCs w:val="14"/>
          <w:b w:val="1"/>
          <w:bCs w:val="1"/>
          <w:color w:val="2F2F2F"/>
        </w:rPr>
        <w:t xml:space="preserve">on </w:t>
      </w:r>
      <w:r>
        <w:rPr>
          <w:rFonts w:ascii="Arial" w:cs="Arial" w:eastAsia="Arial" w:hAnsi="Arial"/>
          <w:sz w:val="14"/>
          <w:szCs w:val="14"/>
          <w:b w:val="1"/>
          <w:bCs w:val="1"/>
          <w:color w:val="4B4B4B"/>
        </w:rPr>
        <w:t>o</w:t>
      </w:r>
      <w:r>
        <w:rPr>
          <w:rFonts w:ascii="Arial" w:cs="Arial" w:eastAsia="Arial" w:hAnsi="Arial"/>
          <w:sz w:val="14"/>
          <w:szCs w:val="14"/>
          <w:b w:val="1"/>
          <w:bCs w:val="1"/>
          <w:color w:val="2F2F2F"/>
        </w:rPr>
        <w:t>f T</w:t>
      </w:r>
      <w:r>
        <w:rPr>
          <w:rFonts w:ascii="Arial" w:cs="Arial" w:eastAsia="Arial" w:hAnsi="Arial"/>
          <w:sz w:val="14"/>
          <w:szCs w:val="14"/>
          <w:b w:val="1"/>
          <w:bCs w:val="1"/>
          <w:color w:val="4B4B4B"/>
        </w:rPr>
        <w:t>e</w:t>
      </w:r>
      <w:r>
        <w:rPr>
          <w:rFonts w:ascii="Arial" w:cs="Arial" w:eastAsia="Arial" w:hAnsi="Arial"/>
          <w:sz w:val="14"/>
          <w:szCs w:val="14"/>
          <w:b w:val="1"/>
          <w:bCs w:val="1"/>
          <w:color w:val="2F2F2F"/>
        </w:rPr>
        <w:t>rm</w:t>
      </w:r>
      <w:r>
        <w:rPr>
          <w:rFonts w:ascii="Arial" w:cs="Arial" w:eastAsia="Arial" w:hAnsi="Arial"/>
          <w:sz w:val="14"/>
          <w:szCs w:val="14"/>
          <w:b w:val="1"/>
          <w:bCs w:val="1"/>
          <w:color w:val="4B4B4B"/>
        </w:rPr>
        <w:t>.</w:t>
      </w:r>
      <w:r>
        <w:rPr>
          <w:rFonts w:ascii="Arial" w:cs="Arial" w:eastAsia="Arial" w:hAnsi="Arial"/>
          <w:sz w:val="14"/>
          <w:szCs w:val="14"/>
          <w:b w:val="1"/>
          <w:bCs w:val="1"/>
          <w:color w:val="2F2F2F"/>
        </w:rPr>
        <w:t xml:space="preserve"> </w:t>
      </w:r>
      <w:r>
        <w:rPr>
          <w:rFonts w:ascii="Arial" w:cs="Arial" w:eastAsia="Arial" w:hAnsi="Arial"/>
          <w:sz w:val="14"/>
          <w:szCs w:val="14"/>
          <w:color w:val="4B4B4B"/>
        </w:rPr>
        <w:t>The term o</w:t>
      </w:r>
      <w:r>
        <w:rPr>
          <w:rFonts w:ascii="Arial" w:cs="Arial" w:eastAsia="Arial" w:hAnsi="Arial"/>
          <w:sz w:val="14"/>
          <w:szCs w:val="14"/>
          <w:color w:val="5B5B5B"/>
        </w:rPr>
        <w:t>f</w:t>
      </w:r>
      <w:r>
        <w:rPr>
          <w:rFonts w:ascii="Arial" w:cs="Arial" w:eastAsia="Arial" w:hAnsi="Arial"/>
          <w:sz w:val="14"/>
          <w:szCs w:val="14"/>
          <w:b w:val="1"/>
          <w:bCs w:val="1"/>
          <w:color w:val="2F2F2F"/>
        </w:rPr>
        <w:t xml:space="preserve"> </w:t>
      </w:r>
      <w:r>
        <w:rPr>
          <w:rFonts w:ascii="Arial" w:cs="Arial" w:eastAsia="Arial" w:hAnsi="Arial"/>
          <w:sz w:val="14"/>
          <w:szCs w:val="14"/>
          <w:color w:val="4B4B4B"/>
        </w:rPr>
        <w:t>th</w:t>
      </w:r>
      <w:r>
        <w:rPr>
          <w:rFonts w:ascii="Arial" w:cs="Arial" w:eastAsia="Arial" w:hAnsi="Arial"/>
          <w:sz w:val="14"/>
          <w:szCs w:val="14"/>
          <w:color w:val="5B5B5B"/>
        </w:rPr>
        <w:t>e</w:t>
      </w:r>
      <w:r>
        <w:rPr>
          <w:rFonts w:ascii="Arial" w:cs="Arial" w:eastAsia="Arial" w:hAnsi="Arial"/>
          <w:sz w:val="14"/>
          <w:szCs w:val="14"/>
          <w:b w:val="1"/>
          <w:bCs w:val="1"/>
          <w:color w:val="2F2F2F"/>
        </w:rPr>
        <w:t xml:space="preserve"> </w:t>
      </w:r>
      <w:r>
        <w:rPr>
          <w:rFonts w:ascii="Arial" w:cs="Arial" w:eastAsia="Arial" w:hAnsi="Arial"/>
          <w:sz w:val="14"/>
          <w:szCs w:val="14"/>
          <w:color w:val="4B4B4B"/>
        </w:rPr>
        <w:t>Lease shall be extended for a</w:t>
      </w:r>
      <w:r>
        <w:rPr>
          <w:rFonts w:ascii="Arial" w:cs="Arial" w:eastAsia="Arial" w:hAnsi="Arial"/>
          <w:sz w:val="14"/>
          <w:szCs w:val="14"/>
          <w:color w:val="5B5B5B"/>
        </w:rPr>
        <w:t>n</w:t>
      </w:r>
      <w:r>
        <w:rPr>
          <w:rFonts w:ascii="Arial" w:cs="Arial" w:eastAsia="Arial" w:hAnsi="Arial"/>
          <w:sz w:val="14"/>
          <w:szCs w:val="14"/>
          <w:b w:val="1"/>
          <w:bCs w:val="1"/>
          <w:color w:val="2F2F2F"/>
        </w:rPr>
        <w:t xml:space="preserve"> </w:t>
      </w:r>
      <w:r>
        <w:rPr>
          <w:rFonts w:ascii="Arial" w:cs="Arial" w:eastAsia="Arial" w:hAnsi="Arial"/>
          <w:sz w:val="14"/>
          <w:szCs w:val="14"/>
          <w:color w:val="4B4B4B"/>
        </w:rPr>
        <w:t>add</w:t>
      </w:r>
      <w:r>
        <w:rPr>
          <w:rFonts w:ascii="Arial" w:cs="Arial" w:eastAsia="Arial" w:hAnsi="Arial"/>
          <w:sz w:val="14"/>
          <w:szCs w:val="14"/>
          <w:color w:val="5B5B5B"/>
        </w:rPr>
        <w:t>it</w:t>
      </w:r>
      <w:r>
        <w:rPr>
          <w:rFonts w:ascii="Arial" w:cs="Arial" w:eastAsia="Arial" w:hAnsi="Arial"/>
          <w:sz w:val="14"/>
          <w:szCs w:val="14"/>
          <w:color w:val="4B4B4B"/>
        </w:rPr>
        <w:t>io</w:t>
      </w:r>
      <w:r>
        <w:rPr>
          <w:rFonts w:ascii="Arial" w:cs="Arial" w:eastAsia="Arial" w:hAnsi="Arial"/>
          <w:sz w:val="14"/>
          <w:szCs w:val="14"/>
          <w:color w:val="5B5B5B"/>
        </w:rPr>
        <w:t>n</w:t>
      </w:r>
      <w:r>
        <w:rPr>
          <w:rFonts w:ascii="Arial" w:cs="Arial" w:eastAsia="Arial" w:hAnsi="Arial"/>
          <w:sz w:val="14"/>
          <w:szCs w:val="14"/>
          <w:color w:val="4B4B4B"/>
        </w:rPr>
        <w:t>al p</w:t>
      </w:r>
      <w:r>
        <w:rPr>
          <w:rFonts w:ascii="Arial" w:cs="Arial" w:eastAsia="Arial" w:hAnsi="Arial"/>
          <w:sz w:val="14"/>
          <w:szCs w:val="14"/>
          <w:color w:val="5B5B5B"/>
        </w:rPr>
        <w:t>e</w:t>
      </w:r>
      <w:r>
        <w:rPr>
          <w:rFonts w:ascii="Arial" w:cs="Arial" w:eastAsia="Arial" w:hAnsi="Arial"/>
          <w:sz w:val="14"/>
          <w:szCs w:val="14"/>
          <w:color w:val="4B4B4B"/>
        </w:rPr>
        <w:t>r</w:t>
      </w:r>
      <w:r>
        <w:rPr>
          <w:rFonts w:ascii="Arial" w:cs="Arial" w:eastAsia="Arial" w:hAnsi="Arial"/>
          <w:sz w:val="14"/>
          <w:szCs w:val="14"/>
          <w:color w:val="5B5B5B"/>
        </w:rPr>
        <w:t>i</w:t>
      </w:r>
      <w:r>
        <w:rPr>
          <w:rFonts w:ascii="Arial" w:cs="Arial" w:eastAsia="Arial" w:hAnsi="Arial"/>
          <w:sz w:val="14"/>
          <w:szCs w:val="14"/>
          <w:color w:val="4B4B4B"/>
        </w:rPr>
        <w:t>od o</w:t>
      </w:r>
      <w:r>
        <w:rPr>
          <w:rFonts w:ascii="Arial" w:cs="Arial" w:eastAsia="Arial" w:hAnsi="Arial"/>
          <w:sz w:val="14"/>
          <w:szCs w:val="14"/>
          <w:color w:val="5B5B5B"/>
        </w:rPr>
        <w:t>f fi</w:t>
      </w:r>
      <w:r>
        <w:rPr>
          <w:rFonts w:ascii="Arial" w:cs="Arial" w:eastAsia="Arial" w:hAnsi="Arial"/>
          <w:sz w:val="14"/>
          <w:szCs w:val="14"/>
          <w:color w:val="4B4B4B"/>
        </w:rPr>
        <w:t>ve</w:t>
      </w:r>
      <w:r>
        <w:rPr>
          <w:rFonts w:ascii="Arial" w:cs="Arial" w:eastAsia="Arial" w:hAnsi="Arial"/>
          <w:sz w:val="14"/>
          <w:szCs w:val="14"/>
          <w:b w:val="1"/>
          <w:bCs w:val="1"/>
          <w:color w:val="2F2F2F"/>
        </w:rPr>
        <w:t xml:space="preserve"> </w:t>
      </w:r>
      <w:r>
        <w:rPr>
          <w:rFonts w:ascii="Arial" w:cs="Arial" w:eastAsia="Arial" w:hAnsi="Arial"/>
          <w:sz w:val="14"/>
          <w:szCs w:val="14"/>
          <w:color w:val="5B5B5B"/>
        </w:rPr>
        <w:t>(5)</w:t>
      </w:r>
      <w:r>
        <w:rPr>
          <w:rFonts w:ascii="Arial" w:cs="Arial" w:eastAsia="Arial" w:hAnsi="Arial"/>
          <w:sz w:val="14"/>
          <w:szCs w:val="14"/>
          <w:b w:val="1"/>
          <w:bCs w:val="1"/>
          <w:color w:val="2F2F2F"/>
        </w:rPr>
        <w:t xml:space="preserve"> </w:t>
      </w:r>
      <w:r>
        <w:rPr>
          <w:rFonts w:ascii="Arial" w:cs="Arial" w:eastAsia="Arial" w:hAnsi="Arial"/>
          <w:sz w:val="14"/>
          <w:szCs w:val="14"/>
          <w:color w:val="4B4B4B"/>
        </w:rPr>
        <w:t>ye</w:t>
      </w:r>
      <w:r>
        <w:rPr>
          <w:rFonts w:ascii="Arial" w:cs="Arial" w:eastAsia="Arial" w:hAnsi="Arial"/>
          <w:sz w:val="14"/>
          <w:szCs w:val="14"/>
          <w:color w:val="5B5B5B"/>
        </w:rPr>
        <w:t>a</w:t>
      </w:r>
      <w:r>
        <w:rPr>
          <w:rFonts w:ascii="Arial" w:cs="Arial" w:eastAsia="Arial" w:hAnsi="Arial"/>
          <w:sz w:val="14"/>
          <w:szCs w:val="14"/>
          <w:color w:val="4B4B4B"/>
        </w:rPr>
        <w:t>r</w:t>
      </w:r>
      <w:r>
        <w:rPr>
          <w:rFonts w:ascii="Arial" w:cs="Arial" w:eastAsia="Arial" w:hAnsi="Arial"/>
          <w:sz w:val="14"/>
          <w:szCs w:val="14"/>
          <w:color w:val="5B5B5B"/>
        </w:rPr>
        <w:t>s</w:t>
      </w:r>
      <w:r>
        <w:rPr>
          <w:rFonts w:ascii="Arial" w:cs="Arial" w:eastAsia="Arial" w:hAnsi="Arial"/>
          <w:sz w:val="14"/>
          <w:szCs w:val="14"/>
          <w:b w:val="1"/>
          <w:bCs w:val="1"/>
          <w:color w:val="2F2F2F"/>
        </w:rPr>
        <w:t xml:space="preserve"> </w:t>
      </w:r>
      <w:r>
        <w:rPr>
          <w:rFonts w:ascii="Arial" w:cs="Arial" w:eastAsia="Arial" w:hAnsi="Arial"/>
          <w:sz w:val="14"/>
          <w:szCs w:val="14"/>
          <w:color w:val="4B4B4B"/>
        </w:rPr>
        <w:t>from and after February</w:t>
      </w:r>
      <w:r>
        <w:rPr>
          <w:rFonts w:ascii="Arial" w:cs="Arial" w:eastAsia="Arial" w:hAnsi="Arial"/>
          <w:sz w:val="14"/>
          <w:szCs w:val="14"/>
          <w:b w:val="1"/>
          <w:bCs w:val="1"/>
          <w:color w:val="2F2F2F"/>
        </w:rPr>
        <w:t xml:space="preserve"> </w:t>
      </w:r>
      <w:r>
        <w:rPr>
          <w:rFonts w:ascii="Arial" w:cs="Arial" w:eastAsia="Arial" w:hAnsi="Arial"/>
          <w:sz w:val="14"/>
          <w:szCs w:val="14"/>
          <w:color w:val="5B5B5B"/>
        </w:rPr>
        <w:t>1</w:t>
      </w:r>
      <w:r>
        <w:rPr>
          <w:rFonts w:ascii="Arial" w:cs="Arial" w:eastAsia="Arial" w:hAnsi="Arial"/>
          <w:sz w:val="14"/>
          <w:szCs w:val="14"/>
          <w:color w:val="878787"/>
        </w:rPr>
        <w:t>,</w:t>
      </w:r>
      <w:r>
        <w:rPr>
          <w:rFonts w:ascii="Arial" w:cs="Arial" w:eastAsia="Arial" w:hAnsi="Arial"/>
          <w:sz w:val="14"/>
          <w:szCs w:val="14"/>
          <w:b w:val="1"/>
          <w:bCs w:val="1"/>
          <w:color w:val="2F2F2F"/>
        </w:rPr>
        <w:t xml:space="preserve"> </w:t>
      </w:r>
      <w:r>
        <w:rPr>
          <w:rFonts w:ascii="Arial" w:cs="Arial" w:eastAsia="Arial" w:hAnsi="Arial"/>
          <w:sz w:val="14"/>
          <w:szCs w:val="14"/>
          <w:color w:val="5B5B5B"/>
        </w:rPr>
        <w:t>20</w:t>
      </w:r>
      <w:r>
        <w:rPr>
          <w:rFonts w:ascii="Arial" w:cs="Arial" w:eastAsia="Arial" w:hAnsi="Arial"/>
          <w:sz w:val="14"/>
          <w:szCs w:val="14"/>
          <w:color w:val="4B4B4B"/>
        </w:rPr>
        <w:t>21</w:t>
      </w:r>
      <w:r>
        <w:rPr>
          <w:rFonts w:ascii="Arial" w:cs="Arial" w:eastAsia="Arial" w:hAnsi="Arial"/>
          <w:sz w:val="14"/>
          <w:szCs w:val="14"/>
          <w:color w:val="878787"/>
        </w:rPr>
        <w:t>,</w:t>
      </w:r>
      <w:r>
        <w:rPr>
          <w:rFonts w:ascii="Arial" w:cs="Arial" w:eastAsia="Arial" w:hAnsi="Arial"/>
          <w:sz w:val="14"/>
          <w:szCs w:val="14"/>
          <w:b w:val="1"/>
          <w:bCs w:val="1"/>
          <w:color w:val="2F2F2F"/>
        </w:rPr>
        <w:t xml:space="preserve"> </w:t>
      </w:r>
      <w:r>
        <w:rPr>
          <w:rFonts w:ascii="Arial" w:cs="Arial" w:eastAsia="Arial" w:hAnsi="Arial"/>
          <w:sz w:val="14"/>
          <w:szCs w:val="14"/>
          <w:color w:val="4B4B4B"/>
        </w:rPr>
        <w:t>s</w:t>
      </w:r>
      <w:r>
        <w:rPr>
          <w:rFonts w:ascii="Arial" w:cs="Arial" w:eastAsia="Arial" w:hAnsi="Arial"/>
          <w:sz w:val="14"/>
          <w:szCs w:val="14"/>
          <w:color w:val="5B5B5B"/>
        </w:rPr>
        <w:t>o</w:t>
      </w:r>
      <w:r>
        <w:rPr>
          <w:rFonts w:ascii="Arial" w:cs="Arial" w:eastAsia="Arial" w:hAnsi="Arial"/>
          <w:sz w:val="14"/>
          <w:szCs w:val="14"/>
          <w:b w:val="1"/>
          <w:bCs w:val="1"/>
          <w:color w:val="2F2F2F"/>
        </w:rPr>
        <w:t xml:space="preserve"> </w:t>
      </w:r>
      <w:r>
        <w:rPr>
          <w:rFonts w:ascii="Arial" w:cs="Arial" w:eastAsia="Arial" w:hAnsi="Arial"/>
          <w:sz w:val="14"/>
          <w:szCs w:val="14"/>
          <w:color w:val="4B4B4B"/>
        </w:rPr>
        <w:t>tha</w:t>
      </w:r>
      <w:r>
        <w:rPr>
          <w:rFonts w:ascii="Arial" w:cs="Arial" w:eastAsia="Arial" w:hAnsi="Arial"/>
          <w:sz w:val="14"/>
          <w:szCs w:val="14"/>
          <w:color w:val="5B5B5B"/>
        </w:rPr>
        <w:t>t</w:t>
      </w:r>
      <w:r>
        <w:rPr>
          <w:rFonts w:ascii="Arial" w:cs="Arial" w:eastAsia="Arial" w:hAnsi="Arial"/>
          <w:sz w:val="14"/>
          <w:szCs w:val="14"/>
          <w:b w:val="1"/>
          <w:bCs w:val="1"/>
          <w:color w:val="2F2F2F"/>
        </w:rPr>
        <w:t xml:space="preserve"> </w:t>
      </w:r>
      <w:r>
        <w:rPr>
          <w:rFonts w:ascii="Arial" w:cs="Arial" w:eastAsia="Arial" w:hAnsi="Arial"/>
          <w:sz w:val="14"/>
          <w:szCs w:val="14"/>
          <w:color w:val="4B4B4B"/>
        </w:rPr>
        <w:t>the term</w:t>
      </w:r>
      <w:r>
        <w:rPr>
          <w:rFonts w:ascii="Arial" w:cs="Arial" w:eastAsia="Arial" w:hAnsi="Arial"/>
          <w:sz w:val="14"/>
          <w:szCs w:val="14"/>
          <w:b w:val="1"/>
          <w:bCs w:val="1"/>
          <w:color w:val="2F2F2F"/>
        </w:rPr>
        <w:t xml:space="preserve"> </w:t>
      </w:r>
      <w:r>
        <w:rPr>
          <w:rFonts w:ascii="Arial" w:cs="Arial" w:eastAsia="Arial" w:hAnsi="Arial"/>
          <w:sz w:val="14"/>
          <w:szCs w:val="14"/>
          <w:color w:val="5B5B5B"/>
        </w:rPr>
        <w:t>o</w:t>
      </w:r>
      <w:r>
        <w:rPr>
          <w:rFonts w:ascii="Arial" w:cs="Arial" w:eastAsia="Arial" w:hAnsi="Arial"/>
          <w:sz w:val="14"/>
          <w:szCs w:val="14"/>
          <w:color w:val="4B4B4B"/>
        </w:rPr>
        <w:t>f the</w:t>
      </w:r>
      <w:r>
        <w:rPr>
          <w:rFonts w:ascii="Arial" w:cs="Arial" w:eastAsia="Arial" w:hAnsi="Arial"/>
          <w:sz w:val="14"/>
          <w:szCs w:val="14"/>
          <w:color w:val="5B5B5B"/>
        </w:rPr>
        <w:t xml:space="preserve"> L</w:t>
      </w:r>
      <w:r>
        <w:rPr>
          <w:rFonts w:ascii="Arial" w:cs="Arial" w:eastAsia="Arial" w:hAnsi="Arial"/>
          <w:sz w:val="14"/>
          <w:szCs w:val="14"/>
          <w:color w:val="4B4B4B"/>
        </w:rPr>
        <w:t>ea</w:t>
      </w:r>
      <w:r>
        <w:rPr>
          <w:rFonts w:ascii="Arial" w:cs="Arial" w:eastAsia="Arial" w:hAnsi="Arial"/>
          <w:sz w:val="14"/>
          <w:szCs w:val="14"/>
          <w:color w:val="5B5B5B"/>
        </w:rPr>
        <w:t>s</w:t>
      </w:r>
      <w:r>
        <w:rPr>
          <w:rFonts w:ascii="Arial" w:cs="Arial" w:eastAsia="Arial" w:hAnsi="Arial"/>
          <w:sz w:val="14"/>
          <w:szCs w:val="14"/>
          <w:color w:val="4B4B4B"/>
        </w:rPr>
        <w:t>e</w:t>
      </w:r>
      <w:r>
        <w:rPr>
          <w:rFonts w:ascii="Arial" w:cs="Arial" w:eastAsia="Arial" w:hAnsi="Arial"/>
          <w:sz w:val="14"/>
          <w:szCs w:val="14"/>
          <w:color w:val="5B5B5B"/>
        </w:rPr>
        <w:t xml:space="preserve"> s</w:t>
      </w:r>
      <w:r>
        <w:rPr>
          <w:rFonts w:ascii="Arial" w:cs="Arial" w:eastAsia="Arial" w:hAnsi="Arial"/>
          <w:sz w:val="14"/>
          <w:szCs w:val="14"/>
          <w:color w:val="4B4B4B"/>
        </w:rPr>
        <w:t>ha</w:t>
      </w:r>
      <w:r>
        <w:rPr>
          <w:rFonts w:ascii="Arial" w:cs="Arial" w:eastAsia="Arial" w:hAnsi="Arial"/>
          <w:sz w:val="14"/>
          <w:szCs w:val="14"/>
          <w:color w:val="5B5B5B"/>
        </w:rPr>
        <w:t>ll exten</w:t>
      </w:r>
      <w:r>
        <w:rPr>
          <w:rFonts w:ascii="Arial" w:cs="Arial" w:eastAsia="Arial" w:hAnsi="Arial"/>
          <w:sz w:val="14"/>
          <w:szCs w:val="14"/>
          <w:color w:val="4B4B4B"/>
        </w:rPr>
        <w:t>d to a</w:t>
      </w:r>
      <w:r>
        <w:rPr>
          <w:rFonts w:ascii="Arial" w:cs="Arial" w:eastAsia="Arial" w:hAnsi="Arial"/>
          <w:sz w:val="14"/>
          <w:szCs w:val="14"/>
          <w:color w:val="5B5B5B"/>
        </w:rPr>
        <w:t>n</w:t>
      </w:r>
      <w:r>
        <w:rPr>
          <w:rFonts w:ascii="Arial" w:cs="Arial" w:eastAsia="Arial" w:hAnsi="Arial"/>
          <w:sz w:val="14"/>
          <w:szCs w:val="14"/>
          <w:color w:val="4B4B4B"/>
        </w:rPr>
        <w:t>d</w:t>
      </w:r>
      <w:r>
        <w:rPr>
          <w:rFonts w:ascii="Arial" w:cs="Arial" w:eastAsia="Arial" w:hAnsi="Arial"/>
          <w:sz w:val="14"/>
          <w:szCs w:val="14"/>
          <w:color w:val="5B5B5B"/>
        </w:rPr>
        <w:t xml:space="preserve"> i</w:t>
      </w:r>
      <w:r>
        <w:rPr>
          <w:rFonts w:ascii="Arial" w:cs="Arial" w:eastAsia="Arial" w:hAnsi="Arial"/>
          <w:sz w:val="14"/>
          <w:szCs w:val="14"/>
          <w:color w:val="4B4B4B"/>
        </w:rPr>
        <w:t>n</w:t>
      </w:r>
      <w:r>
        <w:rPr>
          <w:rFonts w:ascii="Arial" w:cs="Arial" w:eastAsia="Arial" w:hAnsi="Arial"/>
          <w:sz w:val="14"/>
          <w:szCs w:val="14"/>
          <w:color w:val="5B5B5B"/>
        </w:rPr>
        <w:t>cl</w:t>
      </w:r>
      <w:r>
        <w:rPr>
          <w:rFonts w:ascii="Arial" w:cs="Arial" w:eastAsia="Arial" w:hAnsi="Arial"/>
          <w:sz w:val="14"/>
          <w:szCs w:val="14"/>
          <w:color w:val="4B4B4B"/>
        </w:rPr>
        <w:t>ude</w:t>
      </w:r>
      <w:r>
        <w:rPr>
          <w:rFonts w:ascii="Arial" w:cs="Arial" w:eastAsia="Arial" w:hAnsi="Arial"/>
          <w:sz w:val="14"/>
          <w:szCs w:val="14"/>
          <w:color w:val="5B5B5B"/>
        </w:rPr>
        <w:t xml:space="preserve"> J</w:t>
      </w:r>
      <w:r>
        <w:rPr>
          <w:rFonts w:ascii="Arial" w:cs="Arial" w:eastAsia="Arial" w:hAnsi="Arial"/>
          <w:sz w:val="14"/>
          <w:szCs w:val="14"/>
          <w:color w:val="4B4B4B"/>
        </w:rPr>
        <w:t>anua</w:t>
      </w:r>
      <w:r>
        <w:rPr>
          <w:rFonts w:ascii="Arial" w:cs="Arial" w:eastAsia="Arial" w:hAnsi="Arial"/>
          <w:sz w:val="14"/>
          <w:szCs w:val="14"/>
          <w:color w:val="5B5B5B"/>
        </w:rPr>
        <w:t xml:space="preserve">ry </w:t>
      </w:r>
      <w:r>
        <w:rPr>
          <w:rFonts w:ascii="Arial" w:cs="Arial" w:eastAsia="Arial" w:hAnsi="Arial"/>
          <w:sz w:val="14"/>
          <w:szCs w:val="14"/>
          <w:color w:val="4B4B4B"/>
        </w:rPr>
        <w:t>31</w:t>
      </w:r>
      <w:r>
        <w:rPr>
          <w:rFonts w:ascii="Arial" w:cs="Arial" w:eastAsia="Arial" w:hAnsi="Arial"/>
          <w:sz w:val="14"/>
          <w:szCs w:val="14"/>
          <w:color w:val="5B5B5B"/>
        </w:rPr>
        <w:t xml:space="preserve">, </w:t>
      </w:r>
      <w:r>
        <w:rPr>
          <w:rFonts w:ascii="Arial" w:cs="Arial" w:eastAsia="Arial" w:hAnsi="Arial"/>
          <w:sz w:val="14"/>
          <w:szCs w:val="14"/>
          <w:color w:val="4B4B4B"/>
        </w:rPr>
        <w:t>202</w:t>
      </w:r>
      <w:r>
        <w:rPr>
          <w:rFonts w:ascii="Arial" w:cs="Arial" w:eastAsia="Arial" w:hAnsi="Arial"/>
          <w:sz w:val="14"/>
          <w:szCs w:val="14"/>
          <w:color w:val="5B5B5B"/>
        </w:rPr>
        <w:t>6</w:t>
      </w:r>
      <w:r>
        <w:rPr>
          <w:rFonts w:ascii="Arial" w:cs="Arial" w:eastAsia="Arial" w:hAnsi="Arial"/>
          <w:sz w:val="14"/>
          <w:szCs w:val="14"/>
          <w:color w:val="878787"/>
        </w:rPr>
        <w:t>.</w:t>
      </w:r>
    </w:p>
    <w:p>
      <w:pPr>
        <w:spacing w:after="0" w:line="157" w:lineRule="exact"/>
        <w:rPr>
          <w:rFonts w:ascii="Arial" w:cs="Arial" w:eastAsia="Arial" w:hAnsi="Arial"/>
          <w:sz w:val="14"/>
          <w:szCs w:val="14"/>
          <w:color w:val="757575"/>
        </w:rPr>
      </w:pPr>
    </w:p>
    <w:p>
      <w:pPr>
        <w:ind w:left="660" w:hanging="321"/>
        <w:spacing w:after="0"/>
        <w:tabs>
          <w:tab w:leader="none" w:pos="660" w:val="left"/>
        </w:tabs>
        <w:numPr>
          <w:ilvl w:val="0"/>
          <w:numId w:val="48"/>
        </w:numPr>
        <w:rPr>
          <w:rFonts w:ascii="Arial" w:cs="Arial" w:eastAsia="Arial" w:hAnsi="Arial"/>
          <w:sz w:val="14"/>
          <w:szCs w:val="14"/>
          <w:color w:val="878787"/>
        </w:rPr>
      </w:pPr>
      <w:r>
        <w:rPr>
          <w:rFonts w:ascii="Arial" w:cs="Arial" w:eastAsia="Arial" w:hAnsi="Arial"/>
          <w:sz w:val="14"/>
          <w:szCs w:val="14"/>
          <w:b w:val="1"/>
          <w:bCs w:val="1"/>
          <w:color w:val="2F2F2F"/>
        </w:rPr>
        <w:t>Ba</w:t>
      </w:r>
      <w:r>
        <w:rPr>
          <w:rFonts w:ascii="Arial" w:cs="Arial" w:eastAsia="Arial" w:hAnsi="Arial"/>
          <w:sz w:val="14"/>
          <w:szCs w:val="14"/>
          <w:b w:val="1"/>
          <w:bCs w:val="1"/>
          <w:color w:val="4B4B4B"/>
        </w:rPr>
        <w:t>s</w:t>
      </w:r>
      <w:r>
        <w:rPr>
          <w:rFonts w:ascii="Arial" w:cs="Arial" w:eastAsia="Arial" w:hAnsi="Arial"/>
          <w:sz w:val="14"/>
          <w:szCs w:val="14"/>
          <w:b w:val="1"/>
          <w:bCs w:val="1"/>
          <w:color w:val="2F2F2F"/>
        </w:rPr>
        <w:t xml:space="preserve">e Monthly Rent. </w:t>
      </w:r>
      <w:r>
        <w:rPr>
          <w:rFonts w:ascii="Arial" w:cs="Arial" w:eastAsia="Arial" w:hAnsi="Arial"/>
          <w:sz w:val="14"/>
          <w:szCs w:val="14"/>
          <w:color w:val="4B4B4B"/>
        </w:rPr>
        <w:t>Base monthly rent for the</w:t>
      </w:r>
      <w:r>
        <w:rPr>
          <w:rFonts w:ascii="Arial" w:cs="Arial" w:eastAsia="Arial" w:hAnsi="Arial"/>
          <w:sz w:val="14"/>
          <w:szCs w:val="14"/>
          <w:b w:val="1"/>
          <w:bCs w:val="1"/>
          <w:color w:val="2F2F2F"/>
        </w:rPr>
        <w:t xml:space="preserve"> </w:t>
      </w:r>
      <w:r>
        <w:rPr>
          <w:rFonts w:ascii="Arial" w:cs="Arial" w:eastAsia="Arial" w:hAnsi="Arial"/>
          <w:sz w:val="14"/>
          <w:szCs w:val="14"/>
          <w:color w:val="5B5B5B"/>
        </w:rPr>
        <w:t>e</w:t>
      </w:r>
      <w:r>
        <w:rPr>
          <w:rFonts w:ascii="Arial" w:cs="Arial" w:eastAsia="Arial" w:hAnsi="Arial"/>
          <w:sz w:val="14"/>
          <w:szCs w:val="14"/>
          <w:color w:val="4B4B4B"/>
        </w:rPr>
        <w:t>xtended te</w:t>
      </w:r>
      <w:r>
        <w:rPr>
          <w:rFonts w:ascii="Arial" w:cs="Arial" w:eastAsia="Arial" w:hAnsi="Arial"/>
          <w:sz w:val="14"/>
          <w:szCs w:val="14"/>
          <w:color w:val="2F2F2F"/>
        </w:rPr>
        <w:t>r</w:t>
      </w:r>
      <w:r>
        <w:rPr>
          <w:rFonts w:ascii="Arial" w:cs="Arial" w:eastAsia="Arial" w:hAnsi="Arial"/>
          <w:sz w:val="14"/>
          <w:szCs w:val="14"/>
          <w:color w:val="4B4B4B"/>
        </w:rPr>
        <w:t>m shall be a</w:t>
      </w:r>
      <w:r>
        <w:rPr>
          <w:rFonts w:ascii="Arial" w:cs="Arial" w:eastAsia="Arial" w:hAnsi="Arial"/>
          <w:sz w:val="14"/>
          <w:szCs w:val="14"/>
          <w:color w:val="5B5B5B"/>
        </w:rPr>
        <w:t>s</w:t>
      </w:r>
      <w:r>
        <w:rPr>
          <w:rFonts w:ascii="Arial" w:cs="Arial" w:eastAsia="Arial" w:hAnsi="Arial"/>
          <w:sz w:val="14"/>
          <w:szCs w:val="14"/>
          <w:b w:val="1"/>
          <w:bCs w:val="1"/>
          <w:color w:val="2F2F2F"/>
        </w:rPr>
        <w:t xml:space="preserve"> </w:t>
      </w:r>
      <w:r>
        <w:rPr>
          <w:rFonts w:ascii="Arial" w:cs="Arial" w:eastAsia="Arial" w:hAnsi="Arial"/>
          <w:sz w:val="14"/>
          <w:szCs w:val="14"/>
          <w:color w:val="4B4B4B"/>
        </w:rPr>
        <w:t>follows</w:t>
      </w:r>
      <w:r>
        <w:rPr>
          <w:rFonts w:ascii="Arial" w:cs="Arial" w:eastAsia="Arial" w:hAnsi="Arial"/>
          <w:sz w:val="14"/>
          <w:szCs w:val="14"/>
          <w:color w:val="757575"/>
        </w:rPr>
        <w:t>:</w:t>
      </w:r>
    </w:p>
    <w:p>
      <w:pPr>
        <w:sectPr>
          <w:pgSz w:w="11900" w:h="16838" w:orient="portrait"/>
          <w:cols w:equalWidth="0" w:num="1">
            <w:col w:w="10320"/>
          </w:cols>
          <w:pgMar w:left="1240" w:top="768" w:right="339" w:bottom="1440" w:gutter="0" w:footer="0" w:header="0"/>
        </w:sectPr>
      </w:pPr>
    </w:p>
    <w:p>
      <w:pPr>
        <w:spacing w:after="0" w:line="28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February 1, 2021 through January 31, 2022</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$19,000.00 Payable Monthly</w:t>
      </w:r>
    </w:p>
    <w:p>
      <w:pPr>
        <w:spacing w:after="0" w:line="55" w:lineRule="exact"/>
        <w:rPr>
          <w:sz w:val="20"/>
          <w:szCs w:val="20"/>
          <w:color w:val="auto"/>
        </w:rPr>
      </w:pPr>
    </w:p>
    <w:p>
      <w:pPr>
        <w:sectPr>
          <w:pgSz w:w="11900" w:h="16838" w:orient="portrait"/>
          <w:cols w:equalWidth="0" w:num="2">
            <w:col w:w="5820" w:space="600"/>
            <w:col w:w="3900"/>
          </w:cols>
          <w:pgMar w:left="1240" w:top="768" w:right="339" w:bottom="1440" w:gutter="0" w:footer="0" w:header="0"/>
          <w:type w:val="continuous"/>
        </w:sectPr>
      </w:pPr>
    </w:p>
    <w:p>
      <w:pPr>
        <w:ind w:left="3060"/>
        <w:spacing w:after="0"/>
        <w:rPr>
          <w:sz w:val="20"/>
          <w:szCs w:val="20"/>
          <w:color w:val="auto"/>
        </w:rPr>
      </w:pPr>
      <w:r>
        <w:rPr>
          <w:rFonts w:ascii="Arial" w:cs="Arial" w:eastAsia="Arial" w:hAnsi="Arial"/>
          <w:sz w:val="14"/>
          <w:szCs w:val="14"/>
          <w:color w:val="auto"/>
        </w:rPr>
        <w:t>February 1, 2022 through January 31,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$19,600.00 Payable Monthly</w:t>
      </w:r>
    </w:p>
    <w:p>
      <w:pPr>
        <w:spacing w:after="0" w:line="55" w:lineRule="exact"/>
        <w:rPr>
          <w:sz w:val="20"/>
          <w:szCs w:val="20"/>
          <w:color w:val="auto"/>
        </w:rPr>
      </w:pPr>
    </w:p>
    <w:p>
      <w:pPr>
        <w:sectPr>
          <w:pgSz w:w="11900" w:h="16838" w:orient="portrait"/>
          <w:cols w:equalWidth="0" w:num="2">
            <w:col w:w="5820" w:space="600"/>
            <w:col w:w="3900"/>
          </w:cols>
          <w:pgMar w:left="1240" w:top="768" w:right="339" w:bottom="1440" w:gutter="0" w:footer="0" w:header="0"/>
          <w:type w:val="continuous"/>
        </w:sectPr>
      </w:pPr>
    </w:p>
    <w:p>
      <w:pPr>
        <w:ind w:left="3060"/>
        <w:spacing w:after="0"/>
        <w:rPr>
          <w:sz w:val="20"/>
          <w:szCs w:val="20"/>
          <w:color w:val="auto"/>
        </w:rPr>
      </w:pPr>
      <w:r>
        <w:rPr>
          <w:rFonts w:ascii="Arial" w:cs="Arial" w:eastAsia="Arial" w:hAnsi="Arial"/>
          <w:sz w:val="14"/>
          <w:szCs w:val="14"/>
          <w:color w:val="auto"/>
        </w:rPr>
        <w:t>February 1, 2023 through January 31,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$20,200.00 Payable Monthly</w:t>
      </w:r>
    </w:p>
    <w:p>
      <w:pPr>
        <w:spacing w:after="0" w:line="55" w:lineRule="exact"/>
        <w:rPr>
          <w:sz w:val="20"/>
          <w:szCs w:val="20"/>
          <w:color w:val="auto"/>
        </w:rPr>
      </w:pPr>
    </w:p>
    <w:p>
      <w:pPr>
        <w:sectPr>
          <w:pgSz w:w="11900" w:h="16838" w:orient="portrait"/>
          <w:cols w:equalWidth="0" w:num="2">
            <w:col w:w="5820" w:space="600"/>
            <w:col w:w="3900"/>
          </w:cols>
          <w:pgMar w:left="1240" w:top="768" w:right="339" w:bottom="1440" w:gutter="0" w:footer="0" w:header="0"/>
          <w:type w:val="continuous"/>
        </w:sectPr>
      </w:pPr>
    </w:p>
    <w:p>
      <w:pPr>
        <w:ind w:left="3060"/>
        <w:spacing w:after="0"/>
        <w:rPr>
          <w:sz w:val="20"/>
          <w:szCs w:val="20"/>
          <w:color w:val="auto"/>
        </w:rPr>
      </w:pPr>
      <w:r>
        <w:rPr>
          <w:rFonts w:ascii="Arial" w:cs="Arial" w:eastAsia="Arial" w:hAnsi="Arial"/>
          <w:sz w:val="14"/>
          <w:szCs w:val="14"/>
          <w:color w:val="auto"/>
        </w:rPr>
        <w:t>February 1, 2024 through January 31,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$20,800.00 Payable Monthly</w:t>
      </w:r>
    </w:p>
    <w:p>
      <w:pPr>
        <w:spacing w:after="0" w:line="55" w:lineRule="exact"/>
        <w:rPr>
          <w:sz w:val="20"/>
          <w:szCs w:val="20"/>
          <w:color w:val="auto"/>
        </w:rPr>
      </w:pPr>
    </w:p>
    <w:p>
      <w:pPr>
        <w:sectPr>
          <w:pgSz w:w="11900" w:h="16838" w:orient="portrait"/>
          <w:cols w:equalWidth="0" w:num="2">
            <w:col w:w="5820" w:space="600"/>
            <w:col w:w="3900"/>
          </w:cols>
          <w:pgMar w:left="1240" w:top="768" w:right="339" w:bottom="1440" w:gutter="0" w:footer="0" w:header="0"/>
          <w:type w:val="continuous"/>
        </w:sectPr>
      </w:pPr>
    </w:p>
    <w:p>
      <w:pPr>
        <w:ind w:left="3060"/>
        <w:spacing w:after="0"/>
        <w:rPr>
          <w:sz w:val="20"/>
          <w:szCs w:val="20"/>
          <w:color w:val="auto"/>
        </w:rPr>
      </w:pPr>
      <w:r>
        <w:rPr>
          <w:rFonts w:ascii="Arial" w:cs="Arial" w:eastAsia="Arial" w:hAnsi="Arial"/>
          <w:sz w:val="14"/>
          <w:szCs w:val="14"/>
          <w:color w:val="auto"/>
        </w:rPr>
        <w:t>February 1, 2025 through January 31,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$21,400.00 Payable Monthly</w:t>
      </w:r>
    </w:p>
    <w:p>
      <w:pPr>
        <w:spacing w:after="0" w:line="200" w:lineRule="exact"/>
        <w:rPr>
          <w:sz w:val="20"/>
          <w:szCs w:val="20"/>
          <w:color w:val="auto"/>
        </w:rPr>
      </w:pPr>
    </w:p>
    <w:p>
      <w:pPr>
        <w:sectPr>
          <w:pgSz w:w="11900" w:h="16838" w:orient="portrait"/>
          <w:cols w:equalWidth="0" w:num="2">
            <w:col w:w="5820" w:space="600"/>
            <w:col w:w="3900"/>
          </w:cols>
          <w:pgMar w:left="1240" w:top="768" w:right="339" w:bottom="1440" w:gutter="0" w:footer="0" w:header="0"/>
          <w:type w:val="continuous"/>
        </w:sectPr>
      </w:pPr>
    </w:p>
    <w:p>
      <w:pPr>
        <w:spacing w:after="0" w:line="26" w:lineRule="exact"/>
        <w:rPr>
          <w:sz w:val="20"/>
          <w:szCs w:val="20"/>
          <w:color w:val="auto"/>
        </w:rPr>
      </w:pPr>
    </w:p>
    <w:p>
      <w:pPr>
        <w:ind w:left="660" w:right="20" w:hanging="321"/>
        <w:spacing w:after="0" w:line="256" w:lineRule="auto"/>
        <w:tabs>
          <w:tab w:leader="none" w:pos="658" w:val="left"/>
        </w:tabs>
        <w:numPr>
          <w:ilvl w:val="0"/>
          <w:numId w:val="49"/>
        </w:numPr>
        <w:rPr>
          <w:rFonts w:ascii="Arial" w:cs="Arial" w:eastAsia="Arial" w:hAnsi="Arial"/>
          <w:sz w:val="14"/>
          <w:szCs w:val="14"/>
          <w:color w:val="757575"/>
        </w:rPr>
      </w:pPr>
      <w:r>
        <w:rPr>
          <w:rFonts w:ascii="Arial" w:cs="Arial" w:eastAsia="Arial" w:hAnsi="Arial"/>
          <w:sz w:val="14"/>
          <w:szCs w:val="14"/>
          <w:b w:val="1"/>
          <w:bCs w:val="1"/>
          <w:color w:val="2F2F2F"/>
        </w:rPr>
        <w:t>R</w:t>
      </w:r>
      <w:r>
        <w:rPr>
          <w:rFonts w:ascii="Arial" w:cs="Arial" w:eastAsia="Arial" w:hAnsi="Arial"/>
          <w:sz w:val="14"/>
          <w:szCs w:val="14"/>
          <w:b w:val="1"/>
          <w:bCs w:val="1"/>
          <w:color w:val="4B4B4B"/>
        </w:rPr>
        <w:t>en</w:t>
      </w:r>
      <w:r>
        <w:rPr>
          <w:rFonts w:ascii="Arial" w:cs="Arial" w:eastAsia="Arial" w:hAnsi="Arial"/>
          <w:sz w:val="14"/>
          <w:szCs w:val="14"/>
          <w:b w:val="1"/>
          <w:bCs w:val="1"/>
          <w:color w:val="2F2F2F"/>
        </w:rPr>
        <w:t>t Abat</w:t>
      </w:r>
      <w:r>
        <w:rPr>
          <w:rFonts w:ascii="Arial" w:cs="Arial" w:eastAsia="Arial" w:hAnsi="Arial"/>
          <w:sz w:val="14"/>
          <w:szCs w:val="14"/>
          <w:b w:val="1"/>
          <w:bCs w:val="1"/>
          <w:color w:val="4B4B4B"/>
        </w:rPr>
        <w:t>e</w:t>
      </w:r>
      <w:r>
        <w:rPr>
          <w:rFonts w:ascii="Arial" w:cs="Arial" w:eastAsia="Arial" w:hAnsi="Arial"/>
          <w:sz w:val="14"/>
          <w:szCs w:val="14"/>
          <w:b w:val="1"/>
          <w:bCs w:val="1"/>
          <w:color w:val="2F2F2F"/>
        </w:rPr>
        <w:t>m</w:t>
      </w:r>
      <w:r>
        <w:rPr>
          <w:rFonts w:ascii="Arial" w:cs="Arial" w:eastAsia="Arial" w:hAnsi="Arial"/>
          <w:sz w:val="14"/>
          <w:szCs w:val="14"/>
          <w:b w:val="1"/>
          <w:bCs w:val="1"/>
          <w:color w:val="4B4B4B"/>
        </w:rPr>
        <w:t>e</w:t>
      </w:r>
      <w:r>
        <w:rPr>
          <w:rFonts w:ascii="Arial" w:cs="Arial" w:eastAsia="Arial" w:hAnsi="Arial"/>
          <w:sz w:val="14"/>
          <w:szCs w:val="14"/>
          <w:b w:val="1"/>
          <w:bCs w:val="1"/>
          <w:color w:val="2F2F2F"/>
        </w:rPr>
        <w:t xml:space="preserve">nt. </w:t>
      </w:r>
      <w:r>
        <w:rPr>
          <w:rFonts w:ascii="Arial" w:cs="Arial" w:eastAsia="Arial" w:hAnsi="Arial"/>
          <w:sz w:val="14"/>
          <w:szCs w:val="14"/>
          <w:color w:val="4B4B4B"/>
        </w:rPr>
        <w:t>Base Monthly R</w:t>
      </w:r>
      <w:r>
        <w:rPr>
          <w:rFonts w:ascii="Arial" w:cs="Arial" w:eastAsia="Arial" w:hAnsi="Arial"/>
          <w:sz w:val="14"/>
          <w:szCs w:val="14"/>
          <w:color w:val="5B5B5B"/>
        </w:rPr>
        <w:t>e</w:t>
      </w:r>
      <w:r>
        <w:rPr>
          <w:rFonts w:ascii="Arial" w:cs="Arial" w:eastAsia="Arial" w:hAnsi="Arial"/>
          <w:sz w:val="14"/>
          <w:szCs w:val="14"/>
          <w:color w:val="4B4B4B"/>
        </w:rPr>
        <w:t>n</w:t>
      </w:r>
      <w:r>
        <w:rPr>
          <w:rFonts w:ascii="Arial" w:cs="Arial" w:eastAsia="Arial" w:hAnsi="Arial"/>
          <w:sz w:val="14"/>
          <w:szCs w:val="14"/>
          <w:color w:val="5B5B5B"/>
        </w:rPr>
        <w:t>t</w:t>
      </w:r>
      <w:r>
        <w:rPr>
          <w:rFonts w:ascii="Arial" w:cs="Arial" w:eastAsia="Arial" w:hAnsi="Arial"/>
          <w:sz w:val="14"/>
          <w:szCs w:val="14"/>
          <w:b w:val="1"/>
          <w:bCs w:val="1"/>
          <w:color w:val="2F2F2F"/>
        </w:rPr>
        <w:t xml:space="preserve"> </w:t>
      </w:r>
      <w:r>
        <w:rPr>
          <w:rFonts w:ascii="Arial" w:cs="Arial" w:eastAsia="Arial" w:hAnsi="Arial"/>
          <w:sz w:val="14"/>
          <w:szCs w:val="14"/>
          <w:color w:val="4B4B4B"/>
        </w:rPr>
        <w:t>shall be 50</w:t>
      </w:r>
      <w:r>
        <w:rPr>
          <w:rFonts w:ascii="Arial" w:cs="Arial" w:eastAsia="Arial" w:hAnsi="Arial"/>
          <w:sz w:val="14"/>
          <w:szCs w:val="14"/>
          <w:color w:val="5B5B5B"/>
        </w:rPr>
        <w:t>%</w:t>
      </w:r>
      <w:r>
        <w:rPr>
          <w:rFonts w:ascii="Arial" w:cs="Arial" w:eastAsia="Arial" w:hAnsi="Arial"/>
          <w:sz w:val="14"/>
          <w:szCs w:val="14"/>
          <w:b w:val="1"/>
          <w:bCs w:val="1"/>
          <w:color w:val="2F2F2F"/>
        </w:rPr>
        <w:t xml:space="preserve"> </w:t>
      </w:r>
      <w:r>
        <w:rPr>
          <w:rFonts w:ascii="Arial" w:cs="Arial" w:eastAsia="Arial" w:hAnsi="Arial"/>
          <w:sz w:val="14"/>
          <w:szCs w:val="14"/>
          <w:color w:val="4B4B4B"/>
        </w:rPr>
        <w:t>aba</w:t>
      </w:r>
      <w:r>
        <w:rPr>
          <w:rFonts w:ascii="Arial" w:cs="Arial" w:eastAsia="Arial" w:hAnsi="Arial"/>
          <w:sz w:val="14"/>
          <w:szCs w:val="14"/>
          <w:color w:val="5B5B5B"/>
        </w:rPr>
        <w:t>t</w:t>
      </w:r>
      <w:r>
        <w:rPr>
          <w:rFonts w:ascii="Arial" w:cs="Arial" w:eastAsia="Arial" w:hAnsi="Arial"/>
          <w:sz w:val="14"/>
          <w:szCs w:val="14"/>
          <w:color w:val="4B4B4B"/>
        </w:rPr>
        <w:t>ed</w:t>
      </w:r>
      <w:r>
        <w:rPr>
          <w:rFonts w:ascii="Arial" w:cs="Arial" w:eastAsia="Arial" w:hAnsi="Arial"/>
          <w:sz w:val="14"/>
          <w:szCs w:val="14"/>
          <w:b w:val="1"/>
          <w:bCs w:val="1"/>
          <w:color w:val="2F2F2F"/>
        </w:rPr>
        <w:t xml:space="preserve"> </w:t>
      </w:r>
      <w:r>
        <w:rPr>
          <w:rFonts w:ascii="Arial" w:cs="Arial" w:eastAsia="Arial" w:hAnsi="Arial"/>
          <w:sz w:val="14"/>
          <w:szCs w:val="14"/>
          <w:color w:val="5B5B5B"/>
        </w:rPr>
        <w:t>c</w:t>
      </w:r>
      <w:r>
        <w:rPr>
          <w:rFonts w:ascii="Arial" w:cs="Arial" w:eastAsia="Arial" w:hAnsi="Arial"/>
          <w:sz w:val="14"/>
          <w:szCs w:val="14"/>
          <w:color w:val="4B4B4B"/>
        </w:rPr>
        <w:t>ommen</w:t>
      </w:r>
      <w:r>
        <w:rPr>
          <w:rFonts w:ascii="Arial" w:cs="Arial" w:eastAsia="Arial" w:hAnsi="Arial"/>
          <w:sz w:val="14"/>
          <w:szCs w:val="14"/>
          <w:color w:val="5B5B5B"/>
        </w:rPr>
        <w:t>ci</w:t>
      </w:r>
      <w:r>
        <w:rPr>
          <w:rFonts w:ascii="Arial" w:cs="Arial" w:eastAsia="Arial" w:hAnsi="Arial"/>
          <w:sz w:val="14"/>
          <w:szCs w:val="14"/>
          <w:color w:val="4B4B4B"/>
        </w:rPr>
        <w:t>ng the</w:t>
      </w:r>
      <w:r>
        <w:rPr>
          <w:rFonts w:ascii="Arial" w:cs="Arial" w:eastAsia="Arial" w:hAnsi="Arial"/>
          <w:sz w:val="14"/>
          <w:szCs w:val="14"/>
          <w:b w:val="1"/>
          <w:bCs w:val="1"/>
          <w:color w:val="2F2F2F"/>
        </w:rPr>
        <w:t xml:space="preserve"> </w:t>
      </w:r>
      <w:r>
        <w:rPr>
          <w:rFonts w:ascii="Arial" w:cs="Arial" w:eastAsia="Arial" w:hAnsi="Arial"/>
          <w:sz w:val="14"/>
          <w:szCs w:val="14"/>
          <w:color w:val="5B5B5B"/>
        </w:rPr>
        <w:t>fi</w:t>
      </w:r>
      <w:r>
        <w:rPr>
          <w:rFonts w:ascii="Arial" w:cs="Arial" w:eastAsia="Arial" w:hAnsi="Arial"/>
          <w:sz w:val="14"/>
          <w:szCs w:val="14"/>
          <w:color w:val="4B4B4B"/>
        </w:rPr>
        <w:t>rs</w:t>
      </w:r>
      <w:r>
        <w:rPr>
          <w:rFonts w:ascii="Arial" w:cs="Arial" w:eastAsia="Arial" w:hAnsi="Arial"/>
          <w:sz w:val="14"/>
          <w:szCs w:val="14"/>
          <w:color w:val="2F2F2F"/>
        </w:rPr>
        <w:t>t</w:t>
      </w:r>
      <w:r>
        <w:rPr>
          <w:rFonts w:ascii="Arial" w:cs="Arial" w:eastAsia="Arial" w:hAnsi="Arial"/>
          <w:sz w:val="14"/>
          <w:szCs w:val="14"/>
          <w:b w:val="1"/>
          <w:bCs w:val="1"/>
          <w:color w:val="2F2F2F"/>
        </w:rPr>
        <w:t xml:space="preserve"> </w:t>
      </w:r>
      <w:r>
        <w:rPr>
          <w:rFonts w:ascii="Arial" w:cs="Arial" w:eastAsia="Arial" w:hAnsi="Arial"/>
          <w:sz w:val="14"/>
          <w:szCs w:val="14"/>
          <w:color w:val="5B5B5B"/>
        </w:rPr>
        <w:t>f</w:t>
      </w:r>
      <w:r>
        <w:rPr>
          <w:rFonts w:ascii="Arial" w:cs="Arial" w:eastAsia="Arial" w:hAnsi="Arial"/>
          <w:sz w:val="14"/>
          <w:szCs w:val="14"/>
          <w:color w:val="4B4B4B"/>
        </w:rPr>
        <w:t>ull m</w:t>
      </w:r>
      <w:r>
        <w:rPr>
          <w:rFonts w:ascii="Arial" w:cs="Arial" w:eastAsia="Arial" w:hAnsi="Arial"/>
          <w:sz w:val="14"/>
          <w:szCs w:val="14"/>
          <w:color w:val="5B5B5B"/>
        </w:rPr>
        <w:t>o</w:t>
      </w:r>
      <w:r>
        <w:rPr>
          <w:rFonts w:ascii="Arial" w:cs="Arial" w:eastAsia="Arial" w:hAnsi="Arial"/>
          <w:sz w:val="14"/>
          <w:szCs w:val="14"/>
          <w:color w:val="4B4B4B"/>
        </w:rPr>
        <w:t>n</w:t>
      </w:r>
      <w:r>
        <w:rPr>
          <w:rFonts w:ascii="Arial" w:cs="Arial" w:eastAsia="Arial" w:hAnsi="Arial"/>
          <w:sz w:val="14"/>
          <w:szCs w:val="14"/>
          <w:color w:val="757575"/>
        </w:rPr>
        <w:t>t</w:t>
      </w:r>
      <w:r>
        <w:rPr>
          <w:rFonts w:ascii="Arial" w:cs="Arial" w:eastAsia="Arial" w:hAnsi="Arial"/>
          <w:sz w:val="14"/>
          <w:szCs w:val="14"/>
          <w:color w:val="5B5B5B"/>
        </w:rPr>
        <w:t>h</w:t>
      </w:r>
      <w:r>
        <w:rPr>
          <w:rFonts w:ascii="Arial" w:cs="Arial" w:eastAsia="Arial" w:hAnsi="Arial"/>
          <w:sz w:val="14"/>
          <w:szCs w:val="14"/>
          <w:b w:val="1"/>
          <w:bCs w:val="1"/>
          <w:color w:val="2F2F2F"/>
        </w:rPr>
        <w:t xml:space="preserve"> </w:t>
      </w:r>
      <w:r>
        <w:rPr>
          <w:rFonts w:ascii="Arial" w:cs="Arial" w:eastAsia="Arial" w:hAnsi="Arial"/>
          <w:sz w:val="14"/>
          <w:szCs w:val="14"/>
          <w:color w:val="4B4B4B"/>
        </w:rPr>
        <w:t>after exe</w:t>
      </w:r>
      <w:r>
        <w:rPr>
          <w:rFonts w:ascii="Arial" w:cs="Arial" w:eastAsia="Arial" w:hAnsi="Arial"/>
          <w:sz w:val="14"/>
          <w:szCs w:val="14"/>
          <w:color w:val="5B5B5B"/>
        </w:rPr>
        <w:t>c</w:t>
      </w:r>
      <w:r>
        <w:rPr>
          <w:rFonts w:ascii="Arial" w:cs="Arial" w:eastAsia="Arial" w:hAnsi="Arial"/>
          <w:sz w:val="14"/>
          <w:szCs w:val="14"/>
          <w:color w:val="4B4B4B"/>
        </w:rPr>
        <w:t>ution of thi</w:t>
      </w:r>
      <w:r>
        <w:rPr>
          <w:rFonts w:ascii="Arial" w:cs="Arial" w:eastAsia="Arial" w:hAnsi="Arial"/>
          <w:sz w:val="14"/>
          <w:szCs w:val="14"/>
          <w:color w:val="5B5B5B"/>
        </w:rPr>
        <w:t>s e</w:t>
      </w:r>
      <w:r>
        <w:rPr>
          <w:rFonts w:ascii="Arial" w:cs="Arial" w:eastAsia="Arial" w:hAnsi="Arial"/>
          <w:sz w:val="14"/>
          <w:szCs w:val="14"/>
          <w:color w:val="4B4B4B"/>
        </w:rPr>
        <w:t>xtension and co</w:t>
      </w:r>
      <w:r>
        <w:rPr>
          <w:rFonts w:ascii="Arial" w:cs="Arial" w:eastAsia="Arial" w:hAnsi="Arial"/>
          <w:sz w:val="14"/>
          <w:szCs w:val="14"/>
          <w:color w:val="2F2F2F"/>
        </w:rPr>
        <w:t>n</w:t>
      </w:r>
      <w:r>
        <w:rPr>
          <w:rFonts w:ascii="Arial" w:cs="Arial" w:eastAsia="Arial" w:hAnsi="Arial"/>
          <w:sz w:val="14"/>
          <w:szCs w:val="14"/>
          <w:color w:val="4B4B4B"/>
        </w:rPr>
        <w:t>tinuing for a total of</w:t>
      </w:r>
      <w:r>
        <w:rPr>
          <w:rFonts w:ascii="Arial" w:cs="Arial" w:eastAsia="Arial" w:hAnsi="Arial"/>
          <w:sz w:val="14"/>
          <w:szCs w:val="14"/>
          <w:b w:val="1"/>
          <w:bCs w:val="1"/>
          <w:color w:val="2F2F2F"/>
        </w:rPr>
        <w:t xml:space="preserve"> </w:t>
      </w:r>
      <w:r>
        <w:rPr>
          <w:rFonts w:ascii="Arial" w:cs="Arial" w:eastAsia="Arial" w:hAnsi="Arial"/>
          <w:sz w:val="14"/>
          <w:szCs w:val="14"/>
          <w:color w:val="4B4B4B"/>
        </w:rPr>
        <w:t xml:space="preserve">ten </w:t>
      </w:r>
      <w:r>
        <w:rPr>
          <w:rFonts w:ascii="Arial" w:cs="Arial" w:eastAsia="Arial" w:hAnsi="Arial"/>
          <w:sz w:val="14"/>
          <w:szCs w:val="14"/>
          <w:color w:val="5B5B5B"/>
        </w:rPr>
        <w:t>(</w:t>
      </w:r>
      <w:r>
        <w:rPr>
          <w:rFonts w:ascii="Arial" w:cs="Arial" w:eastAsia="Arial" w:hAnsi="Arial"/>
          <w:sz w:val="14"/>
          <w:szCs w:val="14"/>
          <w:color w:val="4B4B4B"/>
        </w:rPr>
        <w:t>10</w:t>
      </w:r>
      <w:r>
        <w:rPr>
          <w:rFonts w:ascii="Arial" w:cs="Arial" w:eastAsia="Arial" w:hAnsi="Arial"/>
          <w:sz w:val="14"/>
          <w:szCs w:val="14"/>
          <w:color w:val="5B5B5B"/>
        </w:rPr>
        <w:t>)</w:t>
      </w:r>
      <w:r>
        <w:rPr>
          <w:rFonts w:ascii="Arial" w:cs="Arial" w:eastAsia="Arial" w:hAnsi="Arial"/>
          <w:sz w:val="14"/>
          <w:szCs w:val="14"/>
          <w:color w:val="4B4B4B"/>
        </w:rPr>
        <w:t xml:space="preserve"> month</w:t>
      </w:r>
      <w:r>
        <w:rPr>
          <w:rFonts w:ascii="Arial" w:cs="Arial" w:eastAsia="Arial" w:hAnsi="Arial"/>
          <w:sz w:val="14"/>
          <w:szCs w:val="14"/>
          <w:color w:val="5B5B5B"/>
        </w:rPr>
        <w:t>s</w:t>
      </w:r>
      <w:r>
        <w:rPr>
          <w:rFonts w:ascii="Arial" w:cs="Arial" w:eastAsia="Arial" w:hAnsi="Arial"/>
          <w:sz w:val="14"/>
          <w:szCs w:val="14"/>
          <w:color w:val="4B4B4B"/>
        </w:rPr>
        <w:t xml:space="preserve"> thereafte</w:t>
      </w:r>
      <w:r>
        <w:rPr>
          <w:rFonts w:ascii="Arial" w:cs="Arial" w:eastAsia="Arial" w:hAnsi="Arial"/>
          <w:sz w:val="14"/>
          <w:szCs w:val="14"/>
          <w:color w:val="5B5B5B"/>
        </w:rPr>
        <w:t>r</w:t>
      </w:r>
      <w:r>
        <w:rPr>
          <w:rFonts w:ascii="Arial" w:cs="Arial" w:eastAsia="Arial" w:hAnsi="Arial"/>
          <w:sz w:val="14"/>
          <w:szCs w:val="14"/>
          <w:color w:val="757575"/>
        </w:rPr>
        <w:t>.</w:t>
      </w:r>
      <w:r>
        <w:rPr>
          <w:rFonts w:ascii="Arial" w:cs="Arial" w:eastAsia="Arial" w:hAnsi="Arial"/>
          <w:sz w:val="14"/>
          <w:szCs w:val="14"/>
          <w:color w:val="4B4B4B"/>
        </w:rPr>
        <w:t xml:space="preserve"> Rent Aba</w:t>
      </w:r>
      <w:r>
        <w:rPr>
          <w:rFonts w:ascii="Arial" w:cs="Arial" w:eastAsia="Arial" w:hAnsi="Arial"/>
          <w:sz w:val="14"/>
          <w:szCs w:val="14"/>
          <w:color w:val="5B5B5B"/>
        </w:rPr>
        <w:t>t</w:t>
      </w:r>
      <w:r>
        <w:rPr>
          <w:rFonts w:ascii="Arial" w:cs="Arial" w:eastAsia="Arial" w:hAnsi="Arial"/>
          <w:sz w:val="14"/>
          <w:szCs w:val="14"/>
          <w:color w:val="4B4B4B"/>
        </w:rPr>
        <w:t>e</w:t>
      </w:r>
      <w:r>
        <w:rPr>
          <w:rFonts w:ascii="Arial" w:cs="Arial" w:eastAsia="Arial" w:hAnsi="Arial"/>
          <w:sz w:val="14"/>
          <w:szCs w:val="14"/>
          <w:color w:val="5B5B5B"/>
        </w:rPr>
        <w:t>m</w:t>
      </w:r>
      <w:r>
        <w:rPr>
          <w:rFonts w:ascii="Arial" w:cs="Arial" w:eastAsia="Arial" w:hAnsi="Arial"/>
          <w:sz w:val="14"/>
          <w:szCs w:val="14"/>
          <w:color w:val="4B4B4B"/>
        </w:rPr>
        <w:t>ent i</w:t>
      </w:r>
      <w:r>
        <w:rPr>
          <w:rFonts w:ascii="Arial" w:cs="Arial" w:eastAsia="Arial" w:hAnsi="Arial"/>
          <w:sz w:val="14"/>
          <w:szCs w:val="14"/>
          <w:color w:val="5B5B5B"/>
        </w:rPr>
        <w:t>s c</w:t>
      </w:r>
      <w:r>
        <w:rPr>
          <w:rFonts w:ascii="Arial" w:cs="Arial" w:eastAsia="Arial" w:hAnsi="Arial"/>
          <w:sz w:val="14"/>
          <w:szCs w:val="14"/>
          <w:color w:val="4B4B4B"/>
        </w:rPr>
        <w:t>onti</w:t>
      </w:r>
      <w:r>
        <w:rPr>
          <w:rFonts w:ascii="Arial" w:cs="Arial" w:eastAsia="Arial" w:hAnsi="Arial"/>
          <w:sz w:val="14"/>
          <w:szCs w:val="14"/>
          <w:color w:val="5B5B5B"/>
        </w:rPr>
        <w:t>n</w:t>
      </w:r>
      <w:r>
        <w:rPr>
          <w:rFonts w:ascii="Arial" w:cs="Arial" w:eastAsia="Arial" w:hAnsi="Arial"/>
          <w:sz w:val="14"/>
          <w:szCs w:val="14"/>
          <w:color w:val="4B4B4B"/>
        </w:rPr>
        <w:t>gen</w:t>
      </w:r>
      <w:r>
        <w:rPr>
          <w:rFonts w:ascii="Arial" w:cs="Arial" w:eastAsia="Arial" w:hAnsi="Arial"/>
          <w:sz w:val="14"/>
          <w:szCs w:val="14"/>
          <w:color w:val="5B5B5B"/>
        </w:rPr>
        <w:t>t</w:t>
      </w:r>
      <w:r>
        <w:rPr>
          <w:rFonts w:ascii="Arial" w:cs="Arial" w:eastAsia="Arial" w:hAnsi="Arial"/>
          <w:sz w:val="14"/>
          <w:szCs w:val="14"/>
          <w:color w:val="4B4B4B"/>
        </w:rPr>
        <w:t xml:space="preserve"> up</w:t>
      </w:r>
      <w:r>
        <w:rPr>
          <w:rFonts w:ascii="Arial" w:cs="Arial" w:eastAsia="Arial" w:hAnsi="Arial"/>
          <w:sz w:val="14"/>
          <w:szCs w:val="14"/>
          <w:color w:val="5B5B5B"/>
        </w:rPr>
        <w:t>o</w:t>
      </w:r>
      <w:r>
        <w:rPr>
          <w:rFonts w:ascii="Arial" w:cs="Arial" w:eastAsia="Arial" w:hAnsi="Arial"/>
          <w:sz w:val="14"/>
          <w:szCs w:val="14"/>
          <w:color w:val="4B4B4B"/>
        </w:rPr>
        <w:t>n t</w:t>
      </w:r>
      <w:r>
        <w:rPr>
          <w:rFonts w:ascii="Arial" w:cs="Arial" w:eastAsia="Arial" w:hAnsi="Arial"/>
          <w:sz w:val="14"/>
          <w:szCs w:val="14"/>
          <w:color w:val="5B5B5B"/>
        </w:rPr>
        <w:t>h</w:t>
      </w:r>
      <w:r>
        <w:rPr>
          <w:rFonts w:ascii="Arial" w:cs="Arial" w:eastAsia="Arial" w:hAnsi="Arial"/>
          <w:sz w:val="14"/>
          <w:szCs w:val="14"/>
          <w:color w:val="4B4B4B"/>
        </w:rPr>
        <w:t>is Exten</w:t>
      </w:r>
      <w:r>
        <w:rPr>
          <w:rFonts w:ascii="Arial" w:cs="Arial" w:eastAsia="Arial" w:hAnsi="Arial"/>
          <w:sz w:val="14"/>
          <w:szCs w:val="14"/>
          <w:color w:val="5B5B5B"/>
        </w:rPr>
        <w:t>si</w:t>
      </w:r>
      <w:r>
        <w:rPr>
          <w:rFonts w:ascii="Arial" w:cs="Arial" w:eastAsia="Arial" w:hAnsi="Arial"/>
          <w:sz w:val="14"/>
          <w:szCs w:val="14"/>
          <w:color w:val="4B4B4B"/>
        </w:rPr>
        <w:t>on be</w:t>
      </w:r>
      <w:r>
        <w:rPr>
          <w:rFonts w:ascii="Arial" w:cs="Arial" w:eastAsia="Arial" w:hAnsi="Arial"/>
          <w:sz w:val="14"/>
          <w:szCs w:val="14"/>
          <w:color w:val="5B5B5B"/>
        </w:rPr>
        <w:t>i</w:t>
      </w:r>
      <w:r>
        <w:rPr>
          <w:rFonts w:ascii="Arial" w:cs="Arial" w:eastAsia="Arial" w:hAnsi="Arial"/>
          <w:sz w:val="14"/>
          <w:szCs w:val="14"/>
          <w:color w:val="4B4B4B"/>
        </w:rPr>
        <w:t>ng exe</w:t>
      </w:r>
      <w:r>
        <w:rPr>
          <w:rFonts w:ascii="Arial" w:cs="Arial" w:eastAsia="Arial" w:hAnsi="Arial"/>
          <w:sz w:val="14"/>
          <w:szCs w:val="14"/>
          <w:color w:val="5B5B5B"/>
        </w:rPr>
        <w:t>c</w:t>
      </w:r>
      <w:r>
        <w:rPr>
          <w:rFonts w:ascii="Arial" w:cs="Arial" w:eastAsia="Arial" w:hAnsi="Arial"/>
          <w:sz w:val="14"/>
          <w:szCs w:val="14"/>
          <w:color w:val="4B4B4B"/>
        </w:rPr>
        <w:t xml:space="preserve">uted by </w:t>
      </w:r>
      <w:r>
        <w:rPr>
          <w:rFonts w:ascii="Arial" w:cs="Arial" w:eastAsia="Arial" w:hAnsi="Arial"/>
          <w:sz w:val="14"/>
          <w:szCs w:val="14"/>
          <w:color w:val="5B5B5B"/>
        </w:rPr>
        <w:t>L</w:t>
      </w:r>
      <w:r>
        <w:rPr>
          <w:rFonts w:ascii="Arial" w:cs="Arial" w:eastAsia="Arial" w:hAnsi="Arial"/>
          <w:sz w:val="14"/>
          <w:szCs w:val="14"/>
          <w:color w:val="4B4B4B"/>
        </w:rPr>
        <w:t>ess</w:t>
      </w:r>
      <w:r>
        <w:rPr>
          <w:rFonts w:ascii="Arial" w:cs="Arial" w:eastAsia="Arial" w:hAnsi="Arial"/>
          <w:sz w:val="14"/>
          <w:szCs w:val="14"/>
          <w:color w:val="5B5B5B"/>
        </w:rPr>
        <w:t>ee</w:t>
      </w:r>
      <w:r>
        <w:rPr>
          <w:rFonts w:ascii="Arial" w:cs="Arial" w:eastAsia="Arial" w:hAnsi="Arial"/>
          <w:sz w:val="14"/>
          <w:szCs w:val="14"/>
          <w:color w:val="4B4B4B"/>
        </w:rPr>
        <w:t xml:space="preserve"> n</w:t>
      </w:r>
      <w:r>
        <w:rPr>
          <w:rFonts w:ascii="Arial" w:cs="Arial" w:eastAsia="Arial" w:hAnsi="Arial"/>
          <w:sz w:val="14"/>
          <w:szCs w:val="14"/>
          <w:color w:val="5B5B5B"/>
        </w:rPr>
        <w:t>o</w:t>
      </w:r>
      <w:r>
        <w:rPr>
          <w:rFonts w:ascii="Arial" w:cs="Arial" w:eastAsia="Arial" w:hAnsi="Arial"/>
          <w:sz w:val="14"/>
          <w:szCs w:val="14"/>
          <w:color w:val="4B4B4B"/>
        </w:rPr>
        <w:t xml:space="preserve"> late</w:t>
      </w:r>
      <w:r>
        <w:rPr>
          <w:rFonts w:ascii="Arial" w:cs="Arial" w:eastAsia="Arial" w:hAnsi="Arial"/>
          <w:sz w:val="14"/>
          <w:szCs w:val="14"/>
          <w:color w:val="5B5B5B"/>
        </w:rPr>
        <w:t>r th</w:t>
      </w:r>
      <w:r>
        <w:rPr>
          <w:rFonts w:ascii="Arial" w:cs="Arial" w:eastAsia="Arial" w:hAnsi="Arial"/>
          <w:sz w:val="14"/>
          <w:szCs w:val="14"/>
          <w:color w:val="4B4B4B"/>
        </w:rPr>
        <w:t>an Ma</w:t>
      </w:r>
      <w:r>
        <w:rPr>
          <w:rFonts w:ascii="Arial" w:cs="Arial" w:eastAsia="Arial" w:hAnsi="Arial"/>
          <w:sz w:val="14"/>
          <w:szCs w:val="14"/>
          <w:color w:val="5B5B5B"/>
        </w:rPr>
        <w:t>r</w:t>
      </w:r>
      <w:r>
        <w:rPr>
          <w:rFonts w:ascii="Arial" w:cs="Arial" w:eastAsia="Arial" w:hAnsi="Arial"/>
          <w:sz w:val="14"/>
          <w:szCs w:val="14"/>
          <w:color w:val="4B4B4B"/>
        </w:rPr>
        <w:t xml:space="preserve">ch </w:t>
      </w:r>
      <w:r>
        <w:rPr>
          <w:rFonts w:ascii="Arial" w:cs="Arial" w:eastAsia="Arial" w:hAnsi="Arial"/>
          <w:sz w:val="14"/>
          <w:szCs w:val="14"/>
          <w:color w:val="5B5B5B"/>
        </w:rPr>
        <w:t>6</w:t>
      </w:r>
      <w:r>
        <w:rPr>
          <w:rFonts w:ascii="Arial" w:cs="Arial" w:eastAsia="Arial" w:hAnsi="Arial"/>
          <w:sz w:val="14"/>
          <w:szCs w:val="14"/>
          <w:color w:val="878787"/>
        </w:rPr>
        <w:t>,</w:t>
      </w:r>
      <w:r>
        <w:rPr>
          <w:rFonts w:ascii="Arial" w:cs="Arial" w:eastAsia="Arial" w:hAnsi="Arial"/>
          <w:sz w:val="14"/>
          <w:szCs w:val="14"/>
          <w:color w:val="4B4B4B"/>
        </w:rPr>
        <w:t xml:space="preserve"> </w:t>
      </w:r>
      <w:r>
        <w:rPr>
          <w:rFonts w:ascii="Arial" w:cs="Arial" w:eastAsia="Arial" w:hAnsi="Arial"/>
          <w:sz w:val="14"/>
          <w:szCs w:val="14"/>
          <w:color w:val="5B5B5B"/>
        </w:rPr>
        <w:t>202</w:t>
      </w:r>
      <w:r>
        <w:rPr>
          <w:rFonts w:ascii="Arial" w:cs="Arial" w:eastAsia="Arial" w:hAnsi="Arial"/>
          <w:sz w:val="14"/>
          <w:szCs w:val="14"/>
          <w:color w:val="4B4B4B"/>
        </w:rPr>
        <w:t>0 at 4p</w:t>
      </w:r>
      <w:r>
        <w:rPr>
          <w:rFonts w:ascii="Arial" w:cs="Arial" w:eastAsia="Arial" w:hAnsi="Arial"/>
          <w:sz w:val="14"/>
          <w:szCs w:val="14"/>
          <w:color w:val="5B5B5B"/>
        </w:rPr>
        <w:t>m</w:t>
      </w:r>
      <w:r>
        <w:rPr>
          <w:rFonts w:ascii="Arial" w:cs="Arial" w:eastAsia="Arial" w:hAnsi="Arial"/>
          <w:sz w:val="14"/>
          <w:szCs w:val="14"/>
          <w:color w:val="4B4B4B"/>
        </w:rPr>
        <w:t xml:space="preserve"> PST</w:t>
      </w:r>
      <w:r>
        <w:rPr>
          <w:rFonts w:ascii="Arial" w:cs="Arial" w:eastAsia="Arial" w:hAnsi="Arial"/>
          <w:sz w:val="14"/>
          <w:szCs w:val="14"/>
          <w:color w:val="5B5B5B"/>
        </w:rPr>
        <w:t>. If</w:t>
      </w:r>
      <w:r>
        <w:rPr>
          <w:rFonts w:ascii="Arial" w:cs="Arial" w:eastAsia="Arial" w:hAnsi="Arial"/>
          <w:sz w:val="14"/>
          <w:szCs w:val="14"/>
          <w:color w:val="4B4B4B"/>
        </w:rPr>
        <w:t xml:space="preserve"> t</w:t>
      </w:r>
      <w:r>
        <w:rPr>
          <w:rFonts w:ascii="Arial" w:cs="Arial" w:eastAsia="Arial" w:hAnsi="Arial"/>
          <w:sz w:val="14"/>
          <w:szCs w:val="14"/>
          <w:color w:val="5B5B5B"/>
        </w:rPr>
        <w:t>h</w:t>
      </w:r>
      <w:r>
        <w:rPr>
          <w:rFonts w:ascii="Arial" w:cs="Arial" w:eastAsia="Arial" w:hAnsi="Arial"/>
          <w:sz w:val="14"/>
          <w:szCs w:val="14"/>
          <w:color w:val="4B4B4B"/>
        </w:rPr>
        <w:t xml:space="preserve">e </w:t>
      </w:r>
      <w:r>
        <w:rPr>
          <w:rFonts w:ascii="Arial" w:cs="Arial" w:eastAsia="Arial" w:hAnsi="Arial"/>
          <w:sz w:val="14"/>
          <w:szCs w:val="14"/>
          <w:color w:val="5B5B5B"/>
        </w:rPr>
        <w:t>Exte</w:t>
      </w:r>
      <w:r>
        <w:rPr>
          <w:rFonts w:ascii="Arial" w:cs="Arial" w:eastAsia="Arial" w:hAnsi="Arial"/>
          <w:sz w:val="14"/>
          <w:szCs w:val="14"/>
          <w:color w:val="4B4B4B"/>
        </w:rPr>
        <w:t>ns</w:t>
      </w:r>
      <w:r>
        <w:rPr>
          <w:rFonts w:ascii="Arial" w:cs="Arial" w:eastAsia="Arial" w:hAnsi="Arial"/>
          <w:sz w:val="14"/>
          <w:szCs w:val="14"/>
          <w:color w:val="5B5B5B"/>
        </w:rPr>
        <w:t>ion is ex</w:t>
      </w:r>
      <w:r>
        <w:rPr>
          <w:rFonts w:ascii="Arial" w:cs="Arial" w:eastAsia="Arial" w:hAnsi="Arial"/>
          <w:sz w:val="14"/>
          <w:szCs w:val="14"/>
          <w:color w:val="4B4B4B"/>
        </w:rPr>
        <w:t>e</w:t>
      </w:r>
      <w:r>
        <w:rPr>
          <w:rFonts w:ascii="Arial" w:cs="Arial" w:eastAsia="Arial" w:hAnsi="Arial"/>
          <w:sz w:val="14"/>
          <w:szCs w:val="14"/>
          <w:color w:val="5B5B5B"/>
        </w:rPr>
        <w:t>cu</w:t>
      </w:r>
      <w:r>
        <w:rPr>
          <w:rFonts w:ascii="Arial" w:cs="Arial" w:eastAsia="Arial" w:hAnsi="Arial"/>
          <w:sz w:val="14"/>
          <w:szCs w:val="14"/>
          <w:color w:val="4B4B4B"/>
        </w:rPr>
        <w:t>te</w:t>
      </w:r>
      <w:r>
        <w:rPr>
          <w:rFonts w:ascii="Arial" w:cs="Arial" w:eastAsia="Arial" w:hAnsi="Arial"/>
          <w:sz w:val="14"/>
          <w:szCs w:val="14"/>
          <w:color w:val="5B5B5B"/>
        </w:rPr>
        <w:t xml:space="preserve">d </w:t>
      </w:r>
      <w:r>
        <w:rPr>
          <w:rFonts w:ascii="Arial" w:cs="Arial" w:eastAsia="Arial" w:hAnsi="Arial"/>
          <w:sz w:val="14"/>
          <w:szCs w:val="14"/>
          <w:color w:val="4B4B4B"/>
        </w:rPr>
        <w:t>afte</w:t>
      </w:r>
      <w:r>
        <w:rPr>
          <w:rFonts w:ascii="Arial" w:cs="Arial" w:eastAsia="Arial" w:hAnsi="Arial"/>
          <w:sz w:val="14"/>
          <w:szCs w:val="14"/>
          <w:color w:val="5B5B5B"/>
        </w:rPr>
        <w:t xml:space="preserve">r </w:t>
      </w:r>
      <w:r>
        <w:rPr>
          <w:rFonts w:ascii="Arial" w:cs="Arial" w:eastAsia="Arial" w:hAnsi="Arial"/>
          <w:sz w:val="14"/>
          <w:szCs w:val="14"/>
          <w:color w:val="4B4B4B"/>
        </w:rPr>
        <w:t>th</w:t>
      </w:r>
      <w:r>
        <w:rPr>
          <w:rFonts w:ascii="Arial" w:cs="Arial" w:eastAsia="Arial" w:hAnsi="Arial"/>
          <w:sz w:val="14"/>
          <w:szCs w:val="14"/>
          <w:color w:val="5B5B5B"/>
        </w:rPr>
        <w:t>i</w:t>
      </w:r>
      <w:r>
        <w:rPr>
          <w:rFonts w:ascii="Arial" w:cs="Arial" w:eastAsia="Arial" w:hAnsi="Arial"/>
          <w:sz w:val="14"/>
          <w:szCs w:val="14"/>
          <w:color w:val="4B4B4B"/>
        </w:rPr>
        <w:t>s t</w:t>
      </w:r>
      <w:r>
        <w:rPr>
          <w:rFonts w:ascii="Arial" w:cs="Arial" w:eastAsia="Arial" w:hAnsi="Arial"/>
          <w:sz w:val="14"/>
          <w:szCs w:val="14"/>
          <w:color w:val="5B5B5B"/>
        </w:rPr>
        <w:t>i</w:t>
      </w:r>
      <w:r>
        <w:rPr>
          <w:rFonts w:ascii="Arial" w:cs="Arial" w:eastAsia="Arial" w:hAnsi="Arial"/>
          <w:sz w:val="14"/>
          <w:szCs w:val="14"/>
          <w:color w:val="4B4B4B"/>
        </w:rPr>
        <w:t>m</w:t>
      </w:r>
      <w:r>
        <w:rPr>
          <w:rFonts w:ascii="Arial" w:cs="Arial" w:eastAsia="Arial" w:hAnsi="Arial"/>
          <w:sz w:val="14"/>
          <w:szCs w:val="14"/>
          <w:color w:val="5B5B5B"/>
        </w:rPr>
        <w:t xml:space="preserve">e </w:t>
      </w:r>
      <w:r>
        <w:rPr>
          <w:rFonts w:ascii="Arial" w:cs="Arial" w:eastAsia="Arial" w:hAnsi="Arial"/>
          <w:sz w:val="14"/>
          <w:szCs w:val="14"/>
          <w:color w:val="4B4B4B"/>
        </w:rPr>
        <w:t>the abated</w:t>
      </w:r>
      <w:r>
        <w:rPr>
          <w:rFonts w:ascii="Arial" w:cs="Arial" w:eastAsia="Arial" w:hAnsi="Arial"/>
          <w:sz w:val="14"/>
          <w:szCs w:val="14"/>
          <w:color w:val="5B5B5B"/>
        </w:rPr>
        <w:t xml:space="preserve"> r</w:t>
      </w:r>
      <w:r>
        <w:rPr>
          <w:rFonts w:ascii="Arial" w:cs="Arial" w:eastAsia="Arial" w:hAnsi="Arial"/>
          <w:sz w:val="14"/>
          <w:szCs w:val="14"/>
          <w:color w:val="4B4B4B"/>
        </w:rPr>
        <w:t>ent shall be n</w:t>
      </w:r>
      <w:r>
        <w:rPr>
          <w:rFonts w:ascii="Arial" w:cs="Arial" w:eastAsia="Arial" w:hAnsi="Arial"/>
          <w:sz w:val="14"/>
          <w:szCs w:val="14"/>
          <w:color w:val="5B5B5B"/>
        </w:rPr>
        <w:t>i</w:t>
      </w:r>
      <w:r>
        <w:rPr>
          <w:rFonts w:ascii="Arial" w:cs="Arial" w:eastAsia="Arial" w:hAnsi="Arial"/>
          <w:sz w:val="14"/>
          <w:szCs w:val="14"/>
          <w:color w:val="4B4B4B"/>
        </w:rPr>
        <w:t>ne</w:t>
      </w:r>
      <w:r>
        <w:rPr>
          <w:rFonts w:ascii="Arial" w:cs="Arial" w:eastAsia="Arial" w:hAnsi="Arial"/>
          <w:sz w:val="14"/>
          <w:szCs w:val="14"/>
          <w:color w:val="5B5B5B"/>
        </w:rPr>
        <w:t xml:space="preserve"> (9</w:t>
      </w:r>
      <w:r>
        <w:rPr>
          <w:rFonts w:ascii="Arial" w:cs="Arial" w:eastAsia="Arial" w:hAnsi="Arial"/>
          <w:sz w:val="14"/>
          <w:szCs w:val="14"/>
          <w:color w:val="757575"/>
        </w:rPr>
        <w:t>)</w:t>
      </w:r>
      <w:r>
        <w:rPr>
          <w:rFonts w:ascii="Arial" w:cs="Arial" w:eastAsia="Arial" w:hAnsi="Arial"/>
          <w:sz w:val="14"/>
          <w:szCs w:val="14"/>
          <w:color w:val="5B5B5B"/>
        </w:rPr>
        <w:t xml:space="preserve"> m</w:t>
      </w:r>
      <w:r>
        <w:rPr>
          <w:rFonts w:ascii="Arial" w:cs="Arial" w:eastAsia="Arial" w:hAnsi="Arial"/>
          <w:sz w:val="14"/>
          <w:szCs w:val="14"/>
          <w:color w:val="4B4B4B"/>
        </w:rPr>
        <w:t>o</w:t>
      </w:r>
      <w:r>
        <w:rPr>
          <w:rFonts w:ascii="Arial" w:cs="Arial" w:eastAsia="Arial" w:hAnsi="Arial"/>
          <w:sz w:val="14"/>
          <w:szCs w:val="14"/>
          <w:color w:val="5B5B5B"/>
        </w:rPr>
        <w:t xml:space="preserve">nths </w:t>
      </w:r>
      <w:r>
        <w:rPr>
          <w:rFonts w:ascii="Arial" w:cs="Arial" w:eastAsia="Arial" w:hAnsi="Arial"/>
          <w:sz w:val="14"/>
          <w:szCs w:val="14"/>
          <w:color w:val="4B4B4B"/>
        </w:rPr>
        <w:t>a</w:t>
      </w:r>
      <w:r>
        <w:rPr>
          <w:rFonts w:ascii="Arial" w:cs="Arial" w:eastAsia="Arial" w:hAnsi="Arial"/>
          <w:sz w:val="14"/>
          <w:szCs w:val="14"/>
          <w:color w:val="5B5B5B"/>
        </w:rPr>
        <w:t xml:space="preserve">nd </w:t>
      </w:r>
      <w:r>
        <w:rPr>
          <w:rFonts w:ascii="Arial" w:cs="Arial" w:eastAsia="Arial" w:hAnsi="Arial"/>
          <w:sz w:val="14"/>
          <w:szCs w:val="14"/>
          <w:color w:val="4B4B4B"/>
        </w:rPr>
        <w:t>de</w:t>
      </w:r>
      <w:r>
        <w:rPr>
          <w:rFonts w:ascii="Arial" w:cs="Arial" w:eastAsia="Arial" w:hAnsi="Arial"/>
          <w:sz w:val="14"/>
          <w:szCs w:val="14"/>
          <w:color w:val="5B5B5B"/>
        </w:rPr>
        <w:t>c</w:t>
      </w:r>
      <w:r>
        <w:rPr>
          <w:rFonts w:ascii="Arial" w:cs="Arial" w:eastAsia="Arial" w:hAnsi="Arial"/>
          <w:sz w:val="14"/>
          <w:szCs w:val="14"/>
          <w:color w:val="4B4B4B"/>
        </w:rPr>
        <w:t>l</w:t>
      </w:r>
      <w:r>
        <w:rPr>
          <w:rFonts w:ascii="Arial" w:cs="Arial" w:eastAsia="Arial" w:hAnsi="Arial"/>
          <w:sz w:val="14"/>
          <w:szCs w:val="14"/>
          <w:color w:val="5B5B5B"/>
        </w:rPr>
        <w:t xml:space="preserve">ine </w:t>
      </w:r>
      <w:r>
        <w:rPr>
          <w:rFonts w:ascii="Arial" w:cs="Arial" w:eastAsia="Arial" w:hAnsi="Arial"/>
          <w:sz w:val="14"/>
          <w:szCs w:val="14"/>
          <w:color w:val="4B4B4B"/>
        </w:rPr>
        <w:t>a</w:t>
      </w:r>
      <w:r>
        <w:rPr>
          <w:rFonts w:ascii="Arial" w:cs="Arial" w:eastAsia="Arial" w:hAnsi="Arial"/>
          <w:sz w:val="14"/>
          <w:szCs w:val="14"/>
          <w:color w:val="5B5B5B"/>
        </w:rPr>
        <w:t xml:space="preserve">t a </w:t>
      </w:r>
      <w:r>
        <w:rPr>
          <w:rFonts w:ascii="Arial" w:cs="Arial" w:eastAsia="Arial" w:hAnsi="Arial"/>
          <w:sz w:val="14"/>
          <w:szCs w:val="14"/>
          <w:color w:val="4B4B4B"/>
        </w:rPr>
        <w:t>ra</w:t>
      </w:r>
      <w:r>
        <w:rPr>
          <w:rFonts w:ascii="Arial" w:cs="Arial" w:eastAsia="Arial" w:hAnsi="Arial"/>
          <w:sz w:val="14"/>
          <w:szCs w:val="14"/>
          <w:color w:val="5B5B5B"/>
        </w:rPr>
        <w:t>t</w:t>
      </w:r>
      <w:r>
        <w:rPr>
          <w:rFonts w:ascii="Arial" w:cs="Arial" w:eastAsia="Arial" w:hAnsi="Arial"/>
          <w:sz w:val="14"/>
          <w:szCs w:val="14"/>
          <w:color w:val="4B4B4B"/>
        </w:rPr>
        <w:t>e of</w:t>
      </w:r>
      <w:r>
        <w:rPr>
          <w:rFonts w:ascii="Arial" w:cs="Arial" w:eastAsia="Arial" w:hAnsi="Arial"/>
          <w:sz w:val="14"/>
          <w:szCs w:val="14"/>
          <w:color w:val="5B5B5B"/>
        </w:rPr>
        <w:t xml:space="preserve"> on</w:t>
      </w:r>
      <w:r>
        <w:rPr>
          <w:rFonts w:ascii="Arial" w:cs="Arial" w:eastAsia="Arial" w:hAnsi="Arial"/>
          <w:sz w:val="14"/>
          <w:szCs w:val="14"/>
          <w:color w:val="4B4B4B"/>
        </w:rPr>
        <w:t>e</w:t>
      </w:r>
      <w:r>
        <w:rPr>
          <w:rFonts w:ascii="Arial" w:cs="Arial" w:eastAsia="Arial" w:hAnsi="Arial"/>
          <w:sz w:val="14"/>
          <w:szCs w:val="14"/>
          <w:color w:val="5B5B5B"/>
        </w:rPr>
        <w:t xml:space="preserve"> (</w:t>
      </w:r>
      <w:r>
        <w:rPr>
          <w:rFonts w:ascii="Arial" w:cs="Arial" w:eastAsia="Arial" w:hAnsi="Arial"/>
          <w:sz w:val="14"/>
          <w:szCs w:val="14"/>
          <w:color w:val="4B4B4B"/>
        </w:rPr>
        <w:t>1</w:t>
      </w:r>
      <w:r>
        <w:rPr>
          <w:rFonts w:ascii="Arial" w:cs="Arial" w:eastAsia="Arial" w:hAnsi="Arial"/>
          <w:sz w:val="14"/>
          <w:szCs w:val="14"/>
          <w:color w:val="5B5B5B"/>
        </w:rPr>
        <w:t xml:space="preserve">) </w:t>
      </w:r>
      <w:r>
        <w:rPr>
          <w:rFonts w:ascii="Arial" w:cs="Arial" w:eastAsia="Arial" w:hAnsi="Arial"/>
          <w:sz w:val="14"/>
          <w:szCs w:val="14"/>
          <w:color w:val="4B4B4B"/>
        </w:rPr>
        <w:t>m</w:t>
      </w:r>
      <w:r>
        <w:rPr>
          <w:rFonts w:ascii="Arial" w:cs="Arial" w:eastAsia="Arial" w:hAnsi="Arial"/>
          <w:sz w:val="14"/>
          <w:szCs w:val="14"/>
          <w:color w:val="5B5B5B"/>
        </w:rPr>
        <w:t>o</w:t>
      </w:r>
      <w:r>
        <w:rPr>
          <w:rFonts w:ascii="Arial" w:cs="Arial" w:eastAsia="Arial" w:hAnsi="Arial"/>
          <w:sz w:val="14"/>
          <w:szCs w:val="14"/>
          <w:color w:val="4B4B4B"/>
        </w:rPr>
        <w:t>nth of rent abatemen</w:t>
      </w:r>
      <w:r>
        <w:rPr>
          <w:rFonts w:ascii="Arial" w:cs="Arial" w:eastAsia="Arial" w:hAnsi="Arial"/>
          <w:sz w:val="14"/>
          <w:szCs w:val="14"/>
          <w:color w:val="5B5B5B"/>
        </w:rPr>
        <w:t>t fo</w:t>
      </w:r>
      <w:r>
        <w:rPr>
          <w:rFonts w:ascii="Arial" w:cs="Arial" w:eastAsia="Arial" w:hAnsi="Arial"/>
          <w:sz w:val="14"/>
          <w:szCs w:val="14"/>
          <w:color w:val="4B4B4B"/>
        </w:rPr>
        <w:t>r ea</w:t>
      </w:r>
      <w:r>
        <w:rPr>
          <w:rFonts w:ascii="Arial" w:cs="Arial" w:eastAsia="Arial" w:hAnsi="Arial"/>
          <w:sz w:val="14"/>
          <w:szCs w:val="14"/>
          <w:color w:val="5B5B5B"/>
        </w:rPr>
        <w:t>c</w:t>
      </w:r>
      <w:r>
        <w:rPr>
          <w:rFonts w:ascii="Arial" w:cs="Arial" w:eastAsia="Arial" w:hAnsi="Arial"/>
          <w:sz w:val="14"/>
          <w:szCs w:val="14"/>
          <w:color w:val="4B4B4B"/>
        </w:rPr>
        <w:t>h one</w:t>
      </w:r>
      <w:r>
        <w:rPr>
          <w:rFonts w:ascii="Arial" w:cs="Arial" w:eastAsia="Arial" w:hAnsi="Arial"/>
          <w:sz w:val="14"/>
          <w:szCs w:val="14"/>
          <w:color w:val="5B5B5B"/>
        </w:rPr>
        <w:t xml:space="preserve"> (</w:t>
      </w:r>
      <w:r>
        <w:rPr>
          <w:rFonts w:ascii="Arial" w:cs="Arial" w:eastAsia="Arial" w:hAnsi="Arial"/>
          <w:sz w:val="14"/>
          <w:szCs w:val="14"/>
          <w:color w:val="4B4B4B"/>
        </w:rPr>
        <w:t>1</w:t>
      </w:r>
      <w:r>
        <w:rPr>
          <w:rFonts w:ascii="Arial" w:cs="Arial" w:eastAsia="Arial" w:hAnsi="Arial"/>
          <w:sz w:val="14"/>
          <w:szCs w:val="14"/>
          <w:color w:val="5B5B5B"/>
        </w:rPr>
        <w:t xml:space="preserve">) </w:t>
      </w:r>
      <w:r>
        <w:rPr>
          <w:rFonts w:ascii="Arial" w:cs="Arial" w:eastAsia="Arial" w:hAnsi="Arial"/>
          <w:sz w:val="14"/>
          <w:szCs w:val="14"/>
          <w:color w:val="4B4B4B"/>
        </w:rPr>
        <w:t>week d</w:t>
      </w:r>
      <w:r>
        <w:rPr>
          <w:rFonts w:ascii="Arial" w:cs="Arial" w:eastAsia="Arial" w:hAnsi="Arial"/>
          <w:sz w:val="14"/>
          <w:szCs w:val="14"/>
          <w:color w:val="5B5B5B"/>
        </w:rPr>
        <w:t>e</w:t>
      </w:r>
      <w:r>
        <w:rPr>
          <w:rFonts w:ascii="Arial" w:cs="Arial" w:eastAsia="Arial" w:hAnsi="Arial"/>
          <w:sz w:val="14"/>
          <w:szCs w:val="14"/>
          <w:color w:val="2F2F2F"/>
        </w:rPr>
        <w:t>l</w:t>
      </w:r>
      <w:r>
        <w:rPr>
          <w:rFonts w:ascii="Arial" w:cs="Arial" w:eastAsia="Arial" w:hAnsi="Arial"/>
          <w:sz w:val="14"/>
          <w:szCs w:val="14"/>
          <w:color w:val="5B5B5B"/>
        </w:rPr>
        <w:t>ay i</w:t>
      </w:r>
      <w:r>
        <w:rPr>
          <w:rFonts w:ascii="Arial" w:cs="Arial" w:eastAsia="Arial" w:hAnsi="Arial"/>
          <w:sz w:val="14"/>
          <w:szCs w:val="14"/>
          <w:color w:val="4B4B4B"/>
        </w:rPr>
        <w:t>n e</w:t>
      </w:r>
      <w:r>
        <w:rPr>
          <w:rFonts w:ascii="Arial" w:cs="Arial" w:eastAsia="Arial" w:hAnsi="Arial"/>
          <w:sz w:val="14"/>
          <w:szCs w:val="14"/>
          <w:color w:val="5B5B5B"/>
        </w:rPr>
        <w:t>x</w:t>
      </w:r>
      <w:r>
        <w:rPr>
          <w:rFonts w:ascii="Arial" w:cs="Arial" w:eastAsia="Arial" w:hAnsi="Arial"/>
          <w:sz w:val="14"/>
          <w:szCs w:val="14"/>
          <w:color w:val="4B4B4B"/>
        </w:rPr>
        <w:t>e</w:t>
      </w:r>
      <w:r>
        <w:rPr>
          <w:rFonts w:ascii="Arial" w:cs="Arial" w:eastAsia="Arial" w:hAnsi="Arial"/>
          <w:sz w:val="14"/>
          <w:szCs w:val="14"/>
          <w:color w:val="5B5B5B"/>
        </w:rPr>
        <w:t>cutin</w:t>
      </w:r>
      <w:r>
        <w:rPr>
          <w:rFonts w:ascii="Arial" w:cs="Arial" w:eastAsia="Arial" w:hAnsi="Arial"/>
          <w:sz w:val="14"/>
          <w:szCs w:val="14"/>
          <w:color w:val="4B4B4B"/>
        </w:rPr>
        <w:t>g t</w:t>
      </w:r>
      <w:r>
        <w:rPr>
          <w:rFonts w:ascii="Arial" w:cs="Arial" w:eastAsia="Arial" w:hAnsi="Arial"/>
          <w:sz w:val="14"/>
          <w:szCs w:val="14"/>
          <w:color w:val="5B5B5B"/>
        </w:rPr>
        <w:t>h</w:t>
      </w:r>
      <w:r>
        <w:rPr>
          <w:rFonts w:ascii="Arial" w:cs="Arial" w:eastAsia="Arial" w:hAnsi="Arial"/>
          <w:sz w:val="14"/>
          <w:szCs w:val="14"/>
          <w:color w:val="4B4B4B"/>
        </w:rPr>
        <w:t xml:space="preserve">e </w:t>
      </w:r>
      <w:r>
        <w:rPr>
          <w:rFonts w:ascii="Arial" w:cs="Arial" w:eastAsia="Arial" w:hAnsi="Arial"/>
          <w:sz w:val="14"/>
          <w:szCs w:val="14"/>
          <w:color w:val="5B5B5B"/>
        </w:rPr>
        <w:t>Ext</w:t>
      </w:r>
      <w:r>
        <w:rPr>
          <w:rFonts w:ascii="Arial" w:cs="Arial" w:eastAsia="Arial" w:hAnsi="Arial"/>
          <w:sz w:val="14"/>
          <w:szCs w:val="14"/>
          <w:color w:val="4B4B4B"/>
        </w:rPr>
        <w:t>e</w:t>
      </w:r>
      <w:r>
        <w:rPr>
          <w:rFonts w:ascii="Arial" w:cs="Arial" w:eastAsia="Arial" w:hAnsi="Arial"/>
          <w:sz w:val="14"/>
          <w:szCs w:val="14"/>
          <w:color w:val="5B5B5B"/>
        </w:rPr>
        <w:t>n</w:t>
      </w:r>
      <w:r>
        <w:rPr>
          <w:rFonts w:ascii="Arial" w:cs="Arial" w:eastAsia="Arial" w:hAnsi="Arial"/>
          <w:sz w:val="14"/>
          <w:szCs w:val="14"/>
          <w:color w:val="4B4B4B"/>
        </w:rPr>
        <w:t>s</w:t>
      </w:r>
      <w:r>
        <w:rPr>
          <w:rFonts w:ascii="Arial" w:cs="Arial" w:eastAsia="Arial" w:hAnsi="Arial"/>
          <w:sz w:val="14"/>
          <w:szCs w:val="14"/>
          <w:color w:val="5B5B5B"/>
        </w:rPr>
        <w:t>ion</w:t>
      </w:r>
      <w:r>
        <w:rPr>
          <w:rFonts w:ascii="Arial" w:cs="Arial" w:eastAsia="Arial" w:hAnsi="Arial"/>
          <w:sz w:val="14"/>
          <w:szCs w:val="14"/>
          <w:color w:val="757575"/>
        </w:rPr>
        <w:t>.</w:t>
      </w:r>
    </w:p>
    <w:p>
      <w:pPr>
        <w:spacing w:after="0" w:line="177" w:lineRule="exact"/>
        <w:rPr>
          <w:rFonts w:ascii="Arial" w:cs="Arial" w:eastAsia="Arial" w:hAnsi="Arial"/>
          <w:sz w:val="14"/>
          <w:szCs w:val="14"/>
          <w:color w:val="757575"/>
        </w:rPr>
      </w:pPr>
    </w:p>
    <w:p>
      <w:pPr>
        <w:ind w:left="660" w:right="220" w:hanging="321"/>
        <w:spacing w:after="0" w:line="285" w:lineRule="auto"/>
        <w:tabs>
          <w:tab w:leader="none" w:pos="658" w:val="left"/>
        </w:tabs>
        <w:numPr>
          <w:ilvl w:val="0"/>
          <w:numId w:val="49"/>
        </w:numPr>
        <w:rPr>
          <w:rFonts w:ascii="Arial" w:cs="Arial" w:eastAsia="Arial" w:hAnsi="Arial"/>
          <w:sz w:val="14"/>
          <w:szCs w:val="14"/>
          <w:color w:val="757575"/>
        </w:rPr>
      </w:pPr>
      <w:r>
        <w:rPr>
          <w:rFonts w:ascii="Arial" w:cs="Arial" w:eastAsia="Arial" w:hAnsi="Arial"/>
          <w:sz w:val="14"/>
          <w:szCs w:val="14"/>
          <w:b w:val="1"/>
          <w:bCs w:val="1"/>
          <w:color w:val="2F2F2F"/>
        </w:rPr>
        <w:t>Signag</w:t>
      </w:r>
      <w:r>
        <w:rPr>
          <w:rFonts w:ascii="Arial" w:cs="Arial" w:eastAsia="Arial" w:hAnsi="Arial"/>
          <w:sz w:val="14"/>
          <w:szCs w:val="14"/>
          <w:b w:val="1"/>
          <w:bCs w:val="1"/>
          <w:color w:val="4B4B4B"/>
        </w:rPr>
        <w:t>e</w:t>
      </w:r>
      <w:r>
        <w:rPr>
          <w:rFonts w:ascii="Arial" w:cs="Arial" w:eastAsia="Arial" w:hAnsi="Arial"/>
          <w:sz w:val="14"/>
          <w:szCs w:val="14"/>
          <w:b w:val="1"/>
          <w:bCs w:val="1"/>
          <w:color w:val="2F2F2F"/>
        </w:rPr>
        <w:t xml:space="preserve">. </w:t>
      </w:r>
      <w:r>
        <w:rPr>
          <w:rFonts w:ascii="Arial" w:cs="Arial" w:eastAsia="Arial" w:hAnsi="Arial"/>
          <w:sz w:val="14"/>
          <w:szCs w:val="14"/>
          <w:color w:val="4B4B4B"/>
        </w:rPr>
        <w:t>L</w:t>
      </w:r>
      <w:r>
        <w:rPr>
          <w:rFonts w:ascii="Arial" w:cs="Arial" w:eastAsia="Arial" w:hAnsi="Arial"/>
          <w:sz w:val="14"/>
          <w:szCs w:val="14"/>
          <w:color w:val="5B5B5B"/>
        </w:rPr>
        <w:t>ess</w:t>
      </w:r>
      <w:r>
        <w:rPr>
          <w:rFonts w:ascii="Arial" w:cs="Arial" w:eastAsia="Arial" w:hAnsi="Arial"/>
          <w:sz w:val="14"/>
          <w:szCs w:val="14"/>
          <w:color w:val="4B4B4B"/>
        </w:rPr>
        <w:t>ee</w:t>
      </w:r>
      <w:r>
        <w:rPr>
          <w:rFonts w:ascii="Arial" w:cs="Arial" w:eastAsia="Arial" w:hAnsi="Arial"/>
          <w:sz w:val="14"/>
          <w:szCs w:val="14"/>
          <w:b w:val="1"/>
          <w:bCs w:val="1"/>
          <w:color w:val="2F2F2F"/>
        </w:rPr>
        <w:t xml:space="preserve"> </w:t>
      </w:r>
      <w:r>
        <w:rPr>
          <w:rFonts w:ascii="Arial" w:cs="Arial" w:eastAsia="Arial" w:hAnsi="Arial"/>
          <w:sz w:val="14"/>
          <w:szCs w:val="14"/>
          <w:color w:val="5B5B5B"/>
        </w:rPr>
        <w:t>wi</w:t>
      </w:r>
      <w:r>
        <w:rPr>
          <w:rFonts w:ascii="Arial" w:cs="Arial" w:eastAsia="Arial" w:hAnsi="Arial"/>
          <w:sz w:val="14"/>
          <w:szCs w:val="14"/>
          <w:color w:val="4B4B4B"/>
        </w:rPr>
        <w:t>ll b</w:t>
      </w:r>
      <w:r>
        <w:rPr>
          <w:rFonts w:ascii="Arial" w:cs="Arial" w:eastAsia="Arial" w:hAnsi="Arial"/>
          <w:sz w:val="14"/>
          <w:szCs w:val="14"/>
          <w:color w:val="5B5B5B"/>
        </w:rPr>
        <w:t>e</w:t>
      </w:r>
      <w:r>
        <w:rPr>
          <w:rFonts w:ascii="Arial" w:cs="Arial" w:eastAsia="Arial" w:hAnsi="Arial"/>
          <w:sz w:val="14"/>
          <w:szCs w:val="14"/>
          <w:b w:val="1"/>
          <w:bCs w:val="1"/>
          <w:color w:val="2F2F2F"/>
        </w:rPr>
        <w:t xml:space="preserve"> </w:t>
      </w:r>
      <w:r>
        <w:rPr>
          <w:rFonts w:ascii="Arial" w:cs="Arial" w:eastAsia="Arial" w:hAnsi="Arial"/>
          <w:sz w:val="14"/>
          <w:szCs w:val="14"/>
          <w:color w:val="4B4B4B"/>
        </w:rPr>
        <w:t>per</w:t>
      </w:r>
      <w:r>
        <w:rPr>
          <w:rFonts w:ascii="Arial" w:cs="Arial" w:eastAsia="Arial" w:hAnsi="Arial"/>
          <w:sz w:val="14"/>
          <w:szCs w:val="14"/>
          <w:color w:val="5B5B5B"/>
        </w:rPr>
        <w:t>mi</w:t>
      </w:r>
      <w:r>
        <w:rPr>
          <w:rFonts w:ascii="Arial" w:cs="Arial" w:eastAsia="Arial" w:hAnsi="Arial"/>
          <w:sz w:val="14"/>
          <w:szCs w:val="14"/>
          <w:color w:val="4B4B4B"/>
        </w:rPr>
        <w:t>tt</w:t>
      </w:r>
      <w:r>
        <w:rPr>
          <w:rFonts w:ascii="Arial" w:cs="Arial" w:eastAsia="Arial" w:hAnsi="Arial"/>
          <w:sz w:val="14"/>
          <w:szCs w:val="14"/>
          <w:color w:val="5B5B5B"/>
        </w:rPr>
        <w:t>e</w:t>
      </w:r>
      <w:r>
        <w:rPr>
          <w:rFonts w:ascii="Arial" w:cs="Arial" w:eastAsia="Arial" w:hAnsi="Arial"/>
          <w:sz w:val="14"/>
          <w:szCs w:val="14"/>
          <w:color w:val="4B4B4B"/>
        </w:rPr>
        <w:t>d</w:t>
      </w:r>
      <w:r>
        <w:rPr>
          <w:rFonts w:ascii="Arial" w:cs="Arial" w:eastAsia="Arial" w:hAnsi="Arial"/>
          <w:sz w:val="14"/>
          <w:szCs w:val="14"/>
          <w:b w:val="1"/>
          <w:bCs w:val="1"/>
          <w:color w:val="2F2F2F"/>
        </w:rPr>
        <w:t xml:space="preserve"> </w:t>
      </w:r>
      <w:r>
        <w:rPr>
          <w:rFonts w:ascii="Arial" w:cs="Arial" w:eastAsia="Arial" w:hAnsi="Arial"/>
          <w:sz w:val="14"/>
          <w:szCs w:val="14"/>
          <w:color w:val="5B5B5B"/>
        </w:rPr>
        <w:t>to i</w:t>
      </w:r>
      <w:r>
        <w:rPr>
          <w:rFonts w:ascii="Arial" w:cs="Arial" w:eastAsia="Arial" w:hAnsi="Arial"/>
          <w:sz w:val="14"/>
          <w:szCs w:val="14"/>
          <w:color w:val="4B4B4B"/>
        </w:rPr>
        <w:t>n</w:t>
      </w:r>
      <w:r>
        <w:rPr>
          <w:rFonts w:ascii="Arial" w:cs="Arial" w:eastAsia="Arial" w:hAnsi="Arial"/>
          <w:sz w:val="14"/>
          <w:szCs w:val="14"/>
          <w:color w:val="5B5B5B"/>
        </w:rPr>
        <w:t>s</w:t>
      </w:r>
      <w:r>
        <w:rPr>
          <w:rFonts w:ascii="Arial" w:cs="Arial" w:eastAsia="Arial" w:hAnsi="Arial"/>
          <w:sz w:val="14"/>
          <w:szCs w:val="14"/>
          <w:color w:val="4B4B4B"/>
        </w:rPr>
        <w:t>t</w:t>
      </w:r>
      <w:r>
        <w:rPr>
          <w:rFonts w:ascii="Arial" w:cs="Arial" w:eastAsia="Arial" w:hAnsi="Arial"/>
          <w:sz w:val="14"/>
          <w:szCs w:val="14"/>
          <w:color w:val="5B5B5B"/>
        </w:rPr>
        <w:t>a</w:t>
      </w:r>
      <w:r>
        <w:rPr>
          <w:rFonts w:ascii="Arial" w:cs="Arial" w:eastAsia="Arial" w:hAnsi="Arial"/>
          <w:sz w:val="14"/>
          <w:szCs w:val="14"/>
          <w:color w:val="4B4B4B"/>
        </w:rPr>
        <w:t>ll</w:t>
      </w:r>
      <w:r>
        <w:rPr>
          <w:rFonts w:ascii="Arial" w:cs="Arial" w:eastAsia="Arial" w:hAnsi="Arial"/>
          <w:sz w:val="14"/>
          <w:szCs w:val="14"/>
          <w:b w:val="1"/>
          <w:bCs w:val="1"/>
          <w:color w:val="2F2F2F"/>
        </w:rPr>
        <w:t xml:space="preserve"> </w:t>
      </w:r>
      <w:r>
        <w:rPr>
          <w:rFonts w:ascii="Arial" w:cs="Arial" w:eastAsia="Arial" w:hAnsi="Arial"/>
          <w:sz w:val="14"/>
          <w:szCs w:val="14"/>
          <w:color w:val="5B5B5B"/>
        </w:rPr>
        <w:t>re</w:t>
      </w:r>
      <w:r>
        <w:rPr>
          <w:rFonts w:ascii="Arial" w:cs="Arial" w:eastAsia="Arial" w:hAnsi="Arial"/>
          <w:sz w:val="14"/>
          <w:szCs w:val="14"/>
          <w:color w:val="4B4B4B"/>
        </w:rPr>
        <w:t>a</w:t>
      </w:r>
      <w:r>
        <w:rPr>
          <w:rFonts w:ascii="Arial" w:cs="Arial" w:eastAsia="Arial" w:hAnsi="Arial"/>
          <w:sz w:val="14"/>
          <w:szCs w:val="14"/>
          <w:color w:val="5B5B5B"/>
        </w:rPr>
        <w:t>son</w:t>
      </w:r>
      <w:r>
        <w:rPr>
          <w:rFonts w:ascii="Arial" w:cs="Arial" w:eastAsia="Arial" w:hAnsi="Arial"/>
          <w:sz w:val="14"/>
          <w:szCs w:val="14"/>
          <w:color w:val="4B4B4B"/>
        </w:rPr>
        <w:t>abl</w:t>
      </w:r>
      <w:r>
        <w:rPr>
          <w:rFonts w:ascii="Arial" w:cs="Arial" w:eastAsia="Arial" w:hAnsi="Arial"/>
          <w:sz w:val="14"/>
          <w:szCs w:val="14"/>
          <w:color w:val="5B5B5B"/>
        </w:rPr>
        <w:t>e</w:t>
      </w:r>
      <w:r>
        <w:rPr>
          <w:rFonts w:ascii="Arial" w:cs="Arial" w:eastAsia="Arial" w:hAnsi="Arial"/>
          <w:sz w:val="14"/>
          <w:szCs w:val="14"/>
          <w:b w:val="1"/>
          <w:bCs w:val="1"/>
          <w:color w:val="2F2F2F"/>
        </w:rPr>
        <w:t xml:space="preserve"> </w:t>
      </w:r>
      <w:r>
        <w:rPr>
          <w:rFonts w:ascii="Arial" w:cs="Arial" w:eastAsia="Arial" w:hAnsi="Arial"/>
          <w:sz w:val="14"/>
          <w:szCs w:val="14"/>
          <w:color w:val="4B4B4B"/>
        </w:rPr>
        <w:t>and appr</w:t>
      </w:r>
      <w:r>
        <w:rPr>
          <w:rFonts w:ascii="Arial" w:cs="Arial" w:eastAsia="Arial" w:hAnsi="Arial"/>
          <w:sz w:val="14"/>
          <w:szCs w:val="14"/>
          <w:color w:val="5B5B5B"/>
        </w:rPr>
        <w:t>o</w:t>
      </w:r>
      <w:r>
        <w:rPr>
          <w:rFonts w:ascii="Arial" w:cs="Arial" w:eastAsia="Arial" w:hAnsi="Arial"/>
          <w:sz w:val="14"/>
          <w:szCs w:val="14"/>
          <w:color w:val="4B4B4B"/>
        </w:rPr>
        <w:t>p</w:t>
      </w:r>
      <w:r>
        <w:rPr>
          <w:rFonts w:ascii="Arial" w:cs="Arial" w:eastAsia="Arial" w:hAnsi="Arial"/>
          <w:sz w:val="14"/>
          <w:szCs w:val="14"/>
          <w:color w:val="5B5B5B"/>
        </w:rPr>
        <w:t>riat</w:t>
      </w:r>
      <w:r>
        <w:rPr>
          <w:rFonts w:ascii="Arial" w:cs="Arial" w:eastAsia="Arial" w:hAnsi="Arial"/>
          <w:sz w:val="14"/>
          <w:szCs w:val="14"/>
          <w:color w:val="4B4B4B"/>
        </w:rPr>
        <w:t>e</w:t>
      </w:r>
      <w:r>
        <w:rPr>
          <w:rFonts w:ascii="Arial" w:cs="Arial" w:eastAsia="Arial" w:hAnsi="Arial"/>
          <w:sz w:val="14"/>
          <w:szCs w:val="14"/>
          <w:b w:val="1"/>
          <w:bCs w:val="1"/>
          <w:color w:val="2F2F2F"/>
        </w:rPr>
        <w:t xml:space="preserve"> </w:t>
      </w:r>
      <w:r>
        <w:rPr>
          <w:rFonts w:ascii="Arial" w:cs="Arial" w:eastAsia="Arial" w:hAnsi="Arial"/>
          <w:sz w:val="14"/>
          <w:szCs w:val="14"/>
          <w:color w:val="5B5B5B"/>
        </w:rPr>
        <w:t>si</w:t>
      </w:r>
      <w:r>
        <w:rPr>
          <w:rFonts w:ascii="Arial" w:cs="Arial" w:eastAsia="Arial" w:hAnsi="Arial"/>
          <w:sz w:val="14"/>
          <w:szCs w:val="14"/>
          <w:color w:val="4B4B4B"/>
        </w:rPr>
        <w:t>gn</w:t>
      </w:r>
      <w:r>
        <w:rPr>
          <w:rFonts w:ascii="Arial" w:cs="Arial" w:eastAsia="Arial" w:hAnsi="Arial"/>
          <w:sz w:val="14"/>
          <w:szCs w:val="14"/>
          <w:color w:val="5B5B5B"/>
        </w:rPr>
        <w:t>a</w:t>
      </w:r>
      <w:r>
        <w:rPr>
          <w:rFonts w:ascii="Arial" w:cs="Arial" w:eastAsia="Arial" w:hAnsi="Arial"/>
          <w:sz w:val="14"/>
          <w:szCs w:val="14"/>
          <w:color w:val="4B4B4B"/>
        </w:rPr>
        <w:t>g</w:t>
      </w:r>
      <w:r>
        <w:rPr>
          <w:rFonts w:ascii="Arial" w:cs="Arial" w:eastAsia="Arial" w:hAnsi="Arial"/>
          <w:sz w:val="14"/>
          <w:szCs w:val="14"/>
          <w:color w:val="5B5B5B"/>
        </w:rPr>
        <w:t>e</w:t>
      </w:r>
      <w:r>
        <w:rPr>
          <w:rFonts w:ascii="Arial" w:cs="Arial" w:eastAsia="Arial" w:hAnsi="Arial"/>
          <w:sz w:val="14"/>
          <w:szCs w:val="14"/>
          <w:color w:val="878787"/>
        </w:rPr>
        <w:t>,</w:t>
      </w:r>
      <w:r>
        <w:rPr>
          <w:rFonts w:ascii="Arial" w:cs="Arial" w:eastAsia="Arial" w:hAnsi="Arial"/>
          <w:sz w:val="14"/>
          <w:szCs w:val="14"/>
          <w:b w:val="1"/>
          <w:bCs w:val="1"/>
          <w:color w:val="2F2F2F"/>
        </w:rPr>
        <w:t xml:space="preserve"> </w:t>
      </w:r>
      <w:r>
        <w:rPr>
          <w:rFonts w:ascii="Arial" w:cs="Arial" w:eastAsia="Arial" w:hAnsi="Arial"/>
          <w:sz w:val="14"/>
          <w:szCs w:val="14"/>
          <w:color w:val="5B5B5B"/>
        </w:rPr>
        <w:t>su</w:t>
      </w:r>
      <w:r>
        <w:rPr>
          <w:rFonts w:ascii="Arial" w:cs="Arial" w:eastAsia="Arial" w:hAnsi="Arial"/>
          <w:sz w:val="14"/>
          <w:szCs w:val="14"/>
          <w:color w:val="4B4B4B"/>
        </w:rPr>
        <w:t>b</w:t>
      </w:r>
      <w:r>
        <w:rPr>
          <w:rFonts w:ascii="Arial" w:cs="Arial" w:eastAsia="Arial" w:hAnsi="Arial"/>
          <w:sz w:val="14"/>
          <w:szCs w:val="14"/>
          <w:color w:val="5B5B5B"/>
        </w:rPr>
        <w:t>ject to ap</w:t>
      </w:r>
      <w:r>
        <w:rPr>
          <w:rFonts w:ascii="Arial" w:cs="Arial" w:eastAsia="Arial" w:hAnsi="Arial"/>
          <w:sz w:val="14"/>
          <w:szCs w:val="14"/>
          <w:color w:val="4B4B4B"/>
        </w:rPr>
        <w:t>pl</w:t>
      </w:r>
      <w:r>
        <w:rPr>
          <w:rFonts w:ascii="Arial" w:cs="Arial" w:eastAsia="Arial" w:hAnsi="Arial"/>
          <w:sz w:val="14"/>
          <w:szCs w:val="14"/>
          <w:color w:val="5B5B5B"/>
        </w:rPr>
        <w:t>ic</w:t>
      </w:r>
      <w:r>
        <w:rPr>
          <w:rFonts w:ascii="Arial" w:cs="Arial" w:eastAsia="Arial" w:hAnsi="Arial"/>
          <w:sz w:val="14"/>
          <w:szCs w:val="14"/>
          <w:color w:val="4B4B4B"/>
        </w:rPr>
        <w:t>ab</w:t>
      </w:r>
      <w:r>
        <w:rPr>
          <w:rFonts w:ascii="Arial" w:cs="Arial" w:eastAsia="Arial" w:hAnsi="Arial"/>
          <w:sz w:val="14"/>
          <w:szCs w:val="14"/>
          <w:color w:val="5B5B5B"/>
        </w:rPr>
        <w:t>le</w:t>
      </w:r>
      <w:r>
        <w:rPr>
          <w:rFonts w:ascii="Arial" w:cs="Arial" w:eastAsia="Arial" w:hAnsi="Arial"/>
          <w:sz w:val="14"/>
          <w:szCs w:val="14"/>
          <w:b w:val="1"/>
          <w:bCs w:val="1"/>
          <w:color w:val="2F2F2F"/>
        </w:rPr>
        <w:t xml:space="preserve"> </w:t>
      </w:r>
      <w:r>
        <w:rPr>
          <w:rFonts w:ascii="Arial" w:cs="Arial" w:eastAsia="Arial" w:hAnsi="Arial"/>
          <w:sz w:val="14"/>
          <w:szCs w:val="14"/>
          <w:color w:val="4B4B4B"/>
        </w:rPr>
        <w:t>l</w:t>
      </w:r>
      <w:r>
        <w:rPr>
          <w:rFonts w:ascii="Arial" w:cs="Arial" w:eastAsia="Arial" w:hAnsi="Arial"/>
          <w:sz w:val="14"/>
          <w:szCs w:val="14"/>
          <w:color w:val="5B5B5B"/>
        </w:rPr>
        <w:t>aws</w:t>
      </w:r>
      <w:r>
        <w:rPr>
          <w:rFonts w:ascii="Arial" w:cs="Arial" w:eastAsia="Arial" w:hAnsi="Arial"/>
          <w:sz w:val="14"/>
          <w:szCs w:val="14"/>
          <w:b w:val="1"/>
          <w:bCs w:val="1"/>
          <w:color w:val="2F2F2F"/>
        </w:rPr>
        <w:t xml:space="preserve"> </w:t>
      </w:r>
      <w:r>
        <w:rPr>
          <w:rFonts w:ascii="Arial" w:cs="Arial" w:eastAsia="Arial" w:hAnsi="Arial"/>
          <w:sz w:val="14"/>
          <w:szCs w:val="14"/>
          <w:color w:val="4B4B4B"/>
        </w:rPr>
        <w:t>a</w:t>
      </w:r>
      <w:r>
        <w:rPr>
          <w:rFonts w:ascii="Arial" w:cs="Arial" w:eastAsia="Arial" w:hAnsi="Arial"/>
          <w:sz w:val="14"/>
          <w:szCs w:val="14"/>
          <w:color w:val="5B5B5B"/>
        </w:rPr>
        <w:t>n</w:t>
      </w:r>
      <w:r>
        <w:rPr>
          <w:rFonts w:ascii="Arial" w:cs="Arial" w:eastAsia="Arial" w:hAnsi="Arial"/>
          <w:sz w:val="14"/>
          <w:szCs w:val="14"/>
          <w:color w:val="4B4B4B"/>
        </w:rPr>
        <w:t>d</w:t>
      </w:r>
      <w:r>
        <w:rPr>
          <w:rFonts w:ascii="Arial" w:cs="Arial" w:eastAsia="Arial" w:hAnsi="Arial"/>
          <w:sz w:val="14"/>
          <w:szCs w:val="14"/>
          <w:b w:val="1"/>
          <w:bCs w:val="1"/>
          <w:color w:val="2F2F2F"/>
        </w:rPr>
        <w:t xml:space="preserve"> </w:t>
      </w:r>
      <w:r>
        <w:rPr>
          <w:rFonts w:ascii="Arial" w:cs="Arial" w:eastAsia="Arial" w:hAnsi="Arial"/>
          <w:sz w:val="14"/>
          <w:szCs w:val="14"/>
          <w:color w:val="5B5B5B"/>
        </w:rPr>
        <w:t>re</w:t>
      </w:r>
      <w:r>
        <w:rPr>
          <w:rFonts w:ascii="Arial" w:cs="Arial" w:eastAsia="Arial" w:hAnsi="Arial"/>
          <w:sz w:val="14"/>
          <w:szCs w:val="14"/>
          <w:color w:val="4B4B4B"/>
        </w:rPr>
        <w:t>g</w:t>
      </w:r>
      <w:r>
        <w:rPr>
          <w:rFonts w:ascii="Arial" w:cs="Arial" w:eastAsia="Arial" w:hAnsi="Arial"/>
          <w:sz w:val="14"/>
          <w:szCs w:val="14"/>
          <w:color w:val="5B5B5B"/>
        </w:rPr>
        <w:t>u</w:t>
      </w:r>
      <w:r>
        <w:rPr>
          <w:rFonts w:ascii="Arial" w:cs="Arial" w:eastAsia="Arial" w:hAnsi="Arial"/>
          <w:sz w:val="14"/>
          <w:szCs w:val="14"/>
          <w:color w:val="4B4B4B"/>
        </w:rPr>
        <w:t>l</w:t>
      </w:r>
      <w:r>
        <w:rPr>
          <w:rFonts w:ascii="Arial" w:cs="Arial" w:eastAsia="Arial" w:hAnsi="Arial"/>
          <w:sz w:val="14"/>
          <w:szCs w:val="14"/>
          <w:color w:val="5B5B5B"/>
        </w:rPr>
        <w:t>a</w:t>
      </w:r>
      <w:r>
        <w:rPr>
          <w:rFonts w:ascii="Arial" w:cs="Arial" w:eastAsia="Arial" w:hAnsi="Arial"/>
          <w:sz w:val="14"/>
          <w:szCs w:val="14"/>
          <w:color w:val="4B4B4B"/>
        </w:rPr>
        <w:t>t</w:t>
      </w:r>
      <w:r>
        <w:rPr>
          <w:rFonts w:ascii="Arial" w:cs="Arial" w:eastAsia="Arial" w:hAnsi="Arial"/>
          <w:sz w:val="14"/>
          <w:szCs w:val="14"/>
          <w:color w:val="5B5B5B"/>
        </w:rPr>
        <w:t>i</w:t>
      </w:r>
      <w:r>
        <w:rPr>
          <w:rFonts w:ascii="Arial" w:cs="Arial" w:eastAsia="Arial" w:hAnsi="Arial"/>
          <w:sz w:val="14"/>
          <w:szCs w:val="14"/>
          <w:color w:val="4B4B4B"/>
        </w:rPr>
        <w:t>o</w:t>
      </w:r>
      <w:r>
        <w:rPr>
          <w:rFonts w:ascii="Arial" w:cs="Arial" w:eastAsia="Arial" w:hAnsi="Arial"/>
          <w:sz w:val="14"/>
          <w:szCs w:val="14"/>
          <w:color w:val="5B5B5B"/>
        </w:rPr>
        <w:t>n</w:t>
      </w:r>
      <w:r>
        <w:rPr>
          <w:rFonts w:ascii="Arial" w:cs="Arial" w:eastAsia="Arial" w:hAnsi="Arial"/>
          <w:sz w:val="14"/>
          <w:szCs w:val="14"/>
          <w:color w:val="4B4B4B"/>
        </w:rPr>
        <w:t>s a</w:t>
      </w:r>
      <w:r>
        <w:rPr>
          <w:rFonts w:ascii="Arial" w:cs="Arial" w:eastAsia="Arial" w:hAnsi="Arial"/>
          <w:sz w:val="14"/>
          <w:szCs w:val="14"/>
          <w:color w:val="5B5B5B"/>
        </w:rPr>
        <w:t>n</w:t>
      </w:r>
      <w:r>
        <w:rPr>
          <w:rFonts w:ascii="Arial" w:cs="Arial" w:eastAsia="Arial" w:hAnsi="Arial"/>
          <w:sz w:val="14"/>
          <w:szCs w:val="14"/>
          <w:color w:val="4B4B4B"/>
        </w:rPr>
        <w:t>d L</w:t>
      </w:r>
      <w:r>
        <w:rPr>
          <w:rFonts w:ascii="Arial" w:cs="Arial" w:eastAsia="Arial" w:hAnsi="Arial"/>
          <w:sz w:val="14"/>
          <w:szCs w:val="14"/>
          <w:color w:val="5B5B5B"/>
        </w:rPr>
        <w:t>ess</w:t>
      </w:r>
      <w:r>
        <w:rPr>
          <w:rFonts w:ascii="Arial" w:cs="Arial" w:eastAsia="Arial" w:hAnsi="Arial"/>
          <w:sz w:val="14"/>
          <w:szCs w:val="14"/>
          <w:color w:val="4B4B4B"/>
        </w:rPr>
        <w:t>o</w:t>
      </w:r>
      <w:r>
        <w:rPr>
          <w:rFonts w:ascii="Arial" w:cs="Arial" w:eastAsia="Arial" w:hAnsi="Arial"/>
          <w:sz w:val="14"/>
          <w:szCs w:val="14"/>
          <w:color w:val="5B5B5B"/>
        </w:rPr>
        <w:t>rs prior written</w:t>
      </w:r>
      <w:r>
        <w:rPr>
          <w:rFonts w:ascii="Arial" w:cs="Arial" w:eastAsia="Arial" w:hAnsi="Arial"/>
          <w:sz w:val="14"/>
          <w:szCs w:val="14"/>
          <w:b w:val="1"/>
          <w:bCs w:val="1"/>
          <w:color w:val="2F2F2F"/>
        </w:rPr>
        <w:t xml:space="preserve"> </w:t>
      </w:r>
      <w:r>
        <w:rPr>
          <w:rFonts w:ascii="Arial" w:cs="Arial" w:eastAsia="Arial" w:hAnsi="Arial"/>
          <w:sz w:val="14"/>
          <w:szCs w:val="14"/>
          <w:color w:val="5B5B5B"/>
        </w:rPr>
        <w:t>conse</w:t>
      </w:r>
      <w:r>
        <w:rPr>
          <w:rFonts w:ascii="Arial" w:cs="Arial" w:eastAsia="Arial" w:hAnsi="Arial"/>
          <w:sz w:val="14"/>
          <w:szCs w:val="14"/>
          <w:color w:val="4B4B4B"/>
        </w:rPr>
        <w:t>n</w:t>
      </w:r>
      <w:r>
        <w:rPr>
          <w:rFonts w:ascii="Arial" w:cs="Arial" w:eastAsia="Arial" w:hAnsi="Arial"/>
          <w:sz w:val="14"/>
          <w:szCs w:val="14"/>
          <w:color w:val="5B5B5B"/>
        </w:rPr>
        <w:t>t.</w:t>
      </w:r>
    </w:p>
    <w:p>
      <w:pPr>
        <w:spacing w:after="0" w:line="157" w:lineRule="exact"/>
        <w:rPr>
          <w:rFonts w:ascii="Arial" w:cs="Arial" w:eastAsia="Arial" w:hAnsi="Arial"/>
          <w:sz w:val="14"/>
          <w:szCs w:val="14"/>
          <w:color w:val="757575"/>
        </w:rPr>
      </w:pPr>
    </w:p>
    <w:p>
      <w:pPr>
        <w:ind w:left="660" w:hanging="321"/>
        <w:spacing w:after="0"/>
        <w:tabs>
          <w:tab w:leader="none" w:pos="660" w:val="left"/>
        </w:tabs>
        <w:numPr>
          <w:ilvl w:val="0"/>
          <w:numId w:val="49"/>
        </w:numPr>
        <w:rPr>
          <w:rFonts w:ascii="Arial" w:cs="Arial" w:eastAsia="Arial" w:hAnsi="Arial"/>
          <w:sz w:val="14"/>
          <w:szCs w:val="14"/>
          <w:color w:val="5B5B5B"/>
        </w:rPr>
      </w:pPr>
      <w:r>
        <w:rPr>
          <w:rFonts w:ascii="Arial" w:cs="Arial" w:eastAsia="Arial" w:hAnsi="Arial"/>
          <w:sz w:val="14"/>
          <w:szCs w:val="14"/>
          <w:b w:val="1"/>
          <w:bCs w:val="1"/>
          <w:color w:val="2F2F2F"/>
        </w:rPr>
        <w:t>Condition of Pr</w:t>
      </w:r>
      <w:r>
        <w:rPr>
          <w:rFonts w:ascii="Arial" w:cs="Arial" w:eastAsia="Arial" w:hAnsi="Arial"/>
          <w:sz w:val="14"/>
          <w:szCs w:val="14"/>
          <w:b w:val="1"/>
          <w:bCs w:val="1"/>
          <w:color w:val="4B4B4B"/>
        </w:rPr>
        <w:t>e</w:t>
      </w:r>
      <w:r>
        <w:rPr>
          <w:rFonts w:ascii="Arial" w:cs="Arial" w:eastAsia="Arial" w:hAnsi="Arial"/>
          <w:sz w:val="14"/>
          <w:szCs w:val="14"/>
          <w:b w:val="1"/>
          <w:bCs w:val="1"/>
          <w:color w:val="2F2F2F"/>
        </w:rPr>
        <w:t>mis</w:t>
      </w:r>
      <w:r>
        <w:rPr>
          <w:rFonts w:ascii="Arial" w:cs="Arial" w:eastAsia="Arial" w:hAnsi="Arial"/>
          <w:sz w:val="14"/>
          <w:szCs w:val="14"/>
          <w:b w:val="1"/>
          <w:bCs w:val="1"/>
          <w:color w:val="4B4B4B"/>
        </w:rPr>
        <w:t>e</w:t>
      </w:r>
      <w:r>
        <w:rPr>
          <w:rFonts w:ascii="Arial" w:cs="Arial" w:eastAsia="Arial" w:hAnsi="Arial"/>
          <w:sz w:val="14"/>
          <w:szCs w:val="14"/>
          <w:b w:val="1"/>
          <w:bCs w:val="1"/>
          <w:color w:val="2F2F2F"/>
        </w:rPr>
        <w:t xml:space="preserve">. </w:t>
      </w:r>
      <w:r>
        <w:rPr>
          <w:rFonts w:ascii="Arial" w:cs="Arial" w:eastAsia="Arial" w:hAnsi="Arial"/>
          <w:sz w:val="14"/>
          <w:szCs w:val="14"/>
          <w:color w:val="5B5B5B"/>
        </w:rPr>
        <w:t>T</w:t>
      </w:r>
      <w:r>
        <w:rPr>
          <w:rFonts w:ascii="Arial" w:cs="Arial" w:eastAsia="Arial" w:hAnsi="Arial"/>
          <w:sz w:val="14"/>
          <w:szCs w:val="14"/>
          <w:color w:val="4B4B4B"/>
        </w:rPr>
        <w:t>he p</w:t>
      </w:r>
      <w:r>
        <w:rPr>
          <w:rFonts w:ascii="Arial" w:cs="Arial" w:eastAsia="Arial" w:hAnsi="Arial"/>
          <w:sz w:val="14"/>
          <w:szCs w:val="14"/>
          <w:color w:val="5B5B5B"/>
        </w:rPr>
        <w:t>r</w:t>
      </w:r>
      <w:r>
        <w:rPr>
          <w:rFonts w:ascii="Arial" w:cs="Arial" w:eastAsia="Arial" w:hAnsi="Arial"/>
          <w:sz w:val="14"/>
          <w:szCs w:val="14"/>
          <w:color w:val="4B4B4B"/>
        </w:rPr>
        <w:t>operty will be d</w:t>
      </w:r>
      <w:r>
        <w:rPr>
          <w:rFonts w:ascii="Arial" w:cs="Arial" w:eastAsia="Arial" w:hAnsi="Arial"/>
          <w:sz w:val="14"/>
          <w:szCs w:val="14"/>
          <w:color w:val="5B5B5B"/>
        </w:rPr>
        <w:t>e</w:t>
      </w:r>
      <w:r>
        <w:rPr>
          <w:rFonts w:ascii="Arial" w:cs="Arial" w:eastAsia="Arial" w:hAnsi="Arial"/>
          <w:sz w:val="14"/>
          <w:szCs w:val="14"/>
          <w:color w:val="2F2F2F"/>
        </w:rPr>
        <w:t>l</w:t>
      </w:r>
      <w:r>
        <w:rPr>
          <w:rFonts w:ascii="Arial" w:cs="Arial" w:eastAsia="Arial" w:hAnsi="Arial"/>
          <w:sz w:val="14"/>
          <w:szCs w:val="14"/>
          <w:color w:val="5B5B5B"/>
        </w:rPr>
        <w:t>i</w:t>
      </w:r>
      <w:r>
        <w:rPr>
          <w:rFonts w:ascii="Arial" w:cs="Arial" w:eastAsia="Arial" w:hAnsi="Arial"/>
          <w:sz w:val="14"/>
          <w:szCs w:val="14"/>
          <w:color w:val="4B4B4B"/>
        </w:rPr>
        <w:t>v</w:t>
      </w:r>
      <w:r>
        <w:rPr>
          <w:rFonts w:ascii="Arial" w:cs="Arial" w:eastAsia="Arial" w:hAnsi="Arial"/>
          <w:sz w:val="14"/>
          <w:szCs w:val="14"/>
          <w:color w:val="5B5B5B"/>
        </w:rPr>
        <w:t>er</w:t>
      </w:r>
      <w:r>
        <w:rPr>
          <w:rFonts w:ascii="Arial" w:cs="Arial" w:eastAsia="Arial" w:hAnsi="Arial"/>
          <w:sz w:val="14"/>
          <w:szCs w:val="14"/>
          <w:color w:val="4B4B4B"/>
        </w:rPr>
        <w:t>ed i</w:t>
      </w:r>
      <w:r>
        <w:rPr>
          <w:rFonts w:ascii="Arial" w:cs="Arial" w:eastAsia="Arial" w:hAnsi="Arial"/>
          <w:sz w:val="14"/>
          <w:szCs w:val="14"/>
          <w:color w:val="5B5B5B"/>
        </w:rPr>
        <w:t>n</w:t>
      </w:r>
      <w:r>
        <w:rPr>
          <w:rFonts w:ascii="Arial" w:cs="Arial" w:eastAsia="Arial" w:hAnsi="Arial"/>
          <w:sz w:val="14"/>
          <w:szCs w:val="14"/>
          <w:b w:val="1"/>
          <w:bCs w:val="1"/>
          <w:color w:val="2F2F2F"/>
        </w:rPr>
        <w:t xml:space="preserve"> </w:t>
      </w:r>
      <w:r>
        <w:rPr>
          <w:rFonts w:ascii="Arial" w:cs="Arial" w:eastAsia="Arial" w:hAnsi="Arial"/>
          <w:sz w:val="14"/>
          <w:szCs w:val="14"/>
          <w:color w:val="4B4B4B"/>
        </w:rPr>
        <w:t>it</w:t>
      </w:r>
      <w:r>
        <w:rPr>
          <w:rFonts w:ascii="Arial" w:cs="Arial" w:eastAsia="Arial" w:hAnsi="Arial"/>
          <w:sz w:val="14"/>
          <w:szCs w:val="14"/>
          <w:color w:val="5B5B5B"/>
        </w:rPr>
        <w:t>s "</w:t>
      </w:r>
      <w:r>
        <w:rPr>
          <w:rFonts w:ascii="Arial" w:cs="Arial" w:eastAsia="Arial" w:hAnsi="Arial"/>
          <w:sz w:val="14"/>
          <w:szCs w:val="14"/>
          <w:color w:val="4B4B4B"/>
        </w:rPr>
        <w:t>as</w:t>
      </w:r>
      <w:r>
        <w:rPr>
          <w:rFonts w:ascii="Arial" w:cs="Arial" w:eastAsia="Arial" w:hAnsi="Arial"/>
          <w:sz w:val="14"/>
          <w:szCs w:val="14"/>
          <w:color w:val="2F2F2F"/>
        </w:rPr>
        <w:t>-</w:t>
      </w:r>
      <w:r>
        <w:rPr>
          <w:rFonts w:ascii="Arial" w:cs="Arial" w:eastAsia="Arial" w:hAnsi="Arial"/>
          <w:sz w:val="14"/>
          <w:szCs w:val="14"/>
          <w:color w:val="4B4B4B"/>
        </w:rPr>
        <w:t>i</w:t>
      </w:r>
      <w:r>
        <w:rPr>
          <w:rFonts w:ascii="Arial" w:cs="Arial" w:eastAsia="Arial" w:hAnsi="Arial"/>
          <w:sz w:val="14"/>
          <w:szCs w:val="14"/>
          <w:color w:val="5B5B5B"/>
        </w:rPr>
        <w:t>s</w:t>
      </w:r>
      <w:r>
        <w:rPr>
          <w:rFonts w:ascii="Arial" w:cs="Arial" w:eastAsia="Arial" w:hAnsi="Arial"/>
          <w:sz w:val="14"/>
          <w:szCs w:val="14"/>
          <w:color w:val="878787"/>
        </w:rPr>
        <w:t>"</w:t>
      </w:r>
      <w:r>
        <w:rPr>
          <w:rFonts w:ascii="Arial" w:cs="Arial" w:eastAsia="Arial" w:hAnsi="Arial"/>
          <w:sz w:val="14"/>
          <w:szCs w:val="14"/>
          <w:b w:val="1"/>
          <w:bCs w:val="1"/>
          <w:color w:val="2F2F2F"/>
        </w:rPr>
        <w:t xml:space="preserve"> </w:t>
      </w:r>
      <w:r>
        <w:rPr>
          <w:rFonts w:ascii="Arial" w:cs="Arial" w:eastAsia="Arial" w:hAnsi="Arial"/>
          <w:sz w:val="14"/>
          <w:szCs w:val="14"/>
          <w:color w:val="5B5B5B"/>
        </w:rPr>
        <w:t>c</w:t>
      </w:r>
      <w:r>
        <w:rPr>
          <w:rFonts w:ascii="Arial" w:cs="Arial" w:eastAsia="Arial" w:hAnsi="Arial"/>
          <w:sz w:val="14"/>
          <w:szCs w:val="14"/>
          <w:color w:val="4B4B4B"/>
        </w:rPr>
        <w:t>o</w:t>
      </w:r>
      <w:r>
        <w:rPr>
          <w:rFonts w:ascii="Arial" w:cs="Arial" w:eastAsia="Arial" w:hAnsi="Arial"/>
          <w:sz w:val="14"/>
          <w:szCs w:val="14"/>
          <w:color w:val="5B5B5B"/>
        </w:rPr>
        <w:t>n</w:t>
      </w:r>
      <w:r>
        <w:rPr>
          <w:rFonts w:ascii="Arial" w:cs="Arial" w:eastAsia="Arial" w:hAnsi="Arial"/>
          <w:sz w:val="14"/>
          <w:szCs w:val="14"/>
          <w:color w:val="4B4B4B"/>
        </w:rPr>
        <w:t>ditio</w:t>
      </w:r>
      <w:r>
        <w:rPr>
          <w:rFonts w:ascii="Arial" w:cs="Arial" w:eastAsia="Arial" w:hAnsi="Arial"/>
          <w:sz w:val="14"/>
          <w:szCs w:val="14"/>
          <w:color w:val="5B5B5B"/>
        </w:rPr>
        <w:t>n</w:t>
      </w:r>
      <w:r>
        <w:rPr>
          <w:rFonts w:ascii="Arial" w:cs="Arial" w:eastAsia="Arial" w:hAnsi="Arial"/>
          <w:sz w:val="14"/>
          <w:szCs w:val="14"/>
          <w:b w:val="1"/>
          <w:bCs w:val="1"/>
          <w:color w:val="2F2F2F"/>
        </w:rPr>
        <w:t xml:space="preserve"> </w:t>
      </w:r>
      <w:r>
        <w:rPr>
          <w:rFonts w:ascii="Arial" w:cs="Arial" w:eastAsia="Arial" w:hAnsi="Arial"/>
          <w:sz w:val="14"/>
          <w:szCs w:val="14"/>
          <w:color w:val="4B4B4B"/>
        </w:rPr>
        <w:t>u</w:t>
      </w:r>
      <w:r>
        <w:rPr>
          <w:rFonts w:ascii="Arial" w:cs="Arial" w:eastAsia="Arial" w:hAnsi="Arial"/>
          <w:sz w:val="14"/>
          <w:szCs w:val="14"/>
          <w:color w:val="5B5B5B"/>
        </w:rPr>
        <w:t>p</w:t>
      </w:r>
      <w:r>
        <w:rPr>
          <w:rFonts w:ascii="Arial" w:cs="Arial" w:eastAsia="Arial" w:hAnsi="Arial"/>
          <w:sz w:val="14"/>
          <w:szCs w:val="14"/>
          <w:color w:val="4B4B4B"/>
        </w:rPr>
        <w:t>o</w:t>
      </w:r>
      <w:r>
        <w:rPr>
          <w:rFonts w:ascii="Arial" w:cs="Arial" w:eastAsia="Arial" w:hAnsi="Arial"/>
          <w:sz w:val="14"/>
          <w:szCs w:val="14"/>
          <w:color w:val="5B5B5B"/>
        </w:rPr>
        <w:t>n</w:t>
      </w:r>
      <w:r>
        <w:rPr>
          <w:rFonts w:ascii="Arial" w:cs="Arial" w:eastAsia="Arial" w:hAnsi="Arial"/>
          <w:sz w:val="14"/>
          <w:szCs w:val="14"/>
          <w:b w:val="1"/>
          <w:bCs w:val="1"/>
          <w:color w:val="2F2F2F"/>
        </w:rPr>
        <w:t xml:space="preserve"> </w:t>
      </w:r>
      <w:r>
        <w:rPr>
          <w:rFonts w:ascii="Arial" w:cs="Arial" w:eastAsia="Arial" w:hAnsi="Arial"/>
          <w:sz w:val="14"/>
          <w:szCs w:val="14"/>
          <w:color w:val="4B4B4B"/>
        </w:rPr>
        <w:t>l</w:t>
      </w:r>
      <w:r>
        <w:rPr>
          <w:rFonts w:ascii="Arial" w:cs="Arial" w:eastAsia="Arial" w:hAnsi="Arial"/>
          <w:sz w:val="14"/>
          <w:szCs w:val="14"/>
          <w:color w:val="5B5B5B"/>
        </w:rPr>
        <w:t>e</w:t>
      </w:r>
      <w:r>
        <w:rPr>
          <w:rFonts w:ascii="Arial" w:cs="Arial" w:eastAsia="Arial" w:hAnsi="Arial"/>
          <w:sz w:val="14"/>
          <w:szCs w:val="14"/>
          <w:color w:val="4B4B4B"/>
        </w:rPr>
        <w:t>a</w:t>
      </w:r>
      <w:r>
        <w:rPr>
          <w:rFonts w:ascii="Arial" w:cs="Arial" w:eastAsia="Arial" w:hAnsi="Arial"/>
          <w:sz w:val="14"/>
          <w:szCs w:val="14"/>
          <w:color w:val="5B5B5B"/>
        </w:rPr>
        <w:t>s</w:t>
      </w:r>
      <w:r>
        <w:rPr>
          <w:rFonts w:ascii="Arial" w:cs="Arial" w:eastAsia="Arial" w:hAnsi="Arial"/>
          <w:sz w:val="14"/>
          <w:szCs w:val="14"/>
          <w:color w:val="4B4B4B"/>
        </w:rPr>
        <w:t>e</w:t>
      </w:r>
      <w:r>
        <w:rPr>
          <w:rFonts w:ascii="Arial" w:cs="Arial" w:eastAsia="Arial" w:hAnsi="Arial"/>
          <w:sz w:val="14"/>
          <w:szCs w:val="14"/>
          <w:b w:val="1"/>
          <w:bCs w:val="1"/>
          <w:color w:val="2F2F2F"/>
        </w:rPr>
        <w:t xml:space="preserve"> </w:t>
      </w:r>
      <w:r>
        <w:rPr>
          <w:rFonts w:ascii="Arial" w:cs="Arial" w:eastAsia="Arial" w:hAnsi="Arial"/>
          <w:sz w:val="14"/>
          <w:szCs w:val="14"/>
          <w:color w:val="5B5B5B"/>
        </w:rPr>
        <w:t>ex</w:t>
      </w:r>
      <w:r>
        <w:rPr>
          <w:rFonts w:ascii="Arial" w:cs="Arial" w:eastAsia="Arial" w:hAnsi="Arial"/>
          <w:sz w:val="14"/>
          <w:szCs w:val="14"/>
          <w:color w:val="4B4B4B"/>
        </w:rPr>
        <w:t>t</w:t>
      </w:r>
      <w:r>
        <w:rPr>
          <w:rFonts w:ascii="Arial" w:cs="Arial" w:eastAsia="Arial" w:hAnsi="Arial"/>
          <w:sz w:val="14"/>
          <w:szCs w:val="14"/>
          <w:color w:val="5B5B5B"/>
        </w:rPr>
        <w:t>en</w:t>
      </w:r>
      <w:r>
        <w:rPr>
          <w:rFonts w:ascii="Arial" w:cs="Arial" w:eastAsia="Arial" w:hAnsi="Arial"/>
          <w:sz w:val="14"/>
          <w:szCs w:val="14"/>
          <w:color w:val="4B4B4B"/>
        </w:rPr>
        <w:t>s</w:t>
      </w:r>
      <w:r>
        <w:rPr>
          <w:rFonts w:ascii="Arial" w:cs="Arial" w:eastAsia="Arial" w:hAnsi="Arial"/>
          <w:sz w:val="14"/>
          <w:szCs w:val="14"/>
          <w:color w:val="757575"/>
        </w:rPr>
        <w:t>i</w:t>
      </w:r>
      <w:r>
        <w:rPr>
          <w:rFonts w:ascii="Arial" w:cs="Arial" w:eastAsia="Arial" w:hAnsi="Arial"/>
          <w:sz w:val="14"/>
          <w:szCs w:val="14"/>
          <w:color w:val="5B5B5B"/>
        </w:rPr>
        <w:t>on</w:t>
      </w:r>
      <w:r>
        <w:rPr>
          <w:rFonts w:ascii="Arial" w:cs="Arial" w:eastAsia="Arial" w:hAnsi="Arial"/>
          <w:sz w:val="14"/>
          <w:szCs w:val="14"/>
          <w:b w:val="1"/>
          <w:bCs w:val="1"/>
          <w:color w:val="2F2F2F"/>
        </w:rPr>
        <w:t xml:space="preserve"> </w:t>
      </w:r>
      <w:r>
        <w:rPr>
          <w:rFonts w:ascii="Arial" w:cs="Arial" w:eastAsia="Arial" w:hAnsi="Arial"/>
          <w:sz w:val="14"/>
          <w:szCs w:val="14"/>
          <w:color w:val="4B4B4B"/>
        </w:rPr>
        <w:t>ex</w:t>
      </w:r>
      <w:r>
        <w:rPr>
          <w:rFonts w:ascii="Arial" w:cs="Arial" w:eastAsia="Arial" w:hAnsi="Arial"/>
          <w:sz w:val="14"/>
          <w:szCs w:val="14"/>
          <w:color w:val="5B5B5B"/>
        </w:rPr>
        <w:t>ec</w:t>
      </w:r>
      <w:r>
        <w:rPr>
          <w:rFonts w:ascii="Arial" w:cs="Arial" w:eastAsia="Arial" w:hAnsi="Arial"/>
          <w:sz w:val="14"/>
          <w:szCs w:val="14"/>
          <w:color w:val="4B4B4B"/>
        </w:rPr>
        <w:t>uti</w:t>
      </w:r>
      <w:r>
        <w:rPr>
          <w:rFonts w:ascii="Arial" w:cs="Arial" w:eastAsia="Arial" w:hAnsi="Arial"/>
          <w:sz w:val="14"/>
          <w:szCs w:val="14"/>
          <w:color w:val="5B5B5B"/>
        </w:rPr>
        <w:t>o</w:t>
      </w:r>
      <w:r>
        <w:rPr>
          <w:rFonts w:ascii="Arial" w:cs="Arial" w:eastAsia="Arial" w:hAnsi="Arial"/>
          <w:sz w:val="14"/>
          <w:szCs w:val="14"/>
          <w:color w:val="4B4B4B"/>
        </w:rPr>
        <w:t>n</w:t>
      </w:r>
      <w:r>
        <w:rPr>
          <w:rFonts w:ascii="Arial" w:cs="Arial" w:eastAsia="Arial" w:hAnsi="Arial"/>
          <w:sz w:val="14"/>
          <w:szCs w:val="14"/>
          <w:color w:val="5B5B5B"/>
        </w:rPr>
        <w:t>.</w:t>
      </w:r>
    </w:p>
    <w:p>
      <w:pPr>
        <w:spacing w:after="0" w:line="217" w:lineRule="exact"/>
        <w:rPr>
          <w:rFonts w:ascii="Arial" w:cs="Arial" w:eastAsia="Arial" w:hAnsi="Arial"/>
          <w:sz w:val="14"/>
          <w:szCs w:val="14"/>
          <w:color w:val="5B5B5B"/>
        </w:rPr>
      </w:pPr>
    </w:p>
    <w:p>
      <w:pPr>
        <w:ind w:left="660" w:right="100" w:hanging="321"/>
        <w:spacing w:after="0" w:line="245" w:lineRule="auto"/>
        <w:tabs>
          <w:tab w:leader="none" w:pos="658" w:val="left"/>
        </w:tabs>
        <w:numPr>
          <w:ilvl w:val="0"/>
          <w:numId w:val="49"/>
        </w:numPr>
        <w:rPr>
          <w:rFonts w:ascii="Arial" w:cs="Arial" w:eastAsia="Arial" w:hAnsi="Arial"/>
          <w:sz w:val="14"/>
          <w:szCs w:val="14"/>
          <w:color w:val="5B5B5B"/>
        </w:rPr>
      </w:pPr>
      <w:r>
        <w:rPr>
          <w:rFonts w:ascii="Arial" w:cs="Arial" w:eastAsia="Arial" w:hAnsi="Arial"/>
          <w:sz w:val="14"/>
          <w:szCs w:val="14"/>
          <w:b w:val="1"/>
          <w:bCs w:val="1"/>
          <w:color w:val="4B4B4B"/>
        </w:rPr>
        <w:t>Te</w:t>
      </w:r>
      <w:r>
        <w:rPr>
          <w:rFonts w:ascii="Arial" w:cs="Arial" w:eastAsia="Arial" w:hAnsi="Arial"/>
          <w:sz w:val="14"/>
          <w:szCs w:val="14"/>
          <w:b w:val="1"/>
          <w:bCs w:val="1"/>
          <w:color w:val="2F2F2F"/>
        </w:rPr>
        <w:t>n</w:t>
      </w:r>
      <w:r>
        <w:rPr>
          <w:rFonts w:ascii="Arial" w:cs="Arial" w:eastAsia="Arial" w:hAnsi="Arial"/>
          <w:sz w:val="14"/>
          <w:szCs w:val="14"/>
          <w:b w:val="1"/>
          <w:bCs w:val="1"/>
          <w:color w:val="4B4B4B"/>
        </w:rPr>
        <w:t>a</w:t>
      </w:r>
      <w:r>
        <w:rPr>
          <w:rFonts w:ascii="Arial" w:cs="Arial" w:eastAsia="Arial" w:hAnsi="Arial"/>
          <w:sz w:val="14"/>
          <w:szCs w:val="14"/>
          <w:b w:val="1"/>
          <w:bCs w:val="1"/>
          <w:color w:val="2F2F2F"/>
        </w:rPr>
        <w:t>nt I</w:t>
      </w:r>
      <w:r>
        <w:rPr>
          <w:rFonts w:ascii="Arial" w:cs="Arial" w:eastAsia="Arial" w:hAnsi="Arial"/>
          <w:sz w:val="14"/>
          <w:szCs w:val="14"/>
          <w:b w:val="1"/>
          <w:bCs w:val="1"/>
          <w:color w:val="4B4B4B"/>
        </w:rPr>
        <w:t>m</w:t>
      </w:r>
      <w:r>
        <w:rPr>
          <w:rFonts w:ascii="Arial" w:cs="Arial" w:eastAsia="Arial" w:hAnsi="Arial"/>
          <w:sz w:val="14"/>
          <w:szCs w:val="14"/>
          <w:b w:val="1"/>
          <w:bCs w:val="1"/>
          <w:color w:val="2F2F2F"/>
        </w:rPr>
        <w:t>pro</w:t>
      </w:r>
      <w:r>
        <w:rPr>
          <w:rFonts w:ascii="Arial" w:cs="Arial" w:eastAsia="Arial" w:hAnsi="Arial"/>
          <w:sz w:val="14"/>
          <w:szCs w:val="14"/>
          <w:b w:val="1"/>
          <w:bCs w:val="1"/>
          <w:color w:val="4B4B4B"/>
        </w:rPr>
        <w:t>ve</w:t>
      </w:r>
      <w:r>
        <w:rPr>
          <w:rFonts w:ascii="Arial" w:cs="Arial" w:eastAsia="Arial" w:hAnsi="Arial"/>
          <w:sz w:val="14"/>
          <w:szCs w:val="14"/>
          <w:b w:val="1"/>
          <w:bCs w:val="1"/>
          <w:color w:val="2F2F2F"/>
        </w:rPr>
        <w:t>me</w:t>
      </w:r>
      <w:r>
        <w:rPr>
          <w:rFonts w:ascii="Arial" w:cs="Arial" w:eastAsia="Arial" w:hAnsi="Arial"/>
          <w:sz w:val="14"/>
          <w:szCs w:val="14"/>
          <w:b w:val="1"/>
          <w:bCs w:val="1"/>
          <w:color w:val="4B4B4B"/>
        </w:rPr>
        <w:t xml:space="preserve">nt </w:t>
      </w:r>
      <w:r>
        <w:rPr>
          <w:rFonts w:ascii="Arial" w:cs="Arial" w:eastAsia="Arial" w:hAnsi="Arial"/>
          <w:sz w:val="14"/>
          <w:szCs w:val="14"/>
          <w:b w:val="1"/>
          <w:bCs w:val="1"/>
          <w:color w:val="2F2F2F"/>
        </w:rPr>
        <w:t>All</w:t>
      </w:r>
      <w:r>
        <w:rPr>
          <w:rFonts w:ascii="Arial" w:cs="Arial" w:eastAsia="Arial" w:hAnsi="Arial"/>
          <w:sz w:val="14"/>
          <w:szCs w:val="14"/>
          <w:b w:val="1"/>
          <w:bCs w:val="1"/>
          <w:color w:val="4B4B4B"/>
        </w:rPr>
        <w:t>o</w:t>
      </w:r>
      <w:r>
        <w:rPr>
          <w:rFonts w:ascii="Arial" w:cs="Arial" w:eastAsia="Arial" w:hAnsi="Arial"/>
          <w:sz w:val="14"/>
          <w:szCs w:val="14"/>
          <w:b w:val="1"/>
          <w:bCs w:val="1"/>
          <w:color w:val="2F2F2F"/>
        </w:rPr>
        <w:t>wanc</w:t>
      </w:r>
      <w:r>
        <w:rPr>
          <w:rFonts w:ascii="Arial" w:cs="Arial" w:eastAsia="Arial" w:hAnsi="Arial"/>
          <w:sz w:val="14"/>
          <w:szCs w:val="14"/>
          <w:b w:val="1"/>
          <w:bCs w:val="1"/>
          <w:color w:val="4B4B4B"/>
        </w:rPr>
        <w:t xml:space="preserve">e. </w:t>
      </w:r>
      <w:r>
        <w:rPr>
          <w:rFonts w:ascii="Arial" w:cs="Arial" w:eastAsia="Arial" w:hAnsi="Arial"/>
          <w:sz w:val="14"/>
          <w:szCs w:val="14"/>
          <w:color w:val="4B4B4B"/>
        </w:rPr>
        <w:t>L</w:t>
      </w:r>
      <w:r>
        <w:rPr>
          <w:rFonts w:ascii="Arial" w:cs="Arial" w:eastAsia="Arial" w:hAnsi="Arial"/>
          <w:sz w:val="14"/>
          <w:szCs w:val="14"/>
          <w:color w:val="5B5B5B"/>
        </w:rPr>
        <w:t>essor</w:t>
      </w:r>
      <w:r>
        <w:rPr>
          <w:rFonts w:ascii="Arial" w:cs="Arial" w:eastAsia="Arial" w:hAnsi="Arial"/>
          <w:sz w:val="14"/>
          <w:szCs w:val="14"/>
          <w:b w:val="1"/>
          <w:bCs w:val="1"/>
          <w:color w:val="4B4B4B"/>
        </w:rPr>
        <w:t xml:space="preserve"> </w:t>
      </w:r>
      <w:r>
        <w:rPr>
          <w:rFonts w:ascii="Arial" w:cs="Arial" w:eastAsia="Arial" w:hAnsi="Arial"/>
          <w:sz w:val="14"/>
          <w:szCs w:val="14"/>
          <w:color w:val="4B4B4B"/>
        </w:rPr>
        <w:t>h</w:t>
      </w:r>
      <w:r>
        <w:rPr>
          <w:rFonts w:ascii="Arial" w:cs="Arial" w:eastAsia="Arial" w:hAnsi="Arial"/>
          <w:sz w:val="14"/>
          <w:szCs w:val="14"/>
          <w:color w:val="5B5B5B"/>
        </w:rPr>
        <w:t>ere</w:t>
      </w:r>
      <w:r>
        <w:rPr>
          <w:rFonts w:ascii="Arial" w:cs="Arial" w:eastAsia="Arial" w:hAnsi="Arial"/>
          <w:sz w:val="14"/>
          <w:szCs w:val="14"/>
          <w:color w:val="4B4B4B"/>
        </w:rPr>
        <w:t>b</w:t>
      </w:r>
      <w:r>
        <w:rPr>
          <w:rFonts w:ascii="Arial" w:cs="Arial" w:eastAsia="Arial" w:hAnsi="Arial"/>
          <w:sz w:val="14"/>
          <w:szCs w:val="14"/>
          <w:color w:val="5B5B5B"/>
        </w:rPr>
        <w:t>y gr</w:t>
      </w:r>
      <w:r>
        <w:rPr>
          <w:rFonts w:ascii="Arial" w:cs="Arial" w:eastAsia="Arial" w:hAnsi="Arial"/>
          <w:sz w:val="14"/>
          <w:szCs w:val="14"/>
          <w:color w:val="4B4B4B"/>
        </w:rPr>
        <w:t>a</w:t>
      </w:r>
      <w:r>
        <w:rPr>
          <w:rFonts w:ascii="Arial" w:cs="Arial" w:eastAsia="Arial" w:hAnsi="Arial"/>
          <w:sz w:val="14"/>
          <w:szCs w:val="14"/>
          <w:color w:val="5B5B5B"/>
        </w:rPr>
        <w:t>n</w:t>
      </w:r>
      <w:r>
        <w:rPr>
          <w:rFonts w:ascii="Arial" w:cs="Arial" w:eastAsia="Arial" w:hAnsi="Arial"/>
          <w:sz w:val="14"/>
          <w:szCs w:val="14"/>
          <w:color w:val="4B4B4B"/>
        </w:rPr>
        <w:t>t</w:t>
      </w:r>
      <w:r>
        <w:rPr>
          <w:rFonts w:ascii="Arial" w:cs="Arial" w:eastAsia="Arial" w:hAnsi="Arial"/>
          <w:sz w:val="14"/>
          <w:szCs w:val="14"/>
          <w:color w:val="5B5B5B"/>
        </w:rPr>
        <w:t>s</w:t>
      </w:r>
      <w:r>
        <w:rPr>
          <w:rFonts w:ascii="Arial" w:cs="Arial" w:eastAsia="Arial" w:hAnsi="Arial"/>
          <w:sz w:val="14"/>
          <w:szCs w:val="14"/>
          <w:b w:val="1"/>
          <w:bCs w:val="1"/>
          <w:color w:val="4B4B4B"/>
        </w:rPr>
        <w:t xml:space="preserve"> </w:t>
      </w:r>
      <w:r>
        <w:rPr>
          <w:rFonts w:ascii="Arial" w:cs="Arial" w:eastAsia="Arial" w:hAnsi="Arial"/>
          <w:sz w:val="14"/>
          <w:szCs w:val="14"/>
          <w:color w:val="4B4B4B"/>
        </w:rPr>
        <w:t>t</w:t>
      </w:r>
      <w:r>
        <w:rPr>
          <w:rFonts w:ascii="Arial" w:cs="Arial" w:eastAsia="Arial" w:hAnsi="Arial"/>
          <w:sz w:val="14"/>
          <w:szCs w:val="14"/>
          <w:color w:val="5B5B5B"/>
        </w:rPr>
        <w:t>o Les</w:t>
      </w:r>
      <w:r>
        <w:rPr>
          <w:rFonts w:ascii="Arial" w:cs="Arial" w:eastAsia="Arial" w:hAnsi="Arial"/>
          <w:sz w:val="14"/>
          <w:szCs w:val="14"/>
          <w:color w:val="4B4B4B"/>
        </w:rPr>
        <w:t>s</w:t>
      </w:r>
      <w:r>
        <w:rPr>
          <w:rFonts w:ascii="Arial" w:cs="Arial" w:eastAsia="Arial" w:hAnsi="Arial"/>
          <w:sz w:val="14"/>
          <w:szCs w:val="14"/>
          <w:color w:val="5B5B5B"/>
        </w:rPr>
        <w:t>ee a t</w:t>
      </w:r>
      <w:r>
        <w:rPr>
          <w:rFonts w:ascii="Arial" w:cs="Arial" w:eastAsia="Arial" w:hAnsi="Arial"/>
          <w:sz w:val="14"/>
          <w:szCs w:val="14"/>
          <w:color w:val="4B4B4B"/>
        </w:rPr>
        <w:t>e</w:t>
      </w:r>
      <w:r>
        <w:rPr>
          <w:rFonts w:ascii="Arial" w:cs="Arial" w:eastAsia="Arial" w:hAnsi="Arial"/>
          <w:sz w:val="14"/>
          <w:szCs w:val="14"/>
          <w:color w:val="5B5B5B"/>
        </w:rPr>
        <w:t>nant imp</w:t>
      </w:r>
      <w:r>
        <w:rPr>
          <w:rFonts w:ascii="Arial" w:cs="Arial" w:eastAsia="Arial" w:hAnsi="Arial"/>
          <w:sz w:val="14"/>
          <w:szCs w:val="14"/>
          <w:color w:val="878787"/>
        </w:rPr>
        <w:t>r</w:t>
      </w:r>
      <w:r>
        <w:rPr>
          <w:rFonts w:ascii="Arial" w:cs="Arial" w:eastAsia="Arial" w:hAnsi="Arial"/>
          <w:sz w:val="14"/>
          <w:szCs w:val="14"/>
          <w:color w:val="5B5B5B"/>
        </w:rPr>
        <w:t>ovement allow</w:t>
      </w:r>
      <w:r>
        <w:rPr>
          <w:rFonts w:ascii="Arial" w:cs="Arial" w:eastAsia="Arial" w:hAnsi="Arial"/>
          <w:sz w:val="14"/>
          <w:szCs w:val="14"/>
          <w:color w:val="4B4B4B"/>
        </w:rPr>
        <w:t>a</w:t>
      </w:r>
      <w:r>
        <w:rPr>
          <w:rFonts w:ascii="Arial" w:cs="Arial" w:eastAsia="Arial" w:hAnsi="Arial"/>
          <w:sz w:val="14"/>
          <w:szCs w:val="14"/>
          <w:color w:val="5B5B5B"/>
        </w:rPr>
        <w:t>nce of S</w:t>
      </w:r>
      <w:r>
        <w:rPr>
          <w:rFonts w:ascii="Arial" w:cs="Arial" w:eastAsia="Arial" w:hAnsi="Arial"/>
          <w:sz w:val="14"/>
          <w:szCs w:val="14"/>
          <w:color w:val="4B4B4B"/>
        </w:rPr>
        <w:t>eventy</w:t>
      </w:r>
      <w:r>
        <w:rPr>
          <w:rFonts w:ascii="Arial" w:cs="Arial" w:eastAsia="Arial" w:hAnsi="Arial"/>
          <w:sz w:val="14"/>
          <w:szCs w:val="14"/>
          <w:color w:val="5B5B5B"/>
        </w:rPr>
        <w:t>-F</w:t>
      </w:r>
      <w:r>
        <w:rPr>
          <w:rFonts w:ascii="Arial" w:cs="Arial" w:eastAsia="Arial" w:hAnsi="Arial"/>
          <w:sz w:val="14"/>
          <w:szCs w:val="14"/>
          <w:color w:val="2F2F2F"/>
        </w:rPr>
        <w:t>i</w:t>
      </w:r>
      <w:r>
        <w:rPr>
          <w:rFonts w:ascii="Arial" w:cs="Arial" w:eastAsia="Arial" w:hAnsi="Arial"/>
          <w:sz w:val="14"/>
          <w:szCs w:val="14"/>
          <w:color w:val="4B4B4B"/>
        </w:rPr>
        <w:t>v</w:t>
      </w:r>
      <w:r>
        <w:rPr>
          <w:rFonts w:ascii="Arial" w:cs="Arial" w:eastAsia="Arial" w:hAnsi="Arial"/>
          <w:sz w:val="14"/>
          <w:szCs w:val="14"/>
          <w:color w:val="5B5B5B"/>
        </w:rPr>
        <w:t>e T</w:t>
      </w:r>
      <w:r>
        <w:rPr>
          <w:rFonts w:ascii="Arial" w:cs="Arial" w:eastAsia="Arial" w:hAnsi="Arial"/>
          <w:sz w:val="14"/>
          <w:szCs w:val="14"/>
          <w:color w:val="4B4B4B"/>
        </w:rPr>
        <w:t>housand</w:t>
      </w:r>
      <w:r>
        <w:rPr>
          <w:rFonts w:ascii="Arial" w:cs="Arial" w:eastAsia="Arial" w:hAnsi="Arial"/>
          <w:sz w:val="14"/>
          <w:szCs w:val="14"/>
          <w:b w:val="1"/>
          <w:bCs w:val="1"/>
          <w:color w:val="4B4B4B"/>
        </w:rPr>
        <w:t xml:space="preserve"> </w:t>
      </w:r>
      <w:r>
        <w:rPr>
          <w:rFonts w:ascii="Arial" w:cs="Arial" w:eastAsia="Arial" w:hAnsi="Arial"/>
          <w:sz w:val="14"/>
          <w:szCs w:val="14"/>
          <w:color w:val="5B5B5B"/>
        </w:rPr>
        <w:t>Do</w:t>
      </w:r>
      <w:r>
        <w:rPr>
          <w:rFonts w:ascii="Arial" w:cs="Arial" w:eastAsia="Arial" w:hAnsi="Arial"/>
          <w:sz w:val="14"/>
          <w:szCs w:val="14"/>
          <w:color w:val="2F2F2F"/>
        </w:rPr>
        <w:t>ll</w:t>
      </w:r>
      <w:r>
        <w:rPr>
          <w:rFonts w:ascii="Arial" w:cs="Arial" w:eastAsia="Arial" w:hAnsi="Arial"/>
          <w:sz w:val="14"/>
          <w:szCs w:val="14"/>
          <w:color w:val="5B5B5B"/>
        </w:rPr>
        <w:t>a</w:t>
      </w:r>
      <w:r>
        <w:rPr>
          <w:rFonts w:ascii="Arial" w:cs="Arial" w:eastAsia="Arial" w:hAnsi="Arial"/>
          <w:sz w:val="14"/>
          <w:szCs w:val="14"/>
          <w:color w:val="4B4B4B"/>
        </w:rPr>
        <w:t>r</w:t>
      </w:r>
      <w:r>
        <w:rPr>
          <w:rFonts w:ascii="Arial" w:cs="Arial" w:eastAsia="Arial" w:hAnsi="Arial"/>
          <w:sz w:val="14"/>
          <w:szCs w:val="14"/>
          <w:color w:val="5B5B5B"/>
        </w:rPr>
        <w:t>s (</w:t>
      </w:r>
      <w:r>
        <w:rPr>
          <w:rFonts w:ascii="Arial" w:cs="Arial" w:eastAsia="Arial" w:hAnsi="Arial"/>
          <w:sz w:val="14"/>
          <w:szCs w:val="14"/>
          <w:color w:val="4B4B4B"/>
        </w:rPr>
        <w:t>$</w:t>
      </w:r>
      <w:r>
        <w:rPr>
          <w:rFonts w:ascii="Arial" w:cs="Arial" w:eastAsia="Arial" w:hAnsi="Arial"/>
          <w:sz w:val="14"/>
          <w:szCs w:val="14"/>
          <w:color w:val="5B5B5B"/>
        </w:rPr>
        <w:t>75</w:t>
      </w:r>
      <w:r>
        <w:rPr>
          <w:rFonts w:ascii="Arial" w:cs="Arial" w:eastAsia="Arial" w:hAnsi="Arial"/>
          <w:sz w:val="14"/>
          <w:szCs w:val="14"/>
          <w:color w:val="878787"/>
        </w:rPr>
        <w:t>,</w:t>
      </w:r>
      <w:r>
        <w:rPr>
          <w:rFonts w:ascii="Arial" w:cs="Arial" w:eastAsia="Arial" w:hAnsi="Arial"/>
          <w:sz w:val="14"/>
          <w:szCs w:val="14"/>
          <w:color w:val="4B4B4B"/>
        </w:rPr>
        <w:t>000</w:t>
      </w:r>
      <w:r>
        <w:rPr>
          <w:rFonts w:ascii="Arial" w:cs="Arial" w:eastAsia="Arial" w:hAnsi="Arial"/>
          <w:sz w:val="14"/>
          <w:szCs w:val="14"/>
          <w:color w:val="5B5B5B"/>
        </w:rPr>
        <w:t>.</w:t>
      </w:r>
      <w:r>
        <w:rPr>
          <w:rFonts w:ascii="Arial" w:cs="Arial" w:eastAsia="Arial" w:hAnsi="Arial"/>
          <w:sz w:val="14"/>
          <w:szCs w:val="14"/>
          <w:color w:val="4B4B4B"/>
        </w:rPr>
        <w:t>0</w:t>
      </w:r>
      <w:r>
        <w:rPr>
          <w:rFonts w:ascii="Arial" w:cs="Arial" w:eastAsia="Arial" w:hAnsi="Arial"/>
          <w:sz w:val="14"/>
          <w:szCs w:val="14"/>
          <w:color w:val="5B5B5B"/>
        </w:rPr>
        <w:t>0)</w:t>
      </w:r>
      <w:r>
        <w:rPr>
          <w:rFonts w:ascii="Arial" w:cs="Arial" w:eastAsia="Arial" w:hAnsi="Arial"/>
          <w:sz w:val="14"/>
          <w:szCs w:val="14"/>
          <w:b w:val="1"/>
          <w:bCs w:val="1"/>
          <w:color w:val="4B4B4B"/>
        </w:rPr>
        <w:t xml:space="preserve"> </w:t>
      </w:r>
      <w:r>
        <w:rPr>
          <w:rFonts w:ascii="Arial" w:cs="Arial" w:eastAsia="Arial" w:hAnsi="Arial"/>
          <w:sz w:val="14"/>
          <w:szCs w:val="14"/>
          <w:color w:val="5B5B5B"/>
        </w:rPr>
        <w:t>(</w:t>
      </w:r>
      <w:r>
        <w:rPr>
          <w:rFonts w:ascii="Arial" w:cs="Arial" w:eastAsia="Arial" w:hAnsi="Arial"/>
          <w:sz w:val="14"/>
          <w:szCs w:val="14"/>
          <w:color w:val="4B4B4B"/>
        </w:rPr>
        <w:t>th</w:t>
      </w:r>
      <w:r>
        <w:rPr>
          <w:rFonts w:ascii="Arial" w:cs="Arial" w:eastAsia="Arial" w:hAnsi="Arial"/>
          <w:sz w:val="14"/>
          <w:szCs w:val="14"/>
          <w:color w:val="5B5B5B"/>
        </w:rPr>
        <w:t>e "</w:t>
      </w:r>
      <w:r>
        <w:rPr>
          <w:rFonts w:ascii="Arial" w:cs="Arial" w:eastAsia="Arial" w:hAnsi="Arial"/>
          <w:sz w:val="14"/>
          <w:szCs w:val="14"/>
          <w:color w:val="4B4B4B"/>
        </w:rPr>
        <w:t>A</w:t>
      </w:r>
      <w:r>
        <w:rPr>
          <w:rFonts w:ascii="Arial" w:cs="Arial" w:eastAsia="Arial" w:hAnsi="Arial"/>
          <w:sz w:val="14"/>
          <w:szCs w:val="14"/>
          <w:color w:val="2F2F2F"/>
        </w:rPr>
        <w:t>ll</w:t>
      </w:r>
      <w:r>
        <w:rPr>
          <w:rFonts w:ascii="Arial" w:cs="Arial" w:eastAsia="Arial" w:hAnsi="Arial"/>
          <w:sz w:val="14"/>
          <w:szCs w:val="14"/>
          <w:color w:val="5B5B5B"/>
        </w:rPr>
        <w:t>owa</w:t>
      </w:r>
      <w:r>
        <w:rPr>
          <w:rFonts w:ascii="Arial" w:cs="Arial" w:eastAsia="Arial" w:hAnsi="Arial"/>
          <w:sz w:val="14"/>
          <w:szCs w:val="14"/>
          <w:color w:val="4B4B4B"/>
        </w:rPr>
        <w:t>n</w:t>
      </w:r>
      <w:r>
        <w:rPr>
          <w:rFonts w:ascii="Arial" w:cs="Arial" w:eastAsia="Arial" w:hAnsi="Arial"/>
          <w:sz w:val="14"/>
          <w:szCs w:val="14"/>
          <w:color w:val="5B5B5B"/>
        </w:rPr>
        <w:t>c</w:t>
      </w:r>
      <w:r>
        <w:rPr>
          <w:rFonts w:ascii="Arial" w:cs="Arial" w:eastAsia="Arial" w:hAnsi="Arial"/>
          <w:sz w:val="14"/>
          <w:szCs w:val="14"/>
          <w:color w:val="4B4B4B"/>
        </w:rPr>
        <w:t>e</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I</w:t>
      </w:r>
      <w:r>
        <w:rPr>
          <w:rFonts w:ascii="Arial" w:cs="Arial" w:eastAsia="Arial" w:hAnsi="Arial"/>
          <w:sz w:val="14"/>
          <w:szCs w:val="14"/>
          <w:color w:val="5B5B5B"/>
        </w:rPr>
        <w:t xml:space="preserve">f </w:t>
      </w:r>
      <w:r>
        <w:rPr>
          <w:rFonts w:ascii="Arial" w:cs="Arial" w:eastAsia="Arial" w:hAnsi="Arial"/>
          <w:sz w:val="14"/>
          <w:szCs w:val="14"/>
          <w:color w:val="4B4B4B"/>
        </w:rPr>
        <w:t>t</w:t>
      </w:r>
      <w:r>
        <w:rPr>
          <w:rFonts w:ascii="Arial" w:cs="Arial" w:eastAsia="Arial" w:hAnsi="Arial"/>
          <w:sz w:val="14"/>
          <w:szCs w:val="14"/>
          <w:color w:val="5B5B5B"/>
        </w:rPr>
        <w:t>he Te</w:t>
      </w:r>
      <w:r>
        <w:rPr>
          <w:rFonts w:ascii="Arial" w:cs="Arial" w:eastAsia="Arial" w:hAnsi="Arial"/>
          <w:sz w:val="14"/>
          <w:szCs w:val="14"/>
          <w:color w:val="4B4B4B"/>
        </w:rPr>
        <w:t>n</w:t>
      </w:r>
      <w:r>
        <w:rPr>
          <w:rFonts w:ascii="Arial" w:cs="Arial" w:eastAsia="Arial" w:hAnsi="Arial"/>
          <w:sz w:val="14"/>
          <w:szCs w:val="14"/>
          <w:color w:val="5B5B5B"/>
        </w:rPr>
        <w:t>a</w:t>
      </w:r>
      <w:r>
        <w:rPr>
          <w:rFonts w:ascii="Arial" w:cs="Arial" w:eastAsia="Arial" w:hAnsi="Arial"/>
          <w:sz w:val="14"/>
          <w:szCs w:val="14"/>
          <w:color w:val="757575"/>
        </w:rPr>
        <w:t>n</w:t>
      </w:r>
      <w:r>
        <w:rPr>
          <w:rFonts w:ascii="Arial" w:cs="Arial" w:eastAsia="Arial" w:hAnsi="Arial"/>
          <w:sz w:val="14"/>
          <w:szCs w:val="14"/>
          <w:color w:val="5B5B5B"/>
        </w:rPr>
        <w:t xml:space="preserve">t </w:t>
      </w:r>
      <w:r>
        <w:rPr>
          <w:rFonts w:ascii="Arial" w:cs="Arial" w:eastAsia="Arial" w:hAnsi="Arial"/>
          <w:sz w:val="14"/>
          <w:szCs w:val="14"/>
          <w:color w:val="4B4B4B"/>
        </w:rPr>
        <w:t>I</w:t>
      </w:r>
      <w:r>
        <w:rPr>
          <w:rFonts w:ascii="Arial" w:cs="Arial" w:eastAsia="Arial" w:hAnsi="Arial"/>
          <w:sz w:val="14"/>
          <w:szCs w:val="14"/>
          <w:color w:val="5B5B5B"/>
        </w:rPr>
        <w:t>mpro</w:t>
      </w:r>
      <w:r>
        <w:rPr>
          <w:rFonts w:ascii="Arial" w:cs="Arial" w:eastAsia="Arial" w:hAnsi="Arial"/>
          <w:sz w:val="14"/>
          <w:szCs w:val="14"/>
          <w:color w:val="4B4B4B"/>
        </w:rPr>
        <w:t>v</w:t>
      </w:r>
      <w:r>
        <w:rPr>
          <w:rFonts w:ascii="Arial" w:cs="Arial" w:eastAsia="Arial" w:hAnsi="Arial"/>
          <w:sz w:val="14"/>
          <w:szCs w:val="14"/>
          <w:color w:val="5B5B5B"/>
        </w:rPr>
        <w:t>eme</w:t>
      </w:r>
      <w:r>
        <w:rPr>
          <w:rFonts w:ascii="Arial" w:cs="Arial" w:eastAsia="Arial" w:hAnsi="Arial"/>
          <w:sz w:val="14"/>
          <w:szCs w:val="14"/>
          <w:color w:val="4B4B4B"/>
        </w:rPr>
        <w:t>nt</w:t>
      </w:r>
      <w:r>
        <w:rPr>
          <w:rFonts w:ascii="Arial" w:cs="Arial" w:eastAsia="Arial" w:hAnsi="Arial"/>
          <w:sz w:val="14"/>
          <w:szCs w:val="14"/>
          <w:color w:val="5B5B5B"/>
        </w:rPr>
        <w:t xml:space="preserve"> c</w:t>
      </w:r>
      <w:r>
        <w:rPr>
          <w:rFonts w:ascii="Arial" w:cs="Arial" w:eastAsia="Arial" w:hAnsi="Arial"/>
          <w:sz w:val="14"/>
          <w:szCs w:val="14"/>
          <w:color w:val="4B4B4B"/>
        </w:rPr>
        <w:t>o</w:t>
      </w:r>
      <w:r>
        <w:rPr>
          <w:rFonts w:ascii="Arial" w:cs="Arial" w:eastAsia="Arial" w:hAnsi="Arial"/>
          <w:sz w:val="14"/>
          <w:szCs w:val="14"/>
          <w:color w:val="5B5B5B"/>
        </w:rPr>
        <w:t xml:space="preserve">sts </w:t>
      </w:r>
      <w:r>
        <w:rPr>
          <w:rFonts w:ascii="Arial" w:cs="Arial" w:eastAsia="Arial" w:hAnsi="Arial"/>
          <w:sz w:val="14"/>
          <w:szCs w:val="14"/>
          <w:color w:val="4B4B4B"/>
        </w:rPr>
        <w:t>e</w:t>
      </w:r>
      <w:r>
        <w:rPr>
          <w:rFonts w:ascii="Arial" w:cs="Arial" w:eastAsia="Arial" w:hAnsi="Arial"/>
          <w:sz w:val="14"/>
          <w:szCs w:val="14"/>
          <w:color w:val="5B5B5B"/>
        </w:rPr>
        <w:t>xc</w:t>
      </w:r>
      <w:r>
        <w:rPr>
          <w:rFonts w:ascii="Arial" w:cs="Arial" w:eastAsia="Arial" w:hAnsi="Arial"/>
          <w:sz w:val="14"/>
          <w:szCs w:val="14"/>
          <w:color w:val="4B4B4B"/>
        </w:rPr>
        <w:t>eed</w:t>
      </w:r>
      <w:r>
        <w:rPr>
          <w:rFonts w:ascii="Arial" w:cs="Arial" w:eastAsia="Arial" w:hAnsi="Arial"/>
          <w:sz w:val="14"/>
          <w:szCs w:val="14"/>
          <w:color w:val="5B5B5B"/>
        </w:rPr>
        <w:t xml:space="preserve">s </w:t>
      </w:r>
      <w:r>
        <w:rPr>
          <w:rFonts w:ascii="Arial" w:cs="Arial" w:eastAsia="Arial" w:hAnsi="Arial"/>
          <w:sz w:val="14"/>
          <w:szCs w:val="14"/>
          <w:color w:val="4B4B4B"/>
        </w:rPr>
        <w:t>the</w:t>
      </w:r>
      <w:r>
        <w:rPr>
          <w:rFonts w:ascii="Arial" w:cs="Arial" w:eastAsia="Arial" w:hAnsi="Arial"/>
          <w:sz w:val="14"/>
          <w:szCs w:val="14"/>
          <w:color w:val="5B5B5B"/>
        </w:rPr>
        <w:t xml:space="preserve"> A</w:t>
      </w:r>
      <w:r>
        <w:rPr>
          <w:rFonts w:ascii="Arial" w:cs="Arial" w:eastAsia="Arial" w:hAnsi="Arial"/>
          <w:sz w:val="14"/>
          <w:szCs w:val="14"/>
          <w:color w:val="2F2F2F"/>
        </w:rPr>
        <w:t>ll</w:t>
      </w:r>
      <w:r>
        <w:rPr>
          <w:rFonts w:ascii="Arial" w:cs="Arial" w:eastAsia="Arial" w:hAnsi="Arial"/>
          <w:sz w:val="14"/>
          <w:szCs w:val="14"/>
          <w:color w:val="5B5B5B"/>
        </w:rPr>
        <w:t>o</w:t>
      </w:r>
      <w:r>
        <w:rPr>
          <w:rFonts w:ascii="Arial" w:cs="Arial" w:eastAsia="Arial" w:hAnsi="Arial"/>
          <w:sz w:val="14"/>
          <w:szCs w:val="14"/>
          <w:color w:val="4B4B4B"/>
        </w:rPr>
        <w:t>wan</w:t>
      </w:r>
      <w:r>
        <w:rPr>
          <w:rFonts w:ascii="Arial" w:cs="Arial" w:eastAsia="Arial" w:hAnsi="Arial"/>
          <w:sz w:val="14"/>
          <w:szCs w:val="14"/>
          <w:color w:val="5B5B5B"/>
        </w:rPr>
        <w:t>c</w:t>
      </w:r>
      <w:r>
        <w:rPr>
          <w:rFonts w:ascii="Arial" w:cs="Arial" w:eastAsia="Arial" w:hAnsi="Arial"/>
          <w:sz w:val="14"/>
          <w:szCs w:val="14"/>
          <w:color w:val="4B4B4B"/>
        </w:rPr>
        <w:t>e</w:t>
      </w:r>
      <w:r>
        <w:rPr>
          <w:rFonts w:ascii="Arial" w:cs="Arial" w:eastAsia="Arial" w:hAnsi="Arial"/>
          <w:sz w:val="14"/>
          <w:szCs w:val="14"/>
          <w:color w:val="757575"/>
        </w:rPr>
        <w:t>,</w:t>
      </w:r>
      <w:r>
        <w:rPr>
          <w:rFonts w:ascii="Arial" w:cs="Arial" w:eastAsia="Arial" w:hAnsi="Arial"/>
          <w:sz w:val="14"/>
          <w:szCs w:val="14"/>
          <w:color w:val="5B5B5B"/>
        </w:rPr>
        <w:t xml:space="preserve"> Less</w:t>
      </w:r>
      <w:r>
        <w:rPr>
          <w:rFonts w:ascii="Arial" w:cs="Arial" w:eastAsia="Arial" w:hAnsi="Arial"/>
          <w:sz w:val="14"/>
          <w:szCs w:val="14"/>
          <w:color w:val="4B4B4B"/>
        </w:rPr>
        <w:t>ee agre</w:t>
      </w:r>
      <w:r>
        <w:rPr>
          <w:rFonts w:ascii="Arial" w:cs="Arial" w:eastAsia="Arial" w:hAnsi="Arial"/>
          <w:sz w:val="14"/>
          <w:szCs w:val="14"/>
          <w:color w:val="5B5B5B"/>
        </w:rPr>
        <w:t xml:space="preserve">es </w:t>
      </w:r>
      <w:r>
        <w:rPr>
          <w:rFonts w:ascii="Arial" w:cs="Arial" w:eastAsia="Arial" w:hAnsi="Arial"/>
          <w:sz w:val="14"/>
          <w:szCs w:val="14"/>
          <w:color w:val="4B4B4B"/>
        </w:rPr>
        <w:t>t</w:t>
      </w:r>
      <w:r>
        <w:rPr>
          <w:rFonts w:ascii="Arial" w:cs="Arial" w:eastAsia="Arial" w:hAnsi="Arial"/>
          <w:sz w:val="14"/>
          <w:szCs w:val="14"/>
          <w:color w:val="5B5B5B"/>
        </w:rPr>
        <w:t xml:space="preserve">o </w:t>
      </w:r>
      <w:r>
        <w:rPr>
          <w:rFonts w:ascii="Arial" w:cs="Arial" w:eastAsia="Arial" w:hAnsi="Arial"/>
          <w:sz w:val="14"/>
          <w:szCs w:val="14"/>
          <w:color w:val="4B4B4B"/>
        </w:rPr>
        <w:t>pay</w:t>
      </w:r>
      <w:r>
        <w:rPr>
          <w:rFonts w:ascii="Arial" w:cs="Arial" w:eastAsia="Arial" w:hAnsi="Arial"/>
          <w:sz w:val="14"/>
          <w:szCs w:val="14"/>
          <w:color w:val="5B5B5B"/>
        </w:rPr>
        <w:t xml:space="preserve"> fo</w:t>
      </w:r>
      <w:r>
        <w:rPr>
          <w:rFonts w:ascii="Arial" w:cs="Arial" w:eastAsia="Arial" w:hAnsi="Arial"/>
          <w:sz w:val="14"/>
          <w:szCs w:val="14"/>
          <w:color w:val="4B4B4B"/>
        </w:rPr>
        <w:t>r</w:t>
      </w:r>
      <w:r>
        <w:rPr>
          <w:rFonts w:ascii="Arial" w:cs="Arial" w:eastAsia="Arial" w:hAnsi="Arial"/>
          <w:sz w:val="14"/>
          <w:szCs w:val="14"/>
          <w:color w:val="5B5B5B"/>
        </w:rPr>
        <w:t xml:space="preserve"> s</w:t>
      </w:r>
      <w:r>
        <w:rPr>
          <w:rFonts w:ascii="Arial" w:cs="Arial" w:eastAsia="Arial" w:hAnsi="Arial"/>
          <w:sz w:val="14"/>
          <w:szCs w:val="14"/>
          <w:color w:val="4B4B4B"/>
        </w:rPr>
        <w:t>u</w:t>
      </w:r>
      <w:r>
        <w:rPr>
          <w:rFonts w:ascii="Arial" w:cs="Arial" w:eastAsia="Arial" w:hAnsi="Arial"/>
          <w:sz w:val="14"/>
          <w:szCs w:val="14"/>
          <w:color w:val="5B5B5B"/>
        </w:rPr>
        <w:t>c</w:t>
      </w:r>
      <w:r>
        <w:rPr>
          <w:rFonts w:ascii="Arial" w:cs="Arial" w:eastAsia="Arial" w:hAnsi="Arial"/>
          <w:sz w:val="14"/>
          <w:szCs w:val="14"/>
          <w:color w:val="4B4B4B"/>
        </w:rPr>
        <w:t>h</w:t>
      </w:r>
      <w:r>
        <w:rPr>
          <w:rFonts w:ascii="Arial" w:cs="Arial" w:eastAsia="Arial" w:hAnsi="Arial"/>
          <w:sz w:val="14"/>
          <w:szCs w:val="14"/>
          <w:color w:val="5B5B5B"/>
        </w:rPr>
        <w:t xml:space="preserve"> e</w:t>
      </w:r>
      <w:r>
        <w:rPr>
          <w:rFonts w:ascii="Arial" w:cs="Arial" w:eastAsia="Arial" w:hAnsi="Arial"/>
          <w:sz w:val="14"/>
          <w:szCs w:val="14"/>
          <w:color w:val="4B4B4B"/>
        </w:rPr>
        <w:t>x</w:t>
      </w:r>
      <w:r>
        <w:rPr>
          <w:rFonts w:ascii="Arial" w:cs="Arial" w:eastAsia="Arial" w:hAnsi="Arial"/>
          <w:sz w:val="14"/>
          <w:szCs w:val="14"/>
          <w:color w:val="5B5B5B"/>
        </w:rPr>
        <w:t>c</w:t>
      </w:r>
      <w:r>
        <w:rPr>
          <w:rFonts w:ascii="Arial" w:cs="Arial" w:eastAsia="Arial" w:hAnsi="Arial"/>
          <w:sz w:val="14"/>
          <w:szCs w:val="14"/>
          <w:color w:val="4B4B4B"/>
        </w:rPr>
        <w:t>e</w:t>
      </w:r>
      <w:r>
        <w:rPr>
          <w:rFonts w:ascii="Arial" w:cs="Arial" w:eastAsia="Arial" w:hAnsi="Arial"/>
          <w:sz w:val="14"/>
          <w:szCs w:val="14"/>
          <w:color w:val="5B5B5B"/>
        </w:rPr>
        <w:t xml:space="preserve">ss </w:t>
      </w:r>
      <w:r>
        <w:rPr>
          <w:rFonts w:ascii="Arial" w:cs="Arial" w:eastAsia="Arial" w:hAnsi="Arial"/>
          <w:sz w:val="14"/>
          <w:szCs w:val="14"/>
          <w:color w:val="4B4B4B"/>
        </w:rPr>
        <w:t>us</w:t>
      </w:r>
      <w:r>
        <w:rPr>
          <w:rFonts w:ascii="Arial" w:cs="Arial" w:eastAsia="Arial" w:hAnsi="Arial"/>
          <w:sz w:val="14"/>
          <w:szCs w:val="14"/>
          <w:color w:val="5B5B5B"/>
        </w:rPr>
        <w:t>ing its fu</w:t>
      </w:r>
      <w:r>
        <w:rPr>
          <w:rFonts w:ascii="Arial" w:cs="Arial" w:eastAsia="Arial" w:hAnsi="Arial"/>
          <w:sz w:val="14"/>
          <w:szCs w:val="14"/>
          <w:color w:val="4B4B4B"/>
        </w:rPr>
        <w:t>nds</w:t>
      </w:r>
      <w:r>
        <w:rPr>
          <w:rFonts w:ascii="Arial" w:cs="Arial" w:eastAsia="Arial" w:hAnsi="Arial"/>
          <w:sz w:val="14"/>
          <w:szCs w:val="14"/>
          <w:color w:val="5B5B5B"/>
        </w:rPr>
        <w:t xml:space="preserve"> or </w:t>
      </w:r>
      <w:r>
        <w:rPr>
          <w:rFonts w:ascii="Arial" w:cs="Arial" w:eastAsia="Arial" w:hAnsi="Arial"/>
          <w:sz w:val="14"/>
          <w:szCs w:val="14"/>
          <w:color w:val="4B4B4B"/>
        </w:rPr>
        <w:t>the</w:t>
      </w:r>
      <w:r>
        <w:rPr>
          <w:rFonts w:ascii="Arial" w:cs="Arial" w:eastAsia="Arial" w:hAnsi="Arial"/>
          <w:sz w:val="14"/>
          <w:szCs w:val="14"/>
          <w:color w:val="5B5B5B"/>
        </w:rPr>
        <w:t xml:space="preserve"> L</w:t>
      </w:r>
      <w:r>
        <w:rPr>
          <w:rFonts w:ascii="Arial" w:cs="Arial" w:eastAsia="Arial" w:hAnsi="Arial"/>
          <w:sz w:val="14"/>
          <w:szCs w:val="14"/>
          <w:color w:val="4B4B4B"/>
        </w:rPr>
        <w:t>e</w:t>
      </w:r>
      <w:r>
        <w:rPr>
          <w:rFonts w:ascii="Arial" w:cs="Arial" w:eastAsia="Arial" w:hAnsi="Arial"/>
          <w:sz w:val="14"/>
          <w:szCs w:val="14"/>
          <w:color w:val="5B5B5B"/>
        </w:rPr>
        <w:t>ssor provi</w:t>
      </w:r>
      <w:r>
        <w:rPr>
          <w:rFonts w:ascii="Arial" w:cs="Arial" w:eastAsia="Arial" w:hAnsi="Arial"/>
          <w:sz w:val="14"/>
          <w:szCs w:val="14"/>
          <w:color w:val="4B4B4B"/>
        </w:rPr>
        <w:t>d</w:t>
      </w:r>
      <w:r>
        <w:rPr>
          <w:rFonts w:ascii="Arial" w:cs="Arial" w:eastAsia="Arial" w:hAnsi="Arial"/>
          <w:sz w:val="14"/>
          <w:szCs w:val="14"/>
          <w:color w:val="5B5B5B"/>
        </w:rPr>
        <w:t>e</w:t>
      </w:r>
      <w:r>
        <w:rPr>
          <w:rFonts w:ascii="Arial" w:cs="Arial" w:eastAsia="Arial" w:hAnsi="Arial"/>
          <w:sz w:val="14"/>
          <w:szCs w:val="14"/>
          <w:color w:val="4B4B4B"/>
        </w:rPr>
        <w:t>d</w:t>
      </w:r>
      <w:r>
        <w:rPr>
          <w:rFonts w:ascii="Arial" w:cs="Arial" w:eastAsia="Arial" w:hAnsi="Arial"/>
          <w:sz w:val="14"/>
          <w:szCs w:val="14"/>
          <w:color w:val="5B5B5B"/>
        </w:rPr>
        <w:t xml:space="preserve"> </w:t>
      </w:r>
      <w:r>
        <w:rPr>
          <w:rFonts w:ascii="Arial" w:cs="Arial" w:eastAsia="Arial" w:hAnsi="Arial"/>
          <w:sz w:val="14"/>
          <w:szCs w:val="14"/>
          <w:color w:val="878787"/>
        </w:rPr>
        <w:t>"</w:t>
      </w:r>
      <w:r>
        <w:rPr>
          <w:rFonts w:ascii="Arial" w:cs="Arial" w:eastAsia="Arial" w:hAnsi="Arial"/>
          <w:sz w:val="14"/>
          <w:szCs w:val="14"/>
          <w:color w:val="5B5B5B"/>
        </w:rPr>
        <w:t>A</w:t>
      </w:r>
      <w:r>
        <w:rPr>
          <w:rFonts w:ascii="Arial" w:cs="Arial" w:eastAsia="Arial" w:hAnsi="Arial"/>
          <w:sz w:val="14"/>
          <w:szCs w:val="14"/>
          <w:color w:val="4B4B4B"/>
        </w:rPr>
        <w:t>dd</w:t>
      </w:r>
      <w:r>
        <w:rPr>
          <w:rFonts w:ascii="Arial" w:cs="Arial" w:eastAsia="Arial" w:hAnsi="Arial"/>
          <w:sz w:val="14"/>
          <w:szCs w:val="14"/>
          <w:color w:val="5B5B5B"/>
        </w:rPr>
        <w:t>itio</w:t>
      </w:r>
      <w:r>
        <w:rPr>
          <w:rFonts w:ascii="Arial" w:cs="Arial" w:eastAsia="Arial" w:hAnsi="Arial"/>
          <w:sz w:val="14"/>
          <w:szCs w:val="14"/>
          <w:color w:val="4B4B4B"/>
        </w:rPr>
        <w:t>n</w:t>
      </w:r>
      <w:r>
        <w:rPr>
          <w:rFonts w:ascii="Arial" w:cs="Arial" w:eastAsia="Arial" w:hAnsi="Arial"/>
          <w:sz w:val="14"/>
          <w:szCs w:val="14"/>
          <w:color w:val="5B5B5B"/>
        </w:rPr>
        <w:t>a</w:t>
      </w:r>
      <w:r>
        <w:rPr>
          <w:rFonts w:ascii="Arial" w:cs="Arial" w:eastAsia="Arial" w:hAnsi="Arial"/>
          <w:sz w:val="14"/>
          <w:szCs w:val="14"/>
          <w:color w:val="2F2F2F"/>
        </w:rPr>
        <w:t>l</w:t>
      </w:r>
      <w:r>
        <w:rPr>
          <w:rFonts w:ascii="Arial" w:cs="Arial" w:eastAsia="Arial" w:hAnsi="Arial"/>
          <w:sz w:val="14"/>
          <w:szCs w:val="14"/>
          <w:color w:val="5B5B5B"/>
        </w:rPr>
        <w:t xml:space="preserve"> </w:t>
      </w:r>
      <w:r>
        <w:rPr>
          <w:rFonts w:ascii="Arial" w:cs="Arial" w:eastAsia="Arial" w:hAnsi="Arial"/>
          <w:sz w:val="14"/>
          <w:szCs w:val="14"/>
          <w:color w:val="4B4B4B"/>
        </w:rPr>
        <w:t>All</w:t>
      </w:r>
      <w:r>
        <w:rPr>
          <w:rFonts w:ascii="Arial" w:cs="Arial" w:eastAsia="Arial" w:hAnsi="Arial"/>
          <w:sz w:val="14"/>
          <w:szCs w:val="14"/>
          <w:color w:val="5B5B5B"/>
        </w:rPr>
        <w:t>o</w:t>
      </w:r>
      <w:r>
        <w:rPr>
          <w:rFonts w:ascii="Arial" w:cs="Arial" w:eastAsia="Arial" w:hAnsi="Arial"/>
          <w:sz w:val="14"/>
          <w:szCs w:val="14"/>
          <w:color w:val="4B4B4B"/>
        </w:rPr>
        <w:t>w</w:t>
      </w:r>
      <w:r>
        <w:rPr>
          <w:rFonts w:ascii="Arial" w:cs="Arial" w:eastAsia="Arial" w:hAnsi="Arial"/>
          <w:sz w:val="14"/>
          <w:szCs w:val="14"/>
          <w:color w:val="5B5B5B"/>
        </w:rPr>
        <w:t>a</w:t>
      </w:r>
      <w:r>
        <w:rPr>
          <w:rFonts w:ascii="Arial" w:cs="Arial" w:eastAsia="Arial" w:hAnsi="Arial"/>
          <w:sz w:val="14"/>
          <w:szCs w:val="14"/>
          <w:color w:val="4B4B4B"/>
        </w:rPr>
        <w:t>n</w:t>
      </w:r>
      <w:r>
        <w:rPr>
          <w:rFonts w:ascii="Arial" w:cs="Arial" w:eastAsia="Arial" w:hAnsi="Arial"/>
          <w:sz w:val="14"/>
          <w:szCs w:val="14"/>
          <w:color w:val="5B5B5B"/>
        </w:rPr>
        <w:t>c</w:t>
      </w:r>
      <w:r>
        <w:rPr>
          <w:rFonts w:ascii="Arial" w:cs="Arial" w:eastAsia="Arial" w:hAnsi="Arial"/>
          <w:sz w:val="14"/>
          <w:szCs w:val="14"/>
          <w:color w:val="4B4B4B"/>
        </w:rPr>
        <w:t>e</w:t>
      </w:r>
      <w:r>
        <w:rPr>
          <w:rFonts w:ascii="Arial" w:cs="Arial" w:eastAsia="Arial" w:hAnsi="Arial"/>
          <w:sz w:val="14"/>
          <w:szCs w:val="14"/>
          <w:color w:val="878787"/>
        </w:rPr>
        <w:t>"</w:t>
      </w:r>
      <w:r>
        <w:rPr>
          <w:rFonts w:ascii="Arial" w:cs="Arial" w:eastAsia="Arial" w:hAnsi="Arial"/>
          <w:sz w:val="14"/>
          <w:szCs w:val="14"/>
          <w:color w:val="5B5B5B"/>
        </w:rPr>
        <w:t xml:space="preserve"> o</w:t>
      </w:r>
      <w:r>
        <w:rPr>
          <w:rFonts w:ascii="Arial" w:cs="Arial" w:eastAsia="Arial" w:hAnsi="Arial"/>
          <w:sz w:val="14"/>
          <w:szCs w:val="14"/>
          <w:color w:val="4B4B4B"/>
        </w:rPr>
        <w:t>f</w:t>
      </w:r>
      <w:r>
        <w:rPr>
          <w:rFonts w:ascii="Arial" w:cs="Arial" w:eastAsia="Arial" w:hAnsi="Arial"/>
          <w:sz w:val="14"/>
          <w:szCs w:val="14"/>
          <w:color w:val="5B5B5B"/>
        </w:rPr>
        <w:t xml:space="preserve"> up to Fi</w:t>
      </w:r>
      <w:r>
        <w:rPr>
          <w:rFonts w:ascii="Arial" w:cs="Arial" w:eastAsia="Arial" w:hAnsi="Arial"/>
          <w:sz w:val="14"/>
          <w:szCs w:val="14"/>
          <w:color w:val="4B4B4B"/>
        </w:rPr>
        <w:t>ft</w:t>
      </w:r>
      <w:r>
        <w:rPr>
          <w:rFonts w:ascii="Arial" w:cs="Arial" w:eastAsia="Arial" w:hAnsi="Arial"/>
          <w:sz w:val="14"/>
          <w:szCs w:val="14"/>
          <w:color w:val="5B5B5B"/>
        </w:rPr>
        <w:t>y Tho</w:t>
      </w:r>
      <w:r>
        <w:rPr>
          <w:rFonts w:ascii="Arial" w:cs="Arial" w:eastAsia="Arial" w:hAnsi="Arial"/>
          <w:sz w:val="14"/>
          <w:szCs w:val="14"/>
          <w:color w:val="4B4B4B"/>
        </w:rPr>
        <w:t>u</w:t>
      </w:r>
      <w:r>
        <w:rPr>
          <w:rFonts w:ascii="Arial" w:cs="Arial" w:eastAsia="Arial" w:hAnsi="Arial"/>
          <w:sz w:val="14"/>
          <w:szCs w:val="14"/>
          <w:color w:val="5B5B5B"/>
        </w:rPr>
        <w:t>s</w:t>
      </w:r>
      <w:r>
        <w:rPr>
          <w:rFonts w:ascii="Arial" w:cs="Arial" w:eastAsia="Arial" w:hAnsi="Arial"/>
          <w:sz w:val="14"/>
          <w:szCs w:val="14"/>
          <w:color w:val="4B4B4B"/>
        </w:rPr>
        <w:t>and</w:t>
      </w:r>
      <w:r>
        <w:rPr>
          <w:rFonts w:ascii="Arial" w:cs="Arial" w:eastAsia="Arial" w:hAnsi="Arial"/>
          <w:sz w:val="14"/>
          <w:szCs w:val="14"/>
          <w:color w:val="5B5B5B"/>
        </w:rPr>
        <w:t xml:space="preserve"> Do</w:t>
      </w:r>
      <w:r>
        <w:rPr>
          <w:rFonts w:ascii="Arial" w:cs="Arial" w:eastAsia="Arial" w:hAnsi="Arial"/>
          <w:sz w:val="14"/>
          <w:szCs w:val="14"/>
          <w:color w:val="4B4B4B"/>
        </w:rPr>
        <w:t>ll</w:t>
      </w:r>
      <w:r>
        <w:rPr>
          <w:rFonts w:ascii="Arial" w:cs="Arial" w:eastAsia="Arial" w:hAnsi="Arial"/>
          <w:sz w:val="14"/>
          <w:szCs w:val="14"/>
          <w:color w:val="5B5B5B"/>
        </w:rPr>
        <w:t>ars ($50</w:t>
      </w:r>
      <w:r>
        <w:rPr>
          <w:rFonts w:ascii="Arial" w:cs="Arial" w:eastAsia="Arial" w:hAnsi="Arial"/>
          <w:sz w:val="14"/>
          <w:szCs w:val="14"/>
          <w:color w:val="757575"/>
        </w:rPr>
        <w:t>,</w:t>
      </w:r>
      <w:r>
        <w:rPr>
          <w:rFonts w:ascii="Arial" w:cs="Arial" w:eastAsia="Arial" w:hAnsi="Arial"/>
          <w:sz w:val="14"/>
          <w:szCs w:val="14"/>
          <w:color w:val="4B4B4B"/>
        </w:rPr>
        <w:t>0</w:t>
      </w:r>
      <w:r>
        <w:rPr>
          <w:rFonts w:ascii="Arial" w:cs="Arial" w:eastAsia="Arial" w:hAnsi="Arial"/>
          <w:sz w:val="14"/>
          <w:szCs w:val="14"/>
          <w:color w:val="5B5B5B"/>
        </w:rPr>
        <w:t xml:space="preserve">00.00). Any </w:t>
      </w:r>
      <w:r>
        <w:rPr>
          <w:rFonts w:ascii="Arial" w:cs="Arial" w:eastAsia="Arial" w:hAnsi="Arial"/>
          <w:sz w:val="14"/>
          <w:szCs w:val="14"/>
          <w:color w:val="4B4B4B"/>
        </w:rPr>
        <w:t>p</w:t>
      </w:r>
      <w:r>
        <w:rPr>
          <w:rFonts w:ascii="Arial" w:cs="Arial" w:eastAsia="Arial" w:hAnsi="Arial"/>
          <w:sz w:val="14"/>
          <w:szCs w:val="14"/>
          <w:color w:val="5B5B5B"/>
        </w:rPr>
        <w:t>ortio</w:t>
      </w:r>
      <w:r>
        <w:rPr>
          <w:rFonts w:ascii="Arial" w:cs="Arial" w:eastAsia="Arial" w:hAnsi="Arial"/>
          <w:sz w:val="14"/>
          <w:szCs w:val="14"/>
          <w:color w:val="4B4B4B"/>
        </w:rPr>
        <w:t>n</w:t>
      </w:r>
      <w:r>
        <w:rPr>
          <w:rFonts w:ascii="Arial" w:cs="Arial" w:eastAsia="Arial" w:hAnsi="Arial"/>
          <w:sz w:val="14"/>
          <w:szCs w:val="14"/>
          <w:color w:val="5B5B5B"/>
        </w:rPr>
        <w:t xml:space="preserve"> of </w:t>
      </w:r>
      <w:r>
        <w:rPr>
          <w:rFonts w:ascii="Arial" w:cs="Arial" w:eastAsia="Arial" w:hAnsi="Arial"/>
          <w:sz w:val="14"/>
          <w:szCs w:val="14"/>
          <w:color w:val="4B4B4B"/>
        </w:rPr>
        <w:t>t</w:t>
      </w:r>
      <w:r>
        <w:rPr>
          <w:rFonts w:ascii="Arial" w:cs="Arial" w:eastAsia="Arial" w:hAnsi="Arial"/>
          <w:sz w:val="14"/>
          <w:szCs w:val="14"/>
          <w:color w:val="5B5B5B"/>
        </w:rPr>
        <w:t>he Addi</w:t>
      </w:r>
      <w:r>
        <w:rPr>
          <w:rFonts w:ascii="Arial" w:cs="Arial" w:eastAsia="Arial" w:hAnsi="Arial"/>
          <w:sz w:val="14"/>
          <w:szCs w:val="14"/>
          <w:color w:val="757575"/>
        </w:rPr>
        <w:t>t</w:t>
      </w:r>
      <w:r>
        <w:rPr>
          <w:rFonts w:ascii="Arial" w:cs="Arial" w:eastAsia="Arial" w:hAnsi="Arial"/>
          <w:sz w:val="14"/>
          <w:szCs w:val="14"/>
          <w:color w:val="5B5B5B"/>
        </w:rPr>
        <w:t>iona</w:t>
      </w:r>
      <w:r>
        <w:rPr>
          <w:rFonts w:ascii="Arial" w:cs="Arial" w:eastAsia="Arial" w:hAnsi="Arial"/>
          <w:sz w:val="14"/>
          <w:szCs w:val="14"/>
          <w:color w:val="4B4B4B"/>
        </w:rPr>
        <w:t>l</w:t>
      </w:r>
      <w:r>
        <w:rPr>
          <w:rFonts w:ascii="Arial" w:cs="Arial" w:eastAsia="Arial" w:hAnsi="Arial"/>
          <w:sz w:val="14"/>
          <w:szCs w:val="14"/>
          <w:color w:val="5B5B5B"/>
        </w:rPr>
        <w:t xml:space="preserve"> Allo</w:t>
      </w:r>
      <w:r>
        <w:rPr>
          <w:rFonts w:ascii="Arial" w:cs="Arial" w:eastAsia="Arial" w:hAnsi="Arial"/>
          <w:sz w:val="14"/>
          <w:szCs w:val="14"/>
          <w:color w:val="4B4B4B"/>
        </w:rPr>
        <w:t>wan</w:t>
      </w:r>
      <w:r>
        <w:rPr>
          <w:rFonts w:ascii="Arial" w:cs="Arial" w:eastAsia="Arial" w:hAnsi="Arial"/>
          <w:sz w:val="14"/>
          <w:szCs w:val="14"/>
          <w:color w:val="5B5B5B"/>
        </w:rPr>
        <w:t xml:space="preserve">ce </w:t>
      </w:r>
      <w:r>
        <w:rPr>
          <w:rFonts w:ascii="Arial" w:cs="Arial" w:eastAsia="Arial" w:hAnsi="Arial"/>
          <w:sz w:val="14"/>
          <w:szCs w:val="14"/>
          <w:color w:val="4B4B4B"/>
        </w:rPr>
        <w:t>u</w:t>
      </w:r>
      <w:r>
        <w:rPr>
          <w:rFonts w:ascii="Arial" w:cs="Arial" w:eastAsia="Arial" w:hAnsi="Arial"/>
          <w:sz w:val="14"/>
          <w:szCs w:val="14"/>
          <w:color w:val="5B5B5B"/>
        </w:rPr>
        <w:t>sed by Le</w:t>
      </w:r>
      <w:r>
        <w:rPr>
          <w:rFonts w:ascii="Arial" w:cs="Arial" w:eastAsia="Arial" w:hAnsi="Arial"/>
          <w:sz w:val="14"/>
          <w:szCs w:val="14"/>
          <w:color w:val="4B4B4B"/>
        </w:rPr>
        <w:t>s</w:t>
      </w:r>
      <w:r>
        <w:rPr>
          <w:rFonts w:ascii="Arial" w:cs="Arial" w:eastAsia="Arial" w:hAnsi="Arial"/>
          <w:sz w:val="14"/>
          <w:szCs w:val="14"/>
          <w:color w:val="5B5B5B"/>
        </w:rPr>
        <w:t>se</w:t>
      </w:r>
      <w:r>
        <w:rPr>
          <w:rFonts w:ascii="Arial" w:cs="Arial" w:eastAsia="Arial" w:hAnsi="Arial"/>
          <w:sz w:val="14"/>
          <w:szCs w:val="14"/>
          <w:color w:val="4B4B4B"/>
        </w:rPr>
        <w:t>e</w:t>
      </w:r>
      <w:r>
        <w:rPr>
          <w:rFonts w:ascii="Arial" w:cs="Arial" w:eastAsia="Arial" w:hAnsi="Arial"/>
          <w:sz w:val="14"/>
          <w:szCs w:val="14"/>
          <w:color w:val="5B5B5B"/>
        </w:rPr>
        <w:t xml:space="preserve"> s</w:t>
      </w:r>
      <w:r>
        <w:rPr>
          <w:rFonts w:ascii="Arial" w:cs="Arial" w:eastAsia="Arial" w:hAnsi="Arial"/>
          <w:sz w:val="14"/>
          <w:szCs w:val="14"/>
          <w:color w:val="4B4B4B"/>
        </w:rPr>
        <w:t>hall b</w:t>
      </w:r>
      <w:r>
        <w:rPr>
          <w:rFonts w:ascii="Arial" w:cs="Arial" w:eastAsia="Arial" w:hAnsi="Arial"/>
          <w:sz w:val="14"/>
          <w:szCs w:val="14"/>
          <w:color w:val="5B5B5B"/>
        </w:rPr>
        <w:t xml:space="preserve">e </w:t>
      </w:r>
      <w:r>
        <w:rPr>
          <w:rFonts w:ascii="Arial" w:cs="Arial" w:eastAsia="Arial" w:hAnsi="Arial"/>
          <w:sz w:val="14"/>
          <w:szCs w:val="14"/>
          <w:color w:val="4B4B4B"/>
        </w:rPr>
        <w:t>a</w:t>
      </w:r>
      <w:r>
        <w:rPr>
          <w:rFonts w:ascii="Arial" w:cs="Arial" w:eastAsia="Arial" w:hAnsi="Arial"/>
          <w:sz w:val="14"/>
          <w:szCs w:val="14"/>
          <w:color w:val="5B5B5B"/>
        </w:rPr>
        <w:t>mo</w:t>
      </w:r>
      <w:r>
        <w:rPr>
          <w:rFonts w:ascii="Arial" w:cs="Arial" w:eastAsia="Arial" w:hAnsi="Arial"/>
          <w:sz w:val="14"/>
          <w:szCs w:val="14"/>
          <w:color w:val="4B4B4B"/>
        </w:rPr>
        <w:t>rt</w:t>
      </w:r>
      <w:r>
        <w:rPr>
          <w:rFonts w:ascii="Arial" w:cs="Arial" w:eastAsia="Arial" w:hAnsi="Arial"/>
          <w:sz w:val="14"/>
          <w:szCs w:val="14"/>
          <w:color w:val="5B5B5B"/>
        </w:rPr>
        <w:t>i</w:t>
      </w:r>
      <w:r>
        <w:rPr>
          <w:rFonts w:ascii="Arial" w:cs="Arial" w:eastAsia="Arial" w:hAnsi="Arial"/>
          <w:sz w:val="14"/>
          <w:szCs w:val="14"/>
          <w:color w:val="4B4B4B"/>
        </w:rPr>
        <w:t>z</w:t>
      </w:r>
      <w:r>
        <w:rPr>
          <w:rFonts w:ascii="Arial" w:cs="Arial" w:eastAsia="Arial" w:hAnsi="Arial"/>
          <w:sz w:val="14"/>
          <w:szCs w:val="14"/>
          <w:color w:val="5B5B5B"/>
        </w:rPr>
        <w:t>e</w:t>
      </w:r>
      <w:r>
        <w:rPr>
          <w:rFonts w:ascii="Arial" w:cs="Arial" w:eastAsia="Arial" w:hAnsi="Arial"/>
          <w:sz w:val="14"/>
          <w:szCs w:val="14"/>
          <w:color w:val="4B4B4B"/>
        </w:rPr>
        <w:t xml:space="preserve">d </w:t>
      </w:r>
      <w:r>
        <w:rPr>
          <w:rFonts w:ascii="Arial" w:cs="Arial" w:eastAsia="Arial" w:hAnsi="Arial"/>
          <w:sz w:val="14"/>
          <w:szCs w:val="14"/>
          <w:color w:val="5B5B5B"/>
        </w:rPr>
        <w:t>o</w:t>
      </w:r>
      <w:r>
        <w:rPr>
          <w:rFonts w:ascii="Arial" w:cs="Arial" w:eastAsia="Arial" w:hAnsi="Arial"/>
          <w:sz w:val="14"/>
          <w:szCs w:val="14"/>
          <w:color w:val="4B4B4B"/>
        </w:rPr>
        <w:t>ve</w:t>
      </w:r>
      <w:r>
        <w:rPr>
          <w:rFonts w:ascii="Arial" w:cs="Arial" w:eastAsia="Arial" w:hAnsi="Arial"/>
          <w:sz w:val="14"/>
          <w:szCs w:val="14"/>
          <w:color w:val="5B5B5B"/>
        </w:rPr>
        <w:t>r</w:t>
      </w:r>
      <w:r>
        <w:rPr>
          <w:rFonts w:ascii="Arial" w:cs="Arial" w:eastAsia="Arial" w:hAnsi="Arial"/>
          <w:sz w:val="14"/>
          <w:szCs w:val="14"/>
          <w:color w:val="4B4B4B"/>
        </w:rPr>
        <w:t xml:space="preserve"> th</w:t>
      </w:r>
      <w:r>
        <w:rPr>
          <w:rFonts w:ascii="Arial" w:cs="Arial" w:eastAsia="Arial" w:hAnsi="Arial"/>
          <w:sz w:val="14"/>
          <w:szCs w:val="14"/>
          <w:color w:val="5B5B5B"/>
        </w:rPr>
        <w:t>e remaini</w:t>
      </w:r>
      <w:r>
        <w:rPr>
          <w:rFonts w:ascii="Arial" w:cs="Arial" w:eastAsia="Arial" w:hAnsi="Arial"/>
          <w:sz w:val="14"/>
          <w:szCs w:val="14"/>
          <w:color w:val="4B4B4B"/>
        </w:rPr>
        <w:t>n</w:t>
      </w:r>
      <w:r>
        <w:rPr>
          <w:rFonts w:ascii="Arial" w:cs="Arial" w:eastAsia="Arial" w:hAnsi="Arial"/>
          <w:sz w:val="14"/>
          <w:szCs w:val="14"/>
          <w:color w:val="5B5B5B"/>
        </w:rPr>
        <w:t>g term o</w:t>
      </w:r>
      <w:r>
        <w:rPr>
          <w:rFonts w:ascii="Arial" w:cs="Arial" w:eastAsia="Arial" w:hAnsi="Arial"/>
          <w:sz w:val="14"/>
          <w:szCs w:val="14"/>
          <w:color w:val="757575"/>
        </w:rPr>
        <w:t>f</w:t>
      </w:r>
      <w:r>
        <w:rPr>
          <w:rFonts w:ascii="Arial" w:cs="Arial" w:eastAsia="Arial" w:hAnsi="Arial"/>
          <w:sz w:val="14"/>
          <w:szCs w:val="14"/>
          <w:color w:val="4B4B4B"/>
        </w:rPr>
        <w:t xml:space="preserve"> t</w:t>
      </w:r>
      <w:r>
        <w:rPr>
          <w:rFonts w:ascii="Arial" w:cs="Arial" w:eastAsia="Arial" w:hAnsi="Arial"/>
          <w:sz w:val="14"/>
          <w:szCs w:val="14"/>
          <w:color w:val="5B5B5B"/>
        </w:rPr>
        <w:t>he leas</w:t>
      </w:r>
      <w:r>
        <w:rPr>
          <w:rFonts w:ascii="Arial" w:cs="Arial" w:eastAsia="Arial" w:hAnsi="Arial"/>
          <w:sz w:val="14"/>
          <w:szCs w:val="14"/>
          <w:color w:val="4B4B4B"/>
        </w:rPr>
        <w:t>e a</w:t>
      </w:r>
      <w:r>
        <w:rPr>
          <w:rFonts w:ascii="Arial" w:cs="Arial" w:eastAsia="Arial" w:hAnsi="Arial"/>
          <w:sz w:val="14"/>
          <w:szCs w:val="14"/>
          <w:color w:val="5B5B5B"/>
        </w:rPr>
        <w:t>t</w:t>
      </w:r>
      <w:r>
        <w:rPr>
          <w:rFonts w:ascii="Arial" w:cs="Arial" w:eastAsia="Arial" w:hAnsi="Arial"/>
          <w:sz w:val="14"/>
          <w:szCs w:val="14"/>
          <w:color w:val="4B4B4B"/>
        </w:rPr>
        <w:t xml:space="preserve"> </w:t>
      </w:r>
      <w:r>
        <w:rPr>
          <w:rFonts w:ascii="Arial" w:cs="Arial" w:eastAsia="Arial" w:hAnsi="Arial"/>
          <w:sz w:val="14"/>
          <w:szCs w:val="14"/>
          <w:color w:val="757575"/>
        </w:rPr>
        <w:t>7</w:t>
      </w:r>
      <w:r>
        <w:rPr>
          <w:rFonts w:ascii="Arial" w:cs="Arial" w:eastAsia="Arial" w:hAnsi="Arial"/>
          <w:sz w:val="14"/>
          <w:szCs w:val="14"/>
          <w:color w:val="5B5B5B"/>
        </w:rPr>
        <w:t>%</w:t>
      </w:r>
      <w:r>
        <w:rPr>
          <w:rFonts w:ascii="Arial" w:cs="Arial" w:eastAsia="Arial" w:hAnsi="Arial"/>
          <w:sz w:val="14"/>
          <w:szCs w:val="14"/>
          <w:color w:val="4B4B4B"/>
        </w:rPr>
        <w:t xml:space="preserve"> a</w:t>
      </w:r>
      <w:r>
        <w:rPr>
          <w:rFonts w:ascii="Arial" w:cs="Arial" w:eastAsia="Arial" w:hAnsi="Arial"/>
          <w:sz w:val="14"/>
          <w:szCs w:val="14"/>
          <w:color w:val="5B5B5B"/>
        </w:rPr>
        <w:t>nnual</w:t>
      </w:r>
      <w:r>
        <w:rPr>
          <w:rFonts w:ascii="Arial" w:cs="Arial" w:eastAsia="Arial" w:hAnsi="Arial"/>
          <w:sz w:val="14"/>
          <w:szCs w:val="14"/>
          <w:color w:val="4B4B4B"/>
        </w:rPr>
        <w:t xml:space="preserve"> in</w:t>
      </w:r>
      <w:r>
        <w:rPr>
          <w:rFonts w:ascii="Arial" w:cs="Arial" w:eastAsia="Arial" w:hAnsi="Arial"/>
          <w:sz w:val="14"/>
          <w:szCs w:val="14"/>
          <w:color w:val="5B5B5B"/>
        </w:rPr>
        <w:t>c</w:t>
      </w:r>
      <w:r>
        <w:rPr>
          <w:rFonts w:ascii="Arial" w:cs="Arial" w:eastAsia="Arial" w:hAnsi="Arial"/>
          <w:sz w:val="14"/>
          <w:szCs w:val="14"/>
          <w:color w:val="4B4B4B"/>
        </w:rPr>
        <w:t>r</w:t>
      </w:r>
      <w:r>
        <w:rPr>
          <w:rFonts w:ascii="Arial" w:cs="Arial" w:eastAsia="Arial" w:hAnsi="Arial"/>
          <w:sz w:val="14"/>
          <w:szCs w:val="14"/>
          <w:color w:val="5B5B5B"/>
        </w:rPr>
        <w:t>e</w:t>
      </w:r>
      <w:r>
        <w:rPr>
          <w:rFonts w:ascii="Arial" w:cs="Arial" w:eastAsia="Arial" w:hAnsi="Arial"/>
          <w:sz w:val="14"/>
          <w:szCs w:val="14"/>
          <w:color w:val="4B4B4B"/>
        </w:rPr>
        <w:t>a</w:t>
      </w:r>
      <w:r>
        <w:rPr>
          <w:rFonts w:ascii="Arial" w:cs="Arial" w:eastAsia="Arial" w:hAnsi="Arial"/>
          <w:sz w:val="14"/>
          <w:szCs w:val="14"/>
          <w:color w:val="5B5B5B"/>
        </w:rPr>
        <w:t>s</w:t>
      </w:r>
      <w:r>
        <w:rPr>
          <w:rFonts w:ascii="Arial" w:cs="Arial" w:eastAsia="Arial" w:hAnsi="Arial"/>
          <w:sz w:val="14"/>
          <w:szCs w:val="14"/>
          <w:color w:val="4B4B4B"/>
        </w:rPr>
        <w:t xml:space="preserve">e and </w:t>
      </w:r>
      <w:r>
        <w:rPr>
          <w:rFonts w:ascii="Arial" w:cs="Arial" w:eastAsia="Arial" w:hAnsi="Arial"/>
          <w:sz w:val="14"/>
          <w:szCs w:val="14"/>
          <w:color w:val="5B5B5B"/>
        </w:rPr>
        <w:t>pa</w:t>
      </w:r>
      <w:r>
        <w:rPr>
          <w:rFonts w:ascii="Arial" w:cs="Arial" w:eastAsia="Arial" w:hAnsi="Arial"/>
          <w:sz w:val="14"/>
          <w:szCs w:val="14"/>
          <w:color w:val="4B4B4B"/>
        </w:rPr>
        <w:t>id monthly as add</w:t>
      </w:r>
      <w:r>
        <w:rPr>
          <w:rFonts w:ascii="Arial" w:cs="Arial" w:eastAsia="Arial" w:hAnsi="Arial"/>
          <w:sz w:val="14"/>
          <w:szCs w:val="14"/>
          <w:color w:val="5B5B5B"/>
        </w:rPr>
        <w:t>i</w:t>
      </w:r>
      <w:r>
        <w:rPr>
          <w:rFonts w:ascii="Arial" w:cs="Arial" w:eastAsia="Arial" w:hAnsi="Arial"/>
          <w:sz w:val="14"/>
          <w:szCs w:val="14"/>
          <w:color w:val="4B4B4B"/>
        </w:rPr>
        <w:t xml:space="preserve">tional </w:t>
      </w:r>
      <w:r>
        <w:rPr>
          <w:rFonts w:ascii="Arial" w:cs="Arial" w:eastAsia="Arial" w:hAnsi="Arial"/>
          <w:sz w:val="14"/>
          <w:szCs w:val="14"/>
          <w:color w:val="5B5B5B"/>
        </w:rPr>
        <w:t>Base</w:t>
      </w:r>
      <w:r>
        <w:rPr>
          <w:rFonts w:ascii="Arial" w:cs="Arial" w:eastAsia="Arial" w:hAnsi="Arial"/>
          <w:sz w:val="14"/>
          <w:szCs w:val="14"/>
          <w:color w:val="4B4B4B"/>
        </w:rPr>
        <w:t xml:space="preserve"> R</w:t>
      </w:r>
      <w:r>
        <w:rPr>
          <w:rFonts w:ascii="Arial" w:cs="Arial" w:eastAsia="Arial" w:hAnsi="Arial"/>
          <w:sz w:val="14"/>
          <w:szCs w:val="14"/>
          <w:color w:val="5B5B5B"/>
        </w:rPr>
        <w:t>e</w:t>
      </w:r>
      <w:r>
        <w:rPr>
          <w:rFonts w:ascii="Arial" w:cs="Arial" w:eastAsia="Arial" w:hAnsi="Arial"/>
          <w:sz w:val="14"/>
          <w:szCs w:val="14"/>
          <w:color w:val="4B4B4B"/>
        </w:rPr>
        <w:t xml:space="preserve">nt. </w:t>
      </w:r>
      <w:r>
        <w:rPr>
          <w:rFonts w:ascii="Arial" w:cs="Arial" w:eastAsia="Arial" w:hAnsi="Arial"/>
          <w:sz w:val="14"/>
          <w:szCs w:val="14"/>
          <w:color w:val="5B5B5B"/>
        </w:rPr>
        <w:t>The</w:t>
      </w:r>
      <w:r>
        <w:rPr>
          <w:rFonts w:ascii="Arial" w:cs="Arial" w:eastAsia="Arial" w:hAnsi="Arial"/>
          <w:sz w:val="14"/>
          <w:szCs w:val="14"/>
          <w:color w:val="4B4B4B"/>
        </w:rPr>
        <w:t xml:space="preserve"> All</w:t>
      </w:r>
      <w:r>
        <w:rPr>
          <w:rFonts w:ascii="Arial" w:cs="Arial" w:eastAsia="Arial" w:hAnsi="Arial"/>
          <w:sz w:val="14"/>
          <w:szCs w:val="14"/>
          <w:color w:val="5B5B5B"/>
        </w:rPr>
        <w:t>o</w:t>
      </w:r>
      <w:r>
        <w:rPr>
          <w:rFonts w:ascii="Arial" w:cs="Arial" w:eastAsia="Arial" w:hAnsi="Arial"/>
          <w:sz w:val="14"/>
          <w:szCs w:val="14"/>
          <w:color w:val="4B4B4B"/>
        </w:rPr>
        <w:t>w</w:t>
      </w:r>
      <w:r>
        <w:rPr>
          <w:rFonts w:ascii="Arial" w:cs="Arial" w:eastAsia="Arial" w:hAnsi="Arial"/>
          <w:sz w:val="14"/>
          <w:szCs w:val="14"/>
          <w:color w:val="5B5B5B"/>
        </w:rPr>
        <w:t>a</w:t>
      </w:r>
      <w:r>
        <w:rPr>
          <w:rFonts w:ascii="Arial" w:cs="Arial" w:eastAsia="Arial" w:hAnsi="Arial"/>
          <w:sz w:val="14"/>
          <w:szCs w:val="14"/>
          <w:color w:val="4B4B4B"/>
        </w:rPr>
        <w:t>n</w:t>
      </w:r>
      <w:r>
        <w:rPr>
          <w:rFonts w:ascii="Arial" w:cs="Arial" w:eastAsia="Arial" w:hAnsi="Arial"/>
          <w:sz w:val="14"/>
          <w:szCs w:val="14"/>
          <w:color w:val="5B5B5B"/>
        </w:rPr>
        <w:t>ce</w:t>
      </w:r>
      <w:r>
        <w:rPr>
          <w:rFonts w:ascii="Arial" w:cs="Arial" w:eastAsia="Arial" w:hAnsi="Arial"/>
          <w:sz w:val="14"/>
          <w:szCs w:val="14"/>
          <w:color w:val="4B4B4B"/>
        </w:rPr>
        <w:t xml:space="preserve"> a</w:t>
      </w:r>
      <w:r>
        <w:rPr>
          <w:rFonts w:ascii="Arial" w:cs="Arial" w:eastAsia="Arial" w:hAnsi="Arial"/>
          <w:sz w:val="14"/>
          <w:szCs w:val="14"/>
          <w:color w:val="5B5B5B"/>
        </w:rPr>
        <w:t>n</w:t>
      </w:r>
      <w:r>
        <w:rPr>
          <w:rFonts w:ascii="Arial" w:cs="Arial" w:eastAsia="Arial" w:hAnsi="Arial"/>
          <w:sz w:val="14"/>
          <w:szCs w:val="14"/>
          <w:color w:val="4B4B4B"/>
        </w:rPr>
        <w:t xml:space="preserve">d </w:t>
      </w:r>
      <w:r>
        <w:rPr>
          <w:rFonts w:ascii="Arial" w:cs="Arial" w:eastAsia="Arial" w:hAnsi="Arial"/>
          <w:sz w:val="14"/>
          <w:szCs w:val="14"/>
          <w:color w:val="5B5B5B"/>
        </w:rPr>
        <w:t>A</w:t>
      </w:r>
      <w:r>
        <w:rPr>
          <w:rFonts w:ascii="Arial" w:cs="Arial" w:eastAsia="Arial" w:hAnsi="Arial"/>
          <w:sz w:val="14"/>
          <w:szCs w:val="14"/>
          <w:color w:val="4B4B4B"/>
        </w:rPr>
        <w:t>d</w:t>
      </w:r>
      <w:r>
        <w:rPr>
          <w:rFonts w:ascii="Arial" w:cs="Arial" w:eastAsia="Arial" w:hAnsi="Arial"/>
          <w:sz w:val="14"/>
          <w:szCs w:val="14"/>
          <w:color w:val="5B5B5B"/>
        </w:rPr>
        <w:t>di</w:t>
      </w:r>
      <w:r>
        <w:rPr>
          <w:rFonts w:ascii="Arial" w:cs="Arial" w:eastAsia="Arial" w:hAnsi="Arial"/>
          <w:sz w:val="14"/>
          <w:szCs w:val="14"/>
          <w:color w:val="4B4B4B"/>
        </w:rPr>
        <w:t>ti</w:t>
      </w:r>
      <w:r>
        <w:rPr>
          <w:rFonts w:ascii="Arial" w:cs="Arial" w:eastAsia="Arial" w:hAnsi="Arial"/>
          <w:sz w:val="14"/>
          <w:szCs w:val="14"/>
          <w:color w:val="5B5B5B"/>
        </w:rPr>
        <w:t>o</w:t>
      </w:r>
      <w:r>
        <w:rPr>
          <w:rFonts w:ascii="Arial" w:cs="Arial" w:eastAsia="Arial" w:hAnsi="Arial"/>
          <w:sz w:val="14"/>
          <w:szCs w:val="14"/>
          <w:color w:val="4B4B4B"/>
        </w:rPr>
        <w:t xml:space="preserve">nal </w:t>
      </w:r>
      <w:r>
        <w:rPr>
          <w:rFonts w:ascii="Arial" w:cs="Arial" w:eastAsia="Arial" w:hAnsi="Arial"/>
          <w:sz w:val="14"/>
          <w:szCs w:val="14"/>
          <w:color w:val="5B5B5B"/>
        </w:rPr>
        <w:t>Allo</w:t>
      </w:r>
      <w:r>
        <w:rPr>
          <w:rFonts w:ascii="Arial" w:cs="Arial" w:eastAsia="Arial" w:hAnsi="Arial"/>
          <w:sz w:val="14"/>
          <w:szCs w:val="14"/>
          <w:color w:val="4B4B4B"/>
        </w:rPr>
        <w:t>wan</w:t>
      </w:r>
      <w:r>
        <w:rPr>
          <w:rFonts w:ascii="Arial" w:cs="Arial" w:eastAsia="Arial" w:hAnsi="Arial"/>
          <w:sz w:val="14"/>
          <w:szCs w:val="14"/>
          <w:color w:val="5B5B5B"/>
        </w:rPr>
        <w:t>ce (co</w:t>
      </w:r>
      <w:r>
        <w:rPr>
          <w:rFonts w:ascii="Arial" w:cs="Arial" w:eastAsia="Arial" w:hAnsi="Arial"/>
          <w:sz w:val="14"/>
          <w:szCs w:val="14"/>
          <w:color w:val="2F2F2F"/>
        </w:rPr>
        <w:t>ll</w:t>
      </w:r>
      <w:r>
        <w:rPr>
          <w:rFonts w:ascii="Arial" w:cs="Arial" w:eastAsia="Arial" w:hAnsi="Arial"/>
          <w:sz w:val="14"/>
          <w:szCs w:val="14"/>
          <w:color w:val="5B5B5B"/>
        </w:rPr>
        <w:t>ect</w:t>
      </w:r>
      <w:r>
        <w:rPr>
          <w:rFonts w:ascii="Arial" w:cs="Arial" w:eastAsia="Arial" w:hAnsi="Arial"/>
          <w:sz w:val="14"/>
          <w:szCs w:val="14"/>
          <w:color w:val="4B4B4B"/>
        </w:rPr>
        <w:t>iv</w:t>
      </w:r>
      <w:r>
        <w:rPr>
          <w:rFonts w:ascii="Arial" w:cs="Arial" w:eastAsia="Arial" w:hAnsi="Arial"/>
          <w:sz w:val="14"/>
          <w:szCs w:val="14"/>
          <w:color w:val="5B5B5B"/>
        </w:rPr>
        <w:t>e</w:t>
      </w:r>
      <w:r>
        <w:rPr>
          <w:rFonts w:ascii="Arial" w:cs="Arial" w:eastAsia="Arial" w:hAnsi="Arial"/>
          <w:sz w:val="14"/>
          <w:szCs w:val="14"/>
          <w:color w:val="4B4B4B"/>
        </w:rPr>
        <w:t>ly th</w:t>
      </w:r>
      <w:r>
        <w:rPr>
          <w:rFonts w:ascii="Arial" w:cs="Arial" w:eastAsia="Arial" w:hAnsi="Arial"/>
          <w:sz w:val="14"/>
          <w:szCs w:val="14"/>
          <w:color w:val="5B5B5B"/>
        </w:rPr>
        <w:t xml:space="preserve">e </w:t>
      </w:r>
      <w:r>
        <w:rPr>
          <w:rFonts w:ascii="Arial" w:cs="Arial" w:eastAsia="Arial" w:hAnsi="Arial"/>
          <w:sz w:val="14"/>
          <w:szCs w:val="14"/>
          <w:color w:val="757575"/>
        </w:rPr>
        <w:t>"</w:t>
      </w:r>
      <w:r>
        <w:rPr>
          <w:rFonts w:ascii="Arial" w:cs="Arial" w:eastAsia="Arial" w:hAnsi="Arial"/>
          <w:sz w:val="14"/>
          <w:szCs w:val="14"/>
          <w:color w:val="4B4B4B"/>
        </w:rPr>
        <w:t>All</w:t>
      </w:r>
      <w:r>
        <w:rPr>
          <w:rFonts w:ascii="Arial" w:cs="Arial" w:eastAsia="Arial" w:hAnsi="Arial"/>
          <w:sz w:val="14"/>
          <w:szCs w:val="14"/>
          <w:color w:val="5B5B5B"/>
        </w:rPr>
        <w:t>o</w:t>
      </w:r>
      <w:r>
        <w:rPr>
          <w:rFonts w:ascii="Arial" w:cs="Arial" w:eastAsia="Arial" w:hAnsi="Arial"/>
          <w:sz w:val="14"/>
          <w:szCs w:val="14"/>
          <w:color w:val="4B4B4B"/>
        </w:rPr>
        <w:t>wan</w:t>
      </w:r>
      <w:r>
        <w:rPr>
          <w:rFonts w:ascii="Arial" w:cs="Arial" w:eastAsia="Arial" w:hAnsi="Arial"/>
          <w:sz w:val="14"/>
          <w:szCs w:val="14"/>
          <w:color w:val="5B5B5B"/>
        </w:rPr>
        <w:t>ces</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ar</w:t>
      </w:r>
      <w:r>
        <w:rPr>
          <w:rFonts w:ascii="Arial" w:cs="Arial" w:eastAsia="Arial" w:hAnsi="Arial"/>
          <w:sz w:val="14"/>
          <w:szCs w:val="14"/>
          <w:color w:val="5B5B5B"/>
        </w:rPr>
        <w:t xml:space="preserve">e </w:t>
      </w:r>
      <w:r>
        <w:rPr>
          <w:rFonts w:ascii="Arial" w:cs="Arial" w:eastAsia="Arial" w:hAnsi="Arial"/>
          <w:sz w:val="14"/>
          <w:szCs w:val="14"/>
          <w:color w:val="4B4B4B"/>
        </w:rPr>
        <w:t>t</w:t>
      </w:r>
      <w:r>
        <w:rPr>
          <w:rFonts w:ascii="Arial" w:cs="Arial" w:eastAsia="Arial" w:hAnsi="Arial"/>
          <w:sz w:val="14"/>
          <w:szCs w:val="14"/>
          <w:color w:val="5B5B5B"/>
        </w:rPr>
        <w:t xml:space="preserve">o </w:t>
      </w:r>
      <w:r>
        <w:rPr>
          <w:rFonts w:ascii="Arial" w:cs="Arial" w:eastAsia="Arial" w:hAnsi="Arial"/>
          <w:sz w:val="14"/>
          <w:szCs w:val="14"/>
          <w:color w:val="4B4B4B"/>
        </w:rPr>
        <w:t>b</w:t>
      </w:r>
      <w:r>
        <w:rPr>
          <w:rFonts w:ascii="Arial" w:cs="Arial" w:eastAsia="Arial" w:hAnsi="Arial"/>
          <w:sz w:val="14"/>
          <w:szCs w:val="14"/>
          <w:color w:val="5B5B5B"/>
        </w:rPr>
        <w:t xml:space="preserve">e </w:t>
      </w:r>
      <w:r>
        <w:rPr>
          <w:rFonts w:ascii="Arial" w:cs="Arial" w:eastAsia="Arial" w:hAnsi="Arial"/>
          <w:sz w:val="14"/>
          <w:szCs w:val="14"/>
          <w:color w:val="4B4B4B"/>
        </w:rPr>
        <w:t>us</w:t>
      </w:r>
      <w:r>
        <w:rPr>
          <w:rFonts w:ascii="Arial" w:cs="Arial" w:eastAsia="Arial" w:hAnsi="Arial"/>
          <w:sz w:val="14"/>
          <w:szCs w:val="14"/>
          <w:color w:val="5B5B5B"/>
        </w:rPr>
        <w:t xml:space="preserve">ed for </w:t>
      </w:r>
      <w:r>
        <w:rPr>
          <w:rFonts w:ascii="Arial" w:cs="Arial" w:eastAsia="Arial" w:hAnsi="Arial"/>
          <w:sz w:val="14"/>
          <w:szCs w:val="14"/>
          <w:color w:val="4B4B4B"/>
        </w:rPr>
        <w:t>th</w:t>
      </w:r>
      <w:r>
        <w:rPr>
          <w:rFonts w:ascii="Arial" w:cs="Arial" w:eastAsia="Arial" w:hAnsi="Arial"/>
          <w:sz w:val="14"/>
          <w:szCs w:val="14"/>
          <w:color w:val="5B5B5B"/>
        </w:rPr>
        <w:t xml:space="preserve">e </w:t>
      </w:r>
      <w:r>
        <w:rPr>
          <w:rFonts w:ascii="Arial" w:cs="Arial" w:eastAsia="Arial" w:hAnsi="Arial"/>
          <w:sz w:val="14"/>
          <w:szCs w:val="14"/>
          <w:color w:val="4B4B4B"/>
        </w:rPr>
        <w:t>p</w:t>
      </w:r>
      <w:r>
        <w:rPr>
          <w:rFonts w:ascii="Arial" w:cs="Arial" w:eastAsia="Arial" w:hAnsi="Arial"/>
          <w:sz w:val="14"/>
          <w:szCs w:val="14"/>
          <w:color w:val="5B5B5B"/>
        </w:rPr>
        <w:t xml:space="preserve">ayment of </w:t>
      </w:r>
      <w:r>
        <w:rPr>
          <w:rFonts w:ascii="Arial" w:cs="Arial" w:eastAsia="Arial" w:hAnsi="Arial"/>
          <w:sz w:val="14"/>
          <w:szCs w:val="14"/>
          <w:color w:val="4B4B4B"/>
        </w:rPr>
        <w:t>t</w:t>
      </w:r>
      <w:r>
        <w:rPr>
          <w:rFonts w:ascii="Arial" w:cs="Arial" w:eastAsia="Arial" w:hAnsi="Arial"/>
          <w:sz w:val="14"/>
          <w:szCs w:val="14"/>
          <w:color w:val="5B5B5B"/>
        </w:rPr>
        <w:t xml:space="preserve">he cost of </w:t>
      </w:r>
      <w:r>
        <w:rPr>
          <w:rFonts w:ascii="Arial" w:cs="Arial" w:eastAsia="Arial" w:hAnsi="Arial"/>
          <w:sz w:val="14"/>
          <w:szCs w:val="14"/>
          <w:color w:val="4B4B4B"/>
        </w:rPr>
        <w:t>p</w:t>
      </w:r>
      <w:r>
        <w:rPr>
          <w:rFonts w:ascii="Arial" w:cs="Arial" w:eastAsia="Arial" w:hAnsi="Arial"/>
          <w:sz w:val="14"/>
          <w:szCs w:val="14"/>
          <w:color w:val="5B5B5B"/>
        </w:rPr>
        <w:t>re</w:t>
      </w:r>
      <w:r>
        <w:rPr>
          <w:rFonts w:ascii="Arial" w:cs="Arial" w:eastAsia="Arial" w:hAnsi="Arial"/>
          <w:sz w:val="14"/>
          <w:szCs w:val="14"/>
          <w:color w:val="4B4B4B"/>
        </w:rPr>
        <w:t>p</w:t>
      </w:r>
      <w:r>
        <w:rPr>
          <w:rFonts w:ascii="Arial" w:cs="Arial" w:eastAsia="Arial" w:hAnsi="Arial"/>
          <w:sz w:val="14"/>
          <w:szCs w:val="14"/>
          <w:color w:val="5B5B5B"/>
        </w:rPr>
        <w:t>a</w:t>
      </w:r>
      <w:r>
        <w:rPr>
          <w:rFonts w:ascii="Arial" w:cs="Arial" w:eastAsia="Arial" w:hAnsi="Arial"/>
          <w:sz w:val="14"/>
          <w:szCs w:val="14"/>
          <w:color w:val="4B4B4B"/>
        </w:rPr>
        <w:t>r</w:t>
      </w:r>
      <w:r>
        <w:rPr>
          <w:rFonts w:ascii="Arial" w:cs="Arial" w:eastAsia="Arial" w:hAnsi="Arial"/>
          <w:sz w:val="14"/>
          <w:szCs w:val="14"/>
          <w:color w:val="5B5B5B"/>
        </w:rPr>
        <w:t>ing a</w:t>
      </w:r>
      <w:r>
        <w:rPr>
          <w:rFonts w:ascii="Arial" w:cs="Arial" w:eastAsia="Arial" w:hAnsi="Arial"/>
          <w:sz w:val="14"/>
          <w:szCs w:val="14"/>
          <w:color w:val="4B4B4B"/>
        </w:rPr>
        <w:t>ll</w:t>
      </w:r>
      <w:r>
        <w:rPr>
          <w:rFonts w:ascii="Arial" w:cs="Arial" w:eastAsia="Arial" w:hAnsi="Arial"/>
          <w:sz w:val="14"/>
          <w:szCs w:val="14"/>
          <w:color w:val="5B5B5B"/>
        </w:rPr>
        <w:t xml:space="preserve"> plans </w:t>
      </w:r>
      <w:r>
        <w:rPr>
          <w:rFonts w:ascii="Arial" w:cs="Arial" w:eastAsia="Arial" w:hAnsi="Arial"/>
          <w:sz w:val="14"/>
          <w:szCs w:val="14"/>
          <w:color w:val="4B4B4B"/>
        </w:rPr>
        <w:t>and</w:t>
      </w:r>
      <w:r>
        <w:rPr>
          <w:rFonts w:ascii="Arial" w:cs="Arial" w:eastAsia="Arial" w:hAnsi="Arial"/>
          <w:sz w:val="14"/>
          <w:szCs w:val="14"/>
          <w:color w:val="5B5B5B"/>
        </w:rPr>
        <w:t xml:space="preserve"> s</w:t>
      </w:r>
      <w:r>
        <w:rPr>
          <w:rFonts w:ascii="Arial" w:cs="Arial" w:eastAsia="Arial" w:hAnsi="Arial"/>
          <w:sz w:val="14"/>
          <w:szCs w:val="14"/>
          <w:color w:val="4B4B4B"/>
        </w:rPr>
        <w:t>pe</w:t>
      </w:r>
      <w:r>
        <w:rPr>
          <w:rFonts w:ascii="Arial" w:cs="Arial" w:eastAsia="Arial" w:hAnsi="Arial"/>
          <w:sz w:val="14"/>
          <w:szCs w:val="14"/>
          <w:color w:val="5B5B5B"/>
        </w:rPr>
        <w:t>cific</w:t>
      </w:r>
      <w:r>
        <w:rPr>
          <w:rFonts w:ascii="Arial" w:cs="Arial" w:eastAsia="Arial" w:hAnsi="Arial"/>
          <w:sz w:val="14"/>
          <w:szCs w:val="14"/>
          <w:color w:val="4B4B4B"/>
        </w:rPr>
        <w:t>a</w:t>
      </w:r>
      <w:r>
        <w:rPr>
          <w:rFonts w:ascii="Arial" w:cs="Arial" w:eastAsia="Arial" w:hAnsi="Arial"/>
          <w:sz w:val="14"/>
          <w:szCs w:val="14"/>
          <w:color w:val="5B5B5B"/>
        </w:rPr>
        <w:t>ti</w:t>
      </w:r>
      <w:r>
        <w:rPr>
          <w:rFonts w:ascii="Arial" w:cs="Arial" w:eastAsia="Arial" w:hAnsi="Arial"/>
          <w:sz w:val="14"/>
          <w:szCs w:val="14"/>
          <w:color w:val="4B4B4B"/>
        </w:rPr>
        <w:t>o</w:t>
      </w:r>
      <w:r>
        <w:rPr>
          <w:rFonts w:ascii="Arial" w:cs="Arial" w:eastAsia="Arial" w:hAnsi="Arial"/>
          <w:sz w:val="14"/>
          <w:szCs w:val="14"/>
          <w:color w:val="5B5B5B"/>
        </w:rPr>
        <w:t>ns</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t</w:t>
      </w:r>
      <w:r>
        <w:rPr>
          <w:rFonts w:ascii="Arial" w:cs="Arial" w:eastAsia="Arial" w:hAnsi="Arial"/>
          <w:sz w:val="14"/>
          <w:szCs w:val="14"/>
          <w:color w:val="5B5B5B"/>
        </w:rPr>
        <w:t xml:space="preserve">he </w:t>
      </w:r>
      <w:r>
        <w:rPr>
          <w:rFonts w:ascii="Arial" w:cs="Arial" w:eastAsia="Arial" w:hAnsi="Arial"/>
          <w:sz w:val="14"/>
          <w:szCs w:val="14"/>
          <w:color w:val="4B4B4B"/>
        </w:rPr>
        <w:t>paym</w:t>
      </w:r>
      <w:r>
        <w:rPr>
          <w:rFonts w:ascii="Arial" w:cs="Arial" w:eastAsia="Arial" w:hAnsi="Arial"/>
          <w:sz w:val="14"/>
          <w:szCs w:val="14"/>
          <w:color w:val="5B5B5B"/>
        </w:rPr>
        <w:t>en</w:t>
      </w:r>
      <w:r>
        <w:rPr>
          <w:rFonts w:ascii="Arial" w:cs="Arial" w:eastAsia="Arial" w:hAnsi="Arial"/>
          <w:sz w:val="14"/>
          <w:szCs w:val="14"/>
          <w:color w:val="4B4B4B"/>
        </w:rPr>
        <w:t>t</w:t>
      </w:r>
      <w:r>
        <w:rPr>
          <w:rFonts w:ascii="Arial" w:cs="Arial" w:eastAsia="Arial" w:hAnsi="Arial"/>
          <w:sz w:val="14"/>
          <w:szCs w:val="14"/>
          <w:color w:val="5B5B5B"/>
        </w:rPr>
        <w:t xml:space="preserve"> o</w:t>
      </w:r>
      <w:r>
        <w:rPr>
          <w:rFonts w:ascii="Arial" w:cs="Arial" w:eastAsia="Arial" w:hAnsi="Arial"/>
          <w:sz w:val="14"/>
          <w:szCs w:val="14"/>
          <w:color w:val="4B4B4B"/>
        </w:rPr>
        <w:t>f p</w:t>
      </w:r>
      <w:r>
        <w:rPr>
          <w:rFonts w:ascii="Arial" w:cs="Arial" w:eastAsia="Arial" w:hAnsi="Arial"/>
          <w:sz w:val="14"/>
          <w:szCs w:val="14"/>
          <w:color w:val="2F2F2F"/>
        </w:rPr>
        <w:t>l</w:t>
      </w:r>
      <w:r>
        <w:rPr>
          <w:rFonts w:ascii="Arial" w:cs="Arial" w:eastAsia="Arial" w:hAnsi="Arial"/>
          <w:sz w:val="14"/>
          <w:szCs w:val="14"/>
          <w:color w:val="4B4B4B"/>
        </w:rPr>
        <w:t>a</w:t>
      </w:r>
      <w:r>
        <w:rPr>
          <w:rFonts w:ascii="Arial" w:cs="Arial" w:eastAsia="Arial" w:hAnsi="Arial"/>
          <w:sz w:val="14"/>
          <w:szCs w:val="14"/>
          <w:color w:val="5B5B5B"/>
        </w:rPr>
        <w:t>n c</w:t>
      </w:r>
      <w:r>
        <w:rPr>
          <w:rFonts w:ascii="Arial" w:cs="Arial" w:eastAsia="Arial" w:hAnsi="Arial"/>
          <w:sz w:val="14"/>
          <w:szCs w:val="14"/>
          <w:color w:val="4B4B4B"/>
        </w:rPr>
        <w:t>h</w:t>
      </w:r>
      <w:r>
        <w:rPr>
          <w:rFonts w:ascii="Arial" w:cs="Arial" w:eastAsia="Arial" w:hAnsi="Arial"/>
          <w:sz w:val="14"/>
          <w:szCs w:val="14"/>
          <w:color w:val="5B5B5B"/>
        </w:rPr>
        <w:t>eck</w:t>
      </w:r>
      <w:r>
        <w:rPr>
          <w:rFonts w:ascii="Arial" w:cs="Arial" w:eastAsia="Arial" w:hAnsi="Arial"/>
          <w:sz w:val="14"/>
          <w:szCs w:val="14"/>
          <w:color w:val="878787"/>
        </w:rPr>
        <w:t>,</w:t>
      </w:r>
      <w:r>
        <w:rPr>
          <w:rFonts w:ascii="Arial" w:cs="Arial" w:eastAsia="Arial" w:hAnsi="Arial"/>
          <w:sz w:val="14"/>
          <w:szCs w:val="14"/>
          <w:color w:val="5B5B5B"/>
        </w:rPr>
        <w:t xml:space="preserve"> permit an</w:t>
      </w:r>
      <w:r>
        <w:rPr>
          <w:rFonts w:ascii="Arial" w:cs="Arial" w:eastAsia="Arial" w:hAnsi="Arial"/>
          <w:sz w:val="14"/>
          <w:szCs w:val="14"/>
          <w:color w:val="4B4B4B"/>
        </w:rPr>
        <w:t>d</w:t>
      </w:r>
      <w:r>
        <w:rPr>
          <w:rFonts w:ascii="Arial" w:cs="Arial" w:eastAsia="Arial" w:hAnsi="Arial"/>
          <w:sz w:val="14"/>
          <w:szCs w:val="14"/>
          <w:color w:val="5B5B5B"/>
        </w:rPr>
        <w:t xml:space="preserve"> fees </w:t>
      </w:r>
      <w:r>
        <w:rPr>
          <w:rFonts w:ascii="Arial" w:cs="Arial" w:eastAsia="Arial" w:hAnsi="Arial"/>
          <w:sz w:val="14"/>
          <w:szCs w:val="14"/>
          <w:color w:val="4B4B4B"/>
        </w:rPr>
        <w:t>r</w:t>
      </w:r>
      <w:r>
        <w:rPr>
          <w:rFonts w:ascii="Arial" w:cs="Arial" w:eastAsia="Arial" w:hAnsi="Arial"/>
          <w:sz w:val="14"/>
          <w:szCs w:val="14"/>
          <w:color w:val="5B5B5B"/>
        </w:rPr>
        <w:t>e</w:t>
      </w:r>
      <w:r>
        <w:rPr>
          <w:rFonts w:ascii="Arial" w:cs="Arial" w:eastAsia="Arial" w:hAnsi="Arial"/>
          <w:sz w:val="14"/>
          <w:szCs w:val="14"/>
          <w:color w:val="4B4B4B"/>
        </w:rPr>
        <w:t>l</w:t>
      </w:r>
      <w:r>
        <w:rPr>
          <w:rFonts w:ascii="Arial" w:cs="Arial" w:eastAsia="Arial" w:hAnsi="Arial"/>
          <w:sz w:val="14"/>
          <w:szCs w:val="14"/>
          <w:color w:val="5B5B5B"/>
        </w:rPr>
        <w:t>a</w:t>
      </w:r>
      <w:r>
        <w:rPr>
          <w:rFonts w:ascii="Arial" w:cs="Arial" w:eastAsia="Arial" w:hAnsi="Arial"/>
          <w:sz w:val="14"/>
          <w:szCs w:val="14"/>
          <w:color w:val="4B4B4B"/>
        </w:rPr>
        <w:t>t</w:t>
      </w:r>
      <w:r>
        <w:rPr>
          <w:rFonts w:ascii="Arial" w:cs="Arial" w:eastAsia="Arial" w:hAnsi="Arial"/>
          <w:sz w:val="14"/>
          <w:szCs w:val="14"/>
          <w:color w:val="5B5B5B"/>
        </w:rPr>
        <w:t>ing to cons</w:t>
      </w:r>
      <w:r>
        <w:rPr>
          <w:rFonts w:ascii="Arial" w:cs="Arial" w:eastAsia="Arial" w:hAnsi="Arial"/>
          <w:sz w:val="14"/>
          <w:szCs w:val="14"/>
          <w:color w:val="4B4B4B"/>
        </w:rPr>
        <w:t>t</w:t>
      </w:r>
      <w:r>
        <w:rPr>
          <w:rFonts w:ascii="Arial" w:cs="Arial" w:eastAsia="Arial" w:hAnsi="Arial"/>
          <w:sz w:val="14"/>
          <w:szCs w:val="14"/>
          <w:color w:val="5B5B5B"/>
        </w:rPr>
        <w:t>ruc</w:t>
      </w:r>
      <w:r>
        <w:rPr>
          <w:rFonts w:ascii="Arial" w:cs="Arial" w:eastAsia="Arial" w:hAnsi="Arial"/>
          <w:sz w:val="14"/>
          <w:szCs w:val="14"/>
          <w:color w:val="4B4B4B"/>
        </w:rPr>
        <w:t>t</w:t>
      </w:r>
      <w:r>
        <w:rPr>
          <w:rFonts w:ascii="Arial" w:cs="Arial" w:eastAsia="Arial" w:hAnsi="Arial"/>
          <w:sz w:val="14"/>
          <w:szCs w:val="14"/>
          <w:color w:val="5B5B5B"/>
        </w:rPr>
        <w:t>ion o</w:t>
      </w:r>
      <w:r>
        <w:rPr>
          <w:rFonts w:ascii="Arial" w:cs="Arial" w:eastAsia="Arial" w:hAnsi="Arial"/>
          <w:sz w:val="14"/>
          <w:szCs w:val="14"/>
          <w:color w:val="4B4B4B"/>
        </w:rPr>
        <w:t>f</w:t>
      </w:r>
      <w:r>
        <w:rPr>
          <w:rFonts w:ascii="Arial" w:cs="Arial" w:eastAsia="Arial" w:hAnsi="Arial"/>
          <w:sz w:val="14"/>
          <w:szCs w:val="14"/>
          <w:color w:val="5B5B5B"/>
        </w:rPr>
        <w:t xml:space="preserve"> t</w:t>
      </w:r>
      <w:r>
        <w:rPr>
          <w:rFonts w:ascii="Arial" w:cs="Arial" w:eastAsia="Arial" w:hAnsi="Arial"/>
          <w:sz w:val="14"/>
          <w:szCs w:val="14"/>
          <w:color w:val="4B4B4B"/>
        </w:rPr>
        <w:t>h</w:t>
      </w:r>
      <w:r>
        <w:rPr>
          <w:rFonts w:ascii="Arial" w:cs="Arial" w:eastAsia="Arial" w:hAnsi="Arial"/>
          <w:sz w:val="14"/>
          <w:szCs w:val="14"/>
          <w:color w:val="5B5B5B"/>
        </w:rPr>
        <w:t>e tenant i</w:t>
      </w:r>
      <w:r>
        <w:rPr>
          <w:rFonts w:ascii="Arial" w:cs="Arial" w:eastAsia="Arial" w:hAnsi="Arial"/>
          <w:sz w:val="14"/>
          <w:szCs w:val="14"/>
          <w:color w:val="4B4B4B"/>
        </w:rPr>
        <w:t>m</w:t>
      </w:r>
      <w:r>
        <w:rPr>
          <w:rFonts w:ascii="Arial" w:cs="Arial" w:eastAsia="Arial" w:hAnsi="Arial"/>
          <w:sz w:val="14"/>
          <w:szCs w:val="14"/>
          <w:color w:val="5B5B5B"/>
        </w:rPr>
        <w:t>pro</w:t>
      </w:r>
      <w:r>
        <w:rPr>
          <w:rFonts w:ascii="Arial" w:cs="Arial" w:eastAsia="Arial" w:hAnsi="Arial"/>
          <w:sz w:val="14"/>
          <w:szCs w:val="14"/>
          <w:color w:val="4B4B4B"/>
        </w:rPr>
        <w:t>ve</w:t>
      </w:r>
      <w:r>
        <w:rPr>
          <w:rFonts w:ascii="Arial" w:cs="Arial" w:eastAsia="Arial" w:hAnsi="Arial"/>
          <w:sz w:val="14"/>
          <w:szCs w:val="14"/>
          <w:color w:val="5B5B5B"/>
        </w:rPr>
        <w:t>m</w:t>
      </w:r>
      <w:r>
        <w:rPr>
          <w:rFonts w:ascii="Arial" w:cs="Arial" w:eastAsia="Arial" w:hAnsi="Arial"/>
          <w:sz w:val="14"/>
          <w:szCs w:val="14"/>
          <w:color w:val="4B4B4B"/>
        </w:rPr>
        <w:t>e</w:t>
      </w:r>
      <w:r>
        <w:rPr>
          <w:rFonts w:ascii="Arial" w:cs="Arial" w:eastAsia="Arial" w:hAnsi="Arial"/>
          <w:sz w:val="14"/>
          <w:szCs w:val="14"/>
          <w:color w:val="5B5B5B"/>
        </w:rPr>
        <w:t>nts</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a</w:t>
      </w:r>
      <w:r>
        <w:rPr>
          <w:rFonts w:ascii="Arial" w:cs="Arial" w:eastAsia="Arial" w:hAnsi="Arial"/>
          <w:sz w:val="14"/>
          <w:szCs w:val="14"/>
          <w:color w:val="5B5B5B"/>
        </w:rPr>
        <w:t>n</w:t>
      </w:r>
      <w:r>
        <w:rPr>
          <w:rFonts w:ascii="Arial" w:cs="Arial" w:eastAsia="Arial" w:hAnsi="Arial"/>
          <w:sz w:val="14"/>
          <w:szCs w:val="14"/>
          <w:color w:val="4B4B4B"/>
        </w:rPr>
        <w:t>d con</w:t>
      </w:r>
      <w:r>
        <w:rPr>
          <w:rFonts w:ascii="Arial" w:cs="Arial" w:eastAsia="Arial" w:hAnsi="Arial"/>
          <w:sz w:val="14"/>
          <w:szCs w:val="14"/>
          <w:color w:val="5B5B5B"/>
        </w:rPr>
        <w:t>s</w:t>
      </w:r>
      <w:r>
        <w:rPr>
          <w:rFonts w:ascii="Arial" w:cs="Arial" w:eastAsia="Arial" w:hAnsi="Arial"/>
          <w:sz w:val="14"/>
          <w:szCs w:val="14"/>
          <w:color w:val="4B4B4B"/>
        </w:rPr>
        <w:t>tru</w:t>
      </w:r>
      <w:r>
        <w:rPr>
          <w:rFonts w:ascii="Arial" w:cs="Arial" w:eastAsia="Arial" w:hAnsi="Arial"/>
          <w:sz w:val="14"/>
          <w:szCs w:val="14"/>
          <w:color w:val="5B5B5B"/>
        </w:rPr>
        <w:t>cti</w:t>
      </w:r>
      <w:r>
        <w:rPr>
          <w:rFonts w:ascii="Arial" w:cs="Arial" w:eastAsia="Arial" w:hAnsi="Arial"/>
          <w:sz w:val="14"/>
          <w:szCs w:val="14"/>
          <w:color w:val="4B4B4B"/>
        </w:rPr>
        <w:t>on</w:t>
      </w:r>
      <w:r>
        <w:rPr>
          <w:rFonts w:ascii="Arial" w:cs="Arial" w:eastAsia="Arial" w:hAnsi="Arial"/>
          <w:sz w:val="14"/>
          <w:szCs w:val="14"/>
          <w:color w:val="5B5B5B"/>
        </w:rPr>
        <w:t xml:space="preserve"> o</w:t>
      </w:r>
      <w:r>
        <w:rPr>
          <w:rFonts w:ascii="Arial" w:cs="Arial" w:eastAsia="Arial" w:hAnsi="Arial"/>
          <w:sz w:val="14"/>
          <w:szCs w:val="14"/>
          <w:color w:val="4B4B4B"/>
        </w:rPr>
        <w:t>f</w:t>
      </w:r>
      <w:r>
        <w:rPr>
          <w:rFonts w:ascii="Arial" w:cs="Arial" w:eastAsia="Arial" w:hAnsi="Arial"/>
          <w:sz w:val="14"/>
          <w:szCs w:val="14"/>
          <w:color w:val="5B5B5B"/>
        </w:rPr>
        <w:t xml:space="preserve"> t</w:t>
      </w:r>
      <w:r>
        <w:rPr>
          <w:rFonts w:ascii="Arial" w:cs="Arial" w:eastAsia="Arial" w:hAnsi="Arial"/>
          <w:sz w:val="14"/>
          <w:szCs w:val="14"/>
          <w:color w:val="4B4B4B"/>
        </w:rPr>
        <w:t>he</w:t>
      </w:r>
      <w:r>
        <w:rPr>
          <w:rFonts w:ascii="Arial" w:cs="Arial" w:eastAsia="Arial" w:hAnsi="Arial"/>
          <w:sz w:val="14"/>
          <w:szCs w:val="14"/>
          <w:color w:val="5B5B5B"/>
        </w:rPr>
        <w:t xml:space="preserve"> t</w:t>
      </w:r>
      <w:r>
        <w:rPr>
          <w:rFonts w:ascii="Arial" w:cs="Arial" w:eastAsia="Arial" w:hAnsi="Arial"/>
          <w:sz w:val="14"/>
          <w:szCs w:val="14"/>
          <w:color w:val="4B4B4B"/>
        </w:rPr>
        <w:t>e</w:t>
      </w:r>
      <w:r>
        <w:rPr>
          <w:rFonts w:ascii="Arial" w:cs="Arial" w:eastAsia="Arial" w:hAnsi="Arial"/>
          <w:sz w:val="14"/>
          <w:szCs w:val="14"/>
          <w:color w:val="5B5B5B"/>
        </w:rPr>
        <w:t>n</w:t>
      </w:r>
      <w:r>
        <w:rPr>
          <w:rFonts w:ascii="Arial" w:cs="Arial" w:eastAsia="Arial" w:hAnsi="Arial"/>
          <w:sz w:val="14"/>
          <w:szCs w:val="14"/>
          <w:color w:val="4B4B4B"/>
        </w:rPr>
        <w:t>a</w:t>
      </w:r>
      <w:r>
        <w:rPr>
          <w:rFonts w:ascii="Arial" w:cs="Arial" w:eastAsia="Arial" w:hAnsi="Arial"/>
          <w:sz w:val="14"/>
          <w:szCs w:val="14"/>
          <w:color w:val="5B5B5B"/>
        </w:rPr>
        <w:t>nt i</w:t>
      </w:r>
      <w:r>
        <w:rPr>
          <w:rFonts w:ascii="Arial" w:cs="Arial" w:eastAsia="Arial" w:hAnsi="Arial"/>
          <w:sz w:val="14"/>
          <w:szCs w:val="14"/>
          <w:color w:val="4B4B4B"/>
        </w:rPr>
        <w:t>mpr</w:t>
      </w:r>
      <w:r>
        <w:rPr>
          <w:rFonts w:ascii="Arial" w:cs="Arial" w:eastAsia="Arial" w:hAnsi="Arial"/>
          <w:sz w:val="14"/>
          <w:szCs w:val="14"/>
          <w:color w:val="5B5B5B"/>
        </w:rPr>
        <w:t>o</w:t>
      </w:r>
      <w:r>
        <w:rPr>
          <w:rFonts w:ascii="Arial" w:cs="Arial" w:eastAsia="Arial" w:hAnsi="Arial"/>
          <w:sz w:val="14"/>
          <w:szCs w:val="14"/>
          <w:color w:val="4B4B4B"/>
        </w:rPr>
        <w:t>veme</w:t>
      </w:r>
      <w:r>
        <w:rPr>
          <w:rFonts w:ascii="Arial" w:cs="Arial" w:eastAsia="Arial" w:hAnsi="Arial"/>
          <w:sz w:val="14"/>
          <w:szCs w:val="14"/>
          <w:color w:val="5B5B5B"/>
        </w:rPr>
        <w:t>nts</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Le</w:t>
      </w:r>
      <w:r>
        <w:rPr>
          <w:rFonts w:ascii="Arial" w:cs="Arial" w:eastAsia="Arial" w:hAnsi="Arial"/>
          <w:sz w:val="14"/>
          <w:szCs w:val="14"/>
          <w:color w:val="5B5B5B"/>
        </w:rPr>
        <w:t>ssor sh</w:t>
      </w:r>
      <w:r>
        <w:rPr>
          <w:rFonts w:ascii="Arial" w:cs="Arial" w:eastAsia="Arial" w:hAnsi="Arial"/>
          <w:sz w:val="14"/>
          <w:szCs w:val="14"/>
          <w:color w:val="4B4B4B"/>
        </w:rPr>
        <w:t>a</w:t>
      </w:r>
      <w:r>
        <w:rPr>
          <w:rFonts w:ascii="Arial" w:cs="Arial" w:eastAsia="Arial" w:hAnsi="Arial"/>
          <w:sz w:val="14"/>
          <w:szCs w:val="14"/>
          <w:color w:val="5B5B5B"/>
        </w:rPr>
        <w:t>ll no</w:t>
      </w:r>
      <w:r>
        <w:rPr>
          <w:rFonts w:ascii="Arial" w:cs="Arial" w:eastAsia="Arial" w:hAnsi="Arial"/>
          <w:sz w:val="14"/>
          <w:szCs w:val="14"/>
          <w:color w:val="4B4B4B"/>
        </w:rPr>
        <w:t>t</w:t>
      </w:r>
      <w:r>
        <w:rPr>
          <w:rFonts w:ascii="Arial" w:cs="Arial" w:eastAsia="Arial" w:hAnsi="Arial"/>
          <w:sz w:val="14"/>
          <w:szCs w:val="14"/>
          <w:color w:val="5B5B5B"/>
        </w:rPr>
        <w:t xml:space="preserve"> ch</w:t>
      </w:r>
      <w:r>
        <w:rPr>
          <w:rFonts w:ascii="Arial" w:cs="Arial" w:eastAsia="Arial" w:hAnsi="Arial"/>
          <w:sz w:val="14"/>
          <w:szCs w:val="14"/>
          <w:color w:val="4B4B4B"/>
        </w:rPr>
        <w:t>a</w:t>
      </w:r>
      <w:r>
        <w:rPr>
          <w:rFonts w:ascii="Arial" w:cs="Arial" w:eastAsia="Arial" w:hAnsi="Arial"/>
          <w:sz w:val="14"/>
          <w:szCs w:val="14"/>
          <w:color w:val="5B5B5B"/>
        </w:rPr>
        <w:t>r</w:t>
      </w:r>
      <w:r>
        <w:rPr>
          <w:rFonts w:ascii="Arial" w:cs="Arial" w:eastAsia="Arial" w:hAnsi="Arial"/>
          <w:sz w:val="14"/>
          <w:szCs w:val="14"/>
          <w:color w:val="4B4B4B"/>
        </w:rPr>
        <w:t>ge a</w:t>
      </w:r>
      <w:r>
        <w:rPr>
          <w:rFonts w:ascii="Arial" w:cs="Arial" w:eastAsia="Arial" w:hAnsi="Arial"/>
          <w:sz w:val="14"/>
          <w:szCs w:val="14"/>
          <w:color w:val="5B5B5B"/>
        </w:rPr>
        <w:t xml:space="preserve"> construction </w:t>
      </w:r>
      <w:r>
        <w:rPr>
          <w:rFonts w:ascii="Arial" w:cs="Arial" w:eastAsia="Arial" w:hAnsi="Arial"/>
          <w:sz w:val="14"/>
          <w:szCs w:val="14"/>
          <w:color w:val="4B4B4B"/>
        </w:rPr>
        <w:t>m</w:t>
      </w:r>
      <w:r>
        <w:rPr>
          <w:rFonts w:ascii="Arial" w:cs="Arial" w:eastAsia="Arial" w:hAnsi="Arial"/>
          <w:sz w:val="14"/>
          <w:szCs w:val="14"/>
          <w:color w:val="5B5B5B"/>
        </w:rPr>
        <w:t>ana</w:t>
      </w:r>
      <w:r>
        <w:rPr>
          <w:rFonts w:ascii="Arial" w:cs="Arial" w:eastAsia="Arial" w:hAnsi="Arial"/>
          <w:sz w:val="14"/>
          <w:szCs w:val="14"/>
          <w:color w:val="4B4B4B"/>
        </w:rPr>
        <w:t>gement or</w:t>
      </w:r>
      <w:r>
        <w:rPr>
          <w:rFonts w:ascii="Arial" w:cs="Arial" w:eastAsia="Arial" w:hAnsi="Arial"/>
          <w:sz w:val="14"/>
          <w:szCs w:val="14"/>
          <w:color w:val="5B5B5B"/>
        </w:rPr>
        <w:t xml:space="preserve"> s</w:t>
      </w:r>
      <w:r>
        <w:rPr>
          <w:rFonts w:ascii="Arial" w:cs="Arial" w:eastAsia="Arial" w:hAnsi="Arial"/>
          <w:sz w:val="14"/>
          <w:szCs w:val="14"/>
          <w:color w:val="4B4B4B"/>
        </w:rPr>
        <w:t>u</w:t>
      </w:r>
      <w:r>
        <w:rPr>
          <w:rFonts w:ascii="Arial" w:cs="Arial" w:eastAsia="Arial" w:hAnsi="Arial"/>
          <w:sz w:val="14"/>
          <w:szCs w:val="14"/>
          <w:color w:val="5B5B5B"/>
        </w:rPr>
        <w:t>p</w:t>
      </w:r>
      <w:r>
        <w:rPr>
          <w:rFonts w:ascii="Arial" w:cs="Arial" w:eastAsia="Arial" w:hAnsi="Arial"/>
          <w:sz w:val="14"/>
          <w:szCs w:val="14"/>
          <w:color w:val="4B4B4B"/>
        </w:rPr>
        <w:t>ervi</w:t>
      </w:r>
      <w:r>
        <w:rPr>
          <w:rFonts w:ascii="Arial" w:cs="Arial" w:eastAsia="Arial" w:hAnsi="Arial"/>
          <w:sz w:val="14"/>
          <w:szCs w:val="14"/>
          <w:color w:val="5B5B5B"/>
        </w:rPr>
        <w:t>sion f</w:t>
      </w:r>
      <w:r>
        <w:rPr>
          <w:rFonts w:ascii="Arial" w:cs="Arial" w:eastAsia="Arial" w:hAnsi="Arial"/>
          <w:sz w:val="14"/>
          <w:szCs w:val="14"/>
          <w:color w:val="4B4B4B"/>
        </w:rPr>
        <w:t>ee for</w:t>
      </w:r>
      <w:r>
        <w:rPr>
          <w:rFonts w:ascii="Arial" w:cs="Arial" w:eastAsia="Arial" w:hAnsi="Arial"/>
          <w:sz w:val="14"/>
          <w:szCs w:val="14"/>
          <w:color w:val="5B5B5B"/>
        </w:rPr>
        <w:t xml:space="preserve"> its </w:t>
      </w:r>
      <w:r>
        <w:rPr>
          <w:rFonts w:ascii="Arial" w:cs="Arial" w:eastAsia="Arial" w:hAnsi="Arial"/>
          <w:sz w:val="14"/>
          <w:szCs w:val="14"/>
          <w:color w:val="4B4B4B"/>
        </w:rPr>
        <w:t>over</w:t>
      </w:r>
      <w:r>
        <w:rPr>
          <w:rFonts w:ascii="Arial" w:cs="Arial" w:eastAsia="Arial" w:hAnsi="Arial"/>
          <w:sz w:val="14"/>
          <w:szCs w:val="14"/>
          <w:color w:val="5B5B5B"/>
        </w:rPr>
        <w:t>s</w:t>
      </w:r>
      <w:r>
        <w:rPr>
          <w:rFonts w:ascii="Arial" w:cs="Arial" w:eastAsia="Arial" w:hAnsi="Arial"/>
          <w:sz w:val="14"/>
          <w:szCs w:val="14"/>
          <w:color w:val="4B4B4B"/>
        </w:rPr>
        <w:t>ight</w:t>
      </w:r>
      <w:r>
        <w:rPr>
          <w:rFonts w:ascii="Arial" w:cs="Arial" w:eastAsia="Arial" w:hAnsi="Arial"/>
          <w:sz w:val="14"/>
          <w:szCs w:val="14"/>
          <w:color w:val="5B5B5B"/>
        </w:rPr>
        <w:t xml:space="preserve"> of t</w:t>
      </w:r>
      <w:r>
        <w:rPr>
          <w:rFonts w:ascii="Arial" w:cs="Arial" w:eastAsia="Arial" w:hAnsi="Arial"/>
          <w:sz w:val="14"/>
          <w:szCs w:val="14"/>
          <w:color w:val="4B4B4B"/>
        </w:rPr>
        <w:t>he Tenan</w:t>
      </w:r>
      <w:r>
        <w:rPr>
          <w:rFonts w:ascii="Arial" w:cs="Arial" w:eastAsia="Arial" w:hAnsi="Arial"/>
          <w:sz w:val="14"/>
          <w:szCs w:val="14"/>
          <w:color w:val="5B5B5B"/>
        </w:rPr>
        <w:t xml:space="preserve">t </w:t>
      </w:r>
      <w:r>
        <w:rPr>
          <w:rFonts w:ascii="Arial" w:cs="Arial" w:eastAsia="Arial" w:hAnsi="Arial"/>
          <w:sz w:val="14"/>
          <w:szCs w:val="14"/>
          <w:color w:val="2F2F2F"/>
        </w:rPr>
        <w:t>I</w:t>
      </w:r>
      <w:r>
        <w:rPr>
          <w:rFonts w:ascii="Arial" w:cs="Arial" w:eastAsia="Arial" w:hAnsi="Arial"/>
          <w:sz w:val="14"/>
          <w:szCs w:val="14"/>
          <w:color w:val="4B4B4B"/>
        </w:rPr>
        <w:t>mp</w:t>
      </w:r>
      <w:r>
        <w:rPr>
          <w:rFonts w:ascii="Arial" w:cs="Arial" w:eastAsia="Arial" w:hAnsi="Arial"/>
          <w:sz w:val="14"/>
          <w:szCs w:val="14"/>
          <w:color w:val="5B5B5B"/>
        </w:rPr>
        <w:t>ro</w:t>
      </w:r>
      <w:r>
        <w:rPr>
          <w:rFonts w:ascii="Arial" w:cs="Arial" w:eastAsia="Arial" w:hAnsi="Arial"/>
          <w:sz w:val="14"/>
          <w:szCs w:val="14"/>
          <w:color w:val="4B4B4B"/>
        </w:rPr>
        <w:t>ve</w:t>
      </w:r>
      <w:r>
        <w:rPr>
          <w:rFonts w:ascii="Arial" w:cs="Arial" w:eastAsia="Arial" w:hAnsi="Arial"/>
          <w:sz w:val="14"/>
          <w:szCs w:val="14"/>
          <w:color w:val="5B5B5B"/>
        </w:rPr>
        <w:t>m</w:t>
      </w:r>
      <w:r>
        <w:rPr>
          <w:rFonts w:ascii="Arial" w:cs="Arial" w:eastAsia="Arial" w:hAnsi="Arial"/>
          <w:sz w:val="14"/>
          <w:szCs w:val="14"/>
          <w:color w:val="4B4B4B"/>
        </w:rPr>
        <w:t>en</w:t>
      </w:r>
      <w:r>
        <w:rPr>
          <w:rFonts w:ascii="Arial" w:cs="Arial" w:eastAsia="Arial" w:hAnsi="Arial"/>
          <w:sz w:val="14"/>
          <w:szCs w:val="14"/>
          <w:color w:val="5B5B5B"/>
        </w:rPr>
        <w:t>ts. T</w:t>
      </w:r>
      <w:r>
        <w:rPr>
          <w:rFonts w:ascii="Arial" w:cs="Arial" w:eastAsia="Arial" w:hAnsi="Arial"/>
          <w:sz w:val="14"/>
          <w:szCs w:val="14"/>
          <w:color w:val="4B4B4B"/>
        </w:rPr>
        <w:t>h</w:t>
      </w:r>
      <w:r>
        <w:rPr>
          <w:rFonts w:ascii="Arial" w:cs="Arial" w:eastAsia="Arial" w:hAnsi="Arial"/>
          <w:sz w:val="14"/>
          <w:szCs w:val="14"/>
          <w:color w:val="5B5B5B"/>
        </w:rPr>
        <w:t>e c</w:t>
      </w:r>
      <w:r>
        <w:rPr>
          <w:rFonts w:ascii="Arial" w:cs="Arial" w:eastAsia="Arial" w:hAnsi="Arial"/>
          <w:sz w:val="14"/>
          <w:szCs w:val="14"/>
          <w:color w:val="4B4B4B"/>
        </w:rPr>
        <w:t>ost</w:t>
      </w:r>
      <w:r>
        <w:rPr>
          <w:rFonts w:ascii="Arial" w:cs="Arial" w:eastAsia="Arial" w:hAnsi="Arial"/>
          <w:sz w:val="14"/>
          <w:szCs w:val="14"/>
          <w:color w:val="5B5B5B"/>
        </w:rPr>
        <w:t xml:space="preserve"> of </w:t>
      </w:r>
      <w:r>
        <w:rPr>
          <w:rFonts w:ascii="Arial" w:cs="Arial" w:eastAsia="Arial" w:hAnsi="Arial"/>
          <w:sz w:val="14"/>
          <w:szCs w:val="14"/>
          <w:color w:val="4B4B4B"/>
        </w:rPr>
        <w:t>t</w:t>
      </w:r>
      <w:r>
        <w:rPr>
          <w:rFonts w:ascii="Arial" w:cs="Arial" w:eastAsia="Arial" w:hAnsi="Arial"/>
          <w:sz w:val="14"/>
          <w:szCs w:val="14"/>
          <w:color w:val="5B5B5B"/>
        </w:rPr>
        <w:t>he T</w:t>
      </w:r>
      <w:r>
        <w:rPr>
          <w:rFonts w:ascii="Arial" w:cs="Arial" w:eastAsia="Arial" w:hAnsi="Arial"/>
          <w:sz w:val="14"/>
          <w:szCs w:val="14"/>
          <w:color w:val="4B4B4B"/>
        </w:rPr>
        <w:t>ena</w:t>
      </w:r>
      <w:r>
        <w:rPr>
          <w:rFonts w:ascii="Arial" w:cs="Arial" w:eastAsia="Arial" w:hAnsi="Arial"/>
          <w:sz w:val="14"/>
          <w:szCs w:val="14"/>
          <w:color w:val="5B5B5B"/>
        </w:rPr>
        <w:t xml:space="preserve">nt </w:t>
      </w:r>
      <w:r>
        <w:rPr>
          <w:rFonts w:ascii="Arial" w:cs="Arial" w:eastAsia="Arial" w:hAnsi="Arial"/>
          <w:sz w:val="14"/>
          <w:szCs w:val="14"/>
          <w:color w:val="2F2F2F"/>
        </w:rPr>
        <w:t>I</w:t>
      </w:r>
      <w:r>
        <w:rPr>
          <w:rFonts w:ascii="Arial" w:cs="Arial" w:eastAsia="Arial" w:hAnsi="Arial"/>
          <w:sz w:val="14"/>
          <w:szCs w:val="14"/>
          <w:color w:val="4B4B4B"/>
        </w:rPr>
        <w:t>mpro</w:t>
      </w:r>
      <w:r>
        <w:rPr>
          <w:rFonts w:ascii="Arial" w:cs="Arial" w:eastAsia="Arial" w:hAnsi="Arial"/>
          <w:sz w:val="14"/>
          <w:szCs w:val="14"/>
          <w:color w:val="5B5B5B"/>
        </w:rPr>
        <w:t>v</w:t>
      </w:r>
      <w:r>
        <w:rPr>
          <w:rFonts w:ascii="Arial" w:cs="Arial" w:eastAsia="Arial" w:hAnsi="Arial"/>
          <w:sz w:val="14"/>
          <w:szCs w:val="14"/>
          <w:color w:val="4B4B4B"/>
        </w:rPr>
        <w:t>ement</w:t>
      </w:r>
      <w:r>
        <w:rPr>
          <w:rFonts w:ascii="Arial" w:cs="Arial" w:eastAsia="Arial" w:hAnsi="Arial"/>
          <w:sz w:val="14"/>
          <w:szCs w:val="14"/>
          <w:color w:val="5B5B5B"/>
        </w:rPr>
        <w:t>s s</w:t>
      </w:r>
      <w:r>
        <w:rPr>
          <w:rFonts w:ascii="Arial" w:cs="Arial" w:eastAsia="Arial" w:hAnsi="Arial"/>
          <w:sz w:val="14"/>
          <w:szCs w:val="14"/>
          <w:color w:val="4B4B4B"/>
        </w:rPr>
        <w:t>ha</w:t>
      </w:r>
      <w:r>
        <w:rPr>
          <w:rFonts w:ascii="Arial" w:cs="Arial" w:eastAsia="Arial" w:hAnsi="Arial"/>
          <w:sz w:val="14"/>
          <w:szCs w:val="14"/>
          <w:color w:val="2F2F2F"/>
        </w:rPr>
        <w:t>ll</w:t>
      </w:r>
      <w:r>
        <w:rPr>
          <w:rFonts w:ascii="Arial" w:cs="Arial" w:eastAsia="Arial" w:hAnsi="Arial"/>
          <w:sz w:val="14"/>
          <w:szCs w:val="14"/>
          <w:color w:val="5B5B5B"/>
        </w:rPr>
        <w:t xml:space="preserve"> </w:t>
      </w:r>
      <w:r>
        <w:rPr>
          <w:rFonts w:ascii="Arial" w:cs="Arial" w:eastAsia="Arial" w:hAnsi="Arial"/>
          <w:sz w:val="14"/>
          <w:szCs w:val="14"/>
          <w:color w:val="4B4B4B"/>
        </w:rPr>
        <w:t>be cha</w:t>
      </w:r>
      <w:r>
        <w:rPr>
          <w:rFonts w:ascii="Arial" w:cs="Arial" w:eastAsia="Arial" w:hAnsi="Arial"/>
          <w:sz w:val="14"/>
          <w:szCs w:val="14"/>
          <w:color w:val="2F2F2F"/>
        </w:rPr>
        <w:t>r</w:t>
      </w:r>
      <w:r>
        <w:rPr>
          <w:rFonts w:ascii="Arial" w:cs="Arial" w:eastAsia="Arial" w:hAnsi="Arial"/>
          <w:sz w:val="14"/>
          <w:szCs w:val="14"/>
          <w:color w:val="5B5B5B"/>
        </w:rPr>
        <w:t>g</w:t>
      </w:r>
      <w:r>
        <w:rPr>
          <w:rFonts w:ascii="Arial" w:cs="Arial" w:eastAsia="Arial" w:hAnsi="Arial"/>
          <w:sz w:val="14"/>
          <w:szCs w:val="14"/>
          <w:color w:val="4B4B4B"/>
        </w:rPr>
        <w:t>ed</w:t>
      </w:r>
      <w:r>
        <w:rPr>
          <w:rFonts w:ascii="Arial" w:cs="Arial" w:eastAsia="Arial" w:hAnsi="Arial"/>
          <w:sz w:val="14"/>
          <w:szCs w:val="14"/>
          <w:color w:val="5B5B5B"/>
        </w:rPr>
        <w:t xml:space="preserve"> </w:t>
      </w:r>
      <w:r>
        <w:rPr>
          <w:rFonts w:ascii="Arial" w:cs="Arial" w:eastAsia="Arial" w:hAnsi="Arial"/>
          <w:sz w:val="14"/>
          <w:szCs w:val="14"/>
          <w:color w:val="4B4B4B"/>
        </w:rPr>
        <w:t>again</w:t>
      </w:r>
      <w:r>
        <w:rPr>
          <w:rFonts w:ascii="Arial" w:cs="Arial" w:eastAsia="Arial" w:hAnsi="Arial"/>
          <w:sz w:val="14"/>
          <w:szCs w:val="14"/>
          <w:color w:val="5B5B5B"/>
        </w:rPr>
        <w:t>s</w:t>
      </w:r>
      <w:r>
        <w:rPr>
          <w:rFonts w:ascii="Arial" w:cs="Arial" w:eastAsia="Arial" w:hAnsi="Arial"/>
          <w:sz w:val="14"/>
          <w:szCs w:val="14"/>
          <w:color w:val="4B4B4B"/>
        </w:rPr>
        <w:t>t the A</w:t>
      </w:r>
      <w:r>
        <w:rPr>
          <w:rFonts w:ascii="Arial" w:cs="Arial" w:eastAsia="Arial" w:hAnsi="Arial"/>
          <w:sz w:val="14"/>
          <w:szCs w:val="14"/>
          <w:color w:val="2F2F2F"/>
        </w:rPr>
        <w:t>ll</w:t>
      </w:r>
      <w:r>
        <w:rPr>
          <w:rFonts w:ascii="Arial" w:cs="Arial" w:eastAsia="Arial" w:hAnsi="Arial"/>
          <w:sz w:val="14"/>
          <w:szCs w:val="14"/>
          <w:color w:val="5B5B5B"/>
        </w:rPr>
        <w:t>o</w:t>
      </w:r>
      <w:r>
        <w:rPr>
          <w:rFonts w:ascii="Arial" w:cs="Arial" w:eastAsia="Arial" w:hAnsi="Arial"/>
          <w:sz w:val="14"/>
          <w:szCs w:val="14"/>
          <w:color w:val="4B4B4B"/>
        </w:rPr>
        <w:t>wan</w:t>
      </w:r>
      <w:r>
        <w:rPr>
          <w:rFonts w:ascii="Arial" w:cs="Arial" w:eastAsia="Arial" w:hAnsi="Arial"/>
          <w:sz w:val="14"/>
          <w:szCs w:val="14"/>
          <w:color w:val="5B5B5B"/>
        </w:rPr>
        <w:t>c</w:t>
      </w:r>
      <w:r>
        <w:rPr>
          <w:rFonts w:ascii="Arial" w:cs="Arial" w:eastAsia="Arial" w:hAnsi="Arial"/>
          <w:sz w:val="14"/>
          <w:szCs w:val="14"/>
          <w:color w:val="4B4B4B"/>
        </w:rPr>
        <w:t>es</w:t>
      </w:r>
      <w:r>
        <w:rPr>
          <w:rFonts w:ascii="Arial" w:cs="Arial" w:eastAsia="Arial" w:hAnsi="Arial"/>
          <w:sz w:val="14"/>
          <w:szCs w:val="14"/>
          <w:color w:val="757575"/>
        </w:rPr>
        <w:t>.</w:t>
      </w:r>
      <w:r>
        <w:rPr>
          <w:rFonts w:ascii="Arial" w:cs="Arial" w:eastAsia="Arial" w:hAnsi="Arial"/>
          <w:sz w:val="14"/>
          <w:szCs w:val="14"/>
          <w:color w:val="4B4B4B"/>
        </w:rPr>
        <w:t xml:space="preserve"> </w:t>
      </w:r>
      <w:r>
        <w:rPr>
          <w:rFonts w:ascii="Arial" w:cs="Arial" w:eastAsia="Arial" w:hAnsi="Arial"/>
          <w:sz w:val="14"/>
          <w:szCs w:val="14"/>
          <w:color w:val="2F2F2F"/>
        </w:rPr>
        <w:t>I</w:t>
      </w:r>
      <w:r>
        <w:rPr>
          <w:rFonts w:ascii="Arial" w:cs="Arial" w:eastAsia="Arial" w:hAnsi="Arial"/>
          <w:sz w:val="14"/>
          <w:szCs w:val="14"/>
          <w:color w:val="4B4B4B"/>
        </w:rPr>
        <w:t xml:space="preserve">n </w:t>
      </w:r>
      <w:r>
        <w:rPr>
          <w:rFonts w:ascii="Arial" w:cs="Arial" w:eastAsia="Arial" w:hAnsi="Arial"/>
          <w:sz w:val="14"/>
          <w:szCs w:val="14"/>
          <w:color w:val="5B5B5B"/>
        </w:rPr>
        <w:t>n</w:t>
      </w:r>
      <w:r>
        <w:rPr>
          <w:rFonts w:ascii="Arial" w:cs="Arial" w:eastAsia="Arial" w:hAnsi="Arial"/>
          <w:sz w:val="14"/>
          <w:szCs w:val="14"/>
          <w:color w:val="4B4B4B"/>
        </w:rPr>
        <w:t xml:space="preserve">o event </w:t>
      </w:r>
      <w:r>
        <w:rPr>
          <w:rFonts w:ascii="Arial" w:cs="Arial" w:eastAsia="Arial" w:hAnsi="Arial"/>
          <w:sz w:val="14"/>
          <w:szCs w:val="14"/>
          <w:color w:val="5B5B5B"/>
        </w:rPr>
        <w:t>wi</w:t>
      </w:r>
      <w:r>
        <w:rPr>
          <w:rFonts w:ascii="Arial" w:cs="Arial" w:eastAsia="Arial" w:hAnsi="Arial"/>
          <w:sz w:val="14"/>
          <w:szCs w:val="14"/>
          <w:color w:val="4B4B4B"/>
        </w:rPr>
        <w:t xml:space="preserve">ll </w:t>
      </w:r>
      <w:r>
        <w:rPr>
          <w:rFonts w:ascii="Arial" w:cs="Arial" w:eastAsia="Arial" w:hAnsi="Arial"/>
          <w:sz w:val="14"/>
          <w:szCs w:val="14"/>
          <w:color w:val="5B5B5B"/>
        </w:rPr>
        <w:t>th</w:t>
      </w:r>
      <w:r>
        <w:rPr>
          <w:rFonts w:ascii="Arial" w:cs="Arial" w:eastAsia="Arial" w:hAnsi="Arial"/>
          <w:sz w:val="14"/>
          <w:szCs w:val="14"/>
          <w:color w:val="4B4B4B"/>
        </w:rPr>
        <w:t xml:space="preserve">e </w:t>
      </w:r>
      <w:r>
        <w:rPr>
          <w:rFonts w:ascii="Arial" w:cs="Arial" w:eastAsia="Arial" w:hAnsi="Arial"/>
          <w:sz w:val="14"/>
          <w:szCs w:val="14"/>
          <w:color w:val="5B5B5B"/>
        </w:rPr>
        <w:t>A</w:t>
      </w:r>
      <w:r>
        <w:rPr>
          <w:rFonts w:ascii="Arial" w:cs="Arial" w:eastAsia="Arial" w:hAnsi="Arial"/>
          <w:sz w:val="14"/>
          <w:szCs w:val="14"/>
          <w:color w:val="4B4B4B"/>
        </w:rPr>
        <w:t>ll</w:t>
      </w:r>
      <w:r>
        <w:rPr>
          <w:rFonts w:ascii="Arial" w:cs="Arial" w:eastAsia="Arial" w:hAnsi="Arial"/>
          <w:sz w:val="14"/>
          <w:szCs w:val="14"/>
          <w:color w:val="5B5B5B"/>
        </w:rPr>
        <w:t>o</w:t>
      </w:r>
      <w:r>
        <w:rPr>
          <w:rFonts w:ascii="Arial" w:cs="Arial" w:eastAsia="Arial" w:hAnsi="Arial"/>
          <w:sz w:val="14"/>
          <w:szCs w:val="14"/>
          <w:color w:val="4B4B4B"/>
        </w:rPr>
        <w:t>wan</w:t>
      </w:r>
      <w:r>
        <w:rPr>
          <w:rFonts w:ascii="Arial" w:cs="Arial" w:eastAsia="Arial" w:hAnsi="Arial"/>
          <w:sz w:val="14"/>
          <w:szCs w:val="14"/>
          <w:color w:val="5B5B5B"/>
        </w:rPr>
        <w:t>c</w:t>
      </w:r>
      <w:r>
        <w:rPr>
          <w:rFonts w:ascii="Arial" w:cs="Arial" w:eastAsia="Arial" w:hAnsi="Arial"/>
          <w:sz w:val="14"/>
          <w:szCs w:val="14"/>
          <w:color w:val="4B4B4B"/>
        </w:rPr>
        <w:t>e</w:t>
      </w:r>
      <w:r>
        <w:rPr>
          <w:rFonts w:ascii="Arial" w:cs="Arial" w:eastAsia="Arial" w:hAnsi="Arial"/>
          <w:sz w:val="14"/>
          <w:szCs w:val="14"/>
          <w:color w:val="5B5B5B"/>
        </w:rPr>
        <w:t>s</w:t>
      </w:r>
      <w:r>
        <w:rPr>
          <w:rFonts w:ascii="Arial" w:cs="Arial" w:eastAsia="Arial" w:hAnsi="Arial"/>
          <w:sz w:val="14"/>
          <w:szCs w:val="14"/>
          <w:color w:val="4B4B4B"/>
        </w:rPr>
        <w:t xml:space="preserve"> b</w:t>
      </w:r>
      <w:r>
        <w:rPr>
          <w:rFonts w:ascii="Arial" w:cs="Arial" w:eastAsia="Arial" w:hAnsi="Arial"/>
          <w:sz w:val="14"/>
          <w:szCs w:val="14"/>
          <w:color w:val="5B5B5B"/>
        </w:rPr>
        <w:t>e use</w:t>
      </w:r>
      <w:r>
        <w:rPr>
          <w:rFonts w:ascii="Arial" w:cs="Arial" w:eastAsia="Arial" w:hAnsi="Arial"/>
          <w:sz w:val="14"/>
          <w:szCs w:val="14"/>
          <w:color w:val="4B4B4B"/>
        </w:rPr>
        <w:t>d t</w:t>
      </w:r>
      <w:r>
        <w:rPr>
          <w:rFonts w:ascii="Arial" w:cs="Arial" w:eastAsia="Arial" w:hAnsi="Arial"/>
          <w:sz w:val="14"/>
          <w:szCs w:val="14"/>
          <w:color w:val="5B5B5B"/>
        </w:rPr>
        <w:t>o</w:t>
      </w:r>
      <w:r>
        <w:rPr>
          <w:rFonts w:ascii="Arial" w:cs="Arial" w:eastAsia="Arial" w:hAnsi="Arial"/>
          <w:sz w:val="14"/>
          <w:szCs w:val="14"/>
          <w:color w:val="4B4B4B"/>
        </w:rPr>
        <w:t xml:space="preserve"> p</w:t>
      </w:r>
      <w:r>
        <w:rPr>
          <w:rFonts w:ascii="Arial" w:cs="Arial" w:eastAsia="Arial" w:hAnsi="Arial"/>
          <w:sz w:val="14"/>
          <w:szCs w:val="14"/>
          <w:color w:val="5B5B5B"/>
        </w:rPr>
        <w:t>ay</w:t>
      </w:r>
      <w:r>
        <w:rPr>
          <w:rFonts w:ascii="Arial" w:cs="Arial" w:eastAsia="Arial" w:hAnsi="Arial"/>
          <w:sz w:val="14"/>
          <w:szCs w:val="14"/>
          <w:color w:val="4B4B4B"/>
        </w:rPr>
        <w:t xml:space="preserve"> f</w:t>
      </w:r>
      <w:r>
        <w:rPr>
          <w:rFonts w:ascii="Arial" w:cs="Arial" w:eastAsia="Arial" w:hAnsi="Arial"/>
          <w:sz w:val="14"/>
          <w:szCs w:val="14"/>
          <w:color w:val="5B5B5B"/>
        </w:rPr>
        <w:t>o</w:t>
      </w:r>
      <w:r>
        <w:rPr>
          <w:rFonts w:ascii="Arial" w:cs="Arial" w:eastAsia="Arial" w:hAnsi="Arial"/>
          <w:sz w:val="14"/>
          <w:szCs w:val="14"/>
          <w:color w:val="4B4B4B"/>
        </w:rPr>
        <w:t>r Le</w:t>
      </w:r>
      <w:r>
        <w:rPr>
          <w:rFonts w:ascii="Arial" w:cs="Arial" w:eastAsia="Arial" w:hAnsi="Arial"/>
          <w:sz w:val="14"/>
          <w:szCs w:val="14"/>
          <w:color w:val="5B5B5B"/>
        </w:rPr>
        <w:t>ss</w:t>
      </w:r>
      <w:r>
        <w:rPr>
          <w:rFonts w:ascii="Arial" w:cs="Arial" w:eastAsia="Arial" w:hAnsi="Arial"/>
          <w:sz w:val="14"/>
          <w:szCs w:val="14"/>
          <w:color w:val="4B4B4B"/>
        </w:rPr>
        <w:t>ee</w:t>
      </w:r>
      <w:r>
        <w:rPr>
          <w:rFonts w:ascii="Arial" w:cs="Arial" w:eastAsia="Arial" w:hAnsi="Arial"/>
          <w:sz w:val="14"/>
          <w:szCs w:val="14"/>
          <w:color w:val="878787"/>
        </w:rPr>
        <w:t>'</w:t>
      </w:r>
      <w:r>
        <w:rPr>
          <w:rFonts w:ascii="Arial" w:cs="Arial" w:eastAsia="Arial" w:hAnsi="Arial"/>
          <w:sz w:val="14"/>
          <w:szCs w:val="14"/>
          <w:color w:val="5B5B5B"/>
        </w:rPr>
        <w:t>s f</w:t>
      </w:r>
      <w:r>
        <w:rPr>
          <w:rFonts w:ascii="Arial" w:cs="Arial" w:eastAsia="Arial" w:hAnsi="Arial"/>
          <w:sz w:val="14"/>
          <w:szCs w:val="14"/>
          <w:color w:val="4B4B4B"/>
        </w:rPr>
        <w:t>urn</w:t>
      </w:r>
      <w:r>
        <w:rPr>
          <w:rFonts w:ascii="Arial" w:cs="Arial" w:eastAsia="Arial" w:hAnsi="Arial"/>
          <w:sz w:val="14"/>
          <w:szCs w:val="14"/>
          <w:color w:val="5B5B5B"/>
        </w:rPr>
        <w:t>i</w:t>
      </w:r>
      <w:r>
        <w:rPr>
          <w:rFonts w:ascii="Arial" w:cs="Arial" w:eastAsia="Arial" w:hAnsi="Arial"/>
          <w:sz w:val="14"/>
          <w:szCs w:val="14"/>
          <w:color w:val="4B4B4B"/>
        </w:rPr>
        <w:t>ture</w:t>
      </w:r>
      <w:r>
        <w:rPr>
          <w:rFonts w:ascii="Arial" w:cs="Arial" w:eastAsia="Arial" w:hAnsi="Arial"/>
          <w:sz w:val="14"/>
          <w:szCs w:val="14"/>
          <w:color w:val="878787"/>
        </w:rPr>
        <w:t>,</w:t>
      </w:r>
      <w:r>
        <w:rPr>
          <w:rFonts w:ascii="Arial" w:cs="Arial" w:eastAsia="Arial" w:hAnsi="Arial"/>
          <w:sz w:val="14"/>
          <w:szCs w:val="14"/>
          <w:color w:val="4B4B4B"/>
        </w:rPr>
        <w:t xml:space="preserve"> </w:t>
      </w:r>
      <w:r>
        <w:rPr>
          <w:rFonts w:ascii="Arial" w:cs="Arial" w:eastAsia="Arial" w:hAnsi="Arial"/>
          <w:sz w:val="14"/>
          <w:szCs w:val="14"/>
          <w:color w:val="5B5B5B"/>
        </w:rPr>
        <w:t>arti</w:t>
      </w:r>
      <w:r>
        <w:rPr>
          <w:rFonts w:ascii="Arial" w:cs="Arial" w:eastAsia="Arial" w:hAnsi="Arial"/>
          <w:sz w:val="14"/>
          <w:szCs w:val="14"/>
          <w:color w:val="4B4B4B"/>
        </w:rPr>
        <w:t>fa</w:t>
      </w:r>
      <w:r>
        <w:rPr>
          <w:rFonts w:ascii="Arial" w:cs="Arial" w:eastAsia="Arial" w:hAnsi="Arial"/>
          <w:sz w:val="14"/>
          <w:szCs w:val="14"/>
          <w:color w:val="5B5B5B"/>
        </w:rPr>
        <w:t>cts</w:t>
      </w:r>
      <w:r>
        <w:rPr>
          <w:rFonts w:ascii="Arial" w:cs="Arial" w:eastAsia="Arial" w:hAnsi="Arial"/>
          <w:sz w:val="14"/>
          <w:szCs w:val="14"/>
          <w:color w:val="878787"/>
        </w:rPr>
        <w:t>,</w:t>
      </w:r>
      <w:r>
        <w:rPr>
          <w:rFonts w:ascii="Arial" w:cs="Arial" w:eastAsia="Arial" w:hAnsi="Arial"/>
          <w:sz w:val="14"/>
          <w:szCs w:val="14"/>
          <w:color w:val="4B4B4B"/>
        </w:rPr>
        <w:t xml:space="preserve"> equ</w:t>
      </w:r>
      <w:r>
        <w:rPr>
          <w:rFonts w:ascii="Arial" w:cs="Arial" w:eastAsia="Arial" w:hAnsi="Arial"/>
          <w:sz w:val="14"/>
          <w:szCs w:val="14"/>
          <w:color w:val="5B5B5B"/>
        </w:rPr>
        <w:t>i</w:t>
      </w:r>
      <w:r>
        <w:rPr>
          <w:rFonts w:ascii="Arial" w:cs="Arial" w:eastAsia="Arial" w:hAnsi="Arial"/>
          <w:sz w:val="14"/>
          <w:szCs w:val="14"/>
          <w:color w:val="4B4B4B"/>
        </w:rPr>
        <w:t>p</w:t>
      </w:r>
      <w:r>
        <w:rPr>
          <w:rFonts w:ascii="Arial" w:cs="Arial" w:eastAsia="Arial" w:hAnsi="Arial"/>
          <w:sz w:val="14"/>
          <w:szCs w:val="14"/>
          <w:color w:val="5B5B5B"/>
        </w:rPr>
        <w:t>m</w:t>
      </w:r>
      <w:r>
        <w:rPr>
          <w:rFonts w:ascii="Arial" w:cs="Arial" w:eastAsia="Arial" w:hAnsi="Arial"/>
          <w:sz w:val="14"/>
          <w:szCs w:val="14"/>
          <w:color w:val="4B4B4B"/>
        </w:rPr>
        <w:t>ent</w:t>
      </w:r>
      <w:r>
        <w:rPr>
          <w:rFonts w:ascii="Arial" w:cs="Arial" w:eastAsia="Arial" w:hAnsi="Arial"/>
          <w:sz w:val="14"/>
          <w:szCs w:val="14"/>
          <w:color w:val="9A9A9A"/>
        </w:rPr>
        <w:t>,</w:t>
      </w:r>
      <w:r>
        <w:rPr>
          <w:rFonts w:ascii="Arial" w:cs="Arial" w:eastAsia="Arial" w:hAnsi="Arial"/>
          <w:sz w:val="14"/>
          <w:szCs w:val="14"/>
          <w:color w:val="4B4B4B"/>
        </w:rPr>
        <w:t xml:space="preserve"> </w:t>
      </w:r>
      <w:r>
        <w:rPr>
          <w:rFonts w:ascii="Arial" w:cs="Arial" w:eastAsia="Arial" w:hAnsi="Arial"/>
          <w:sz w:val="14"/>
          <w:szCs w:val="14"/>
          <w:color w:val="5B5B5B"/>
        </w:rPr>
        <w:t>te</w:t>
      </w:r>
      <w:r>
        <w:rPr>
          <w:rFonts w:ascii="Arial" w:cs="Arial" w:eastAsia="Arial" w:hAnsi="Arial"/>
          <w:sz w:val="14"/>
          <w:szCs w:val="14"/>
          <w:color w:val="4B4B4B"/>
        </w:rPr>
        <w:t>l</w:t>
      </w:r>
      <w:r>
        <w:rPr>
          <w:rFonts w:ascii="Arial" w:cs="Arial" w:eastAsia="Arial" w:hAnsi="Arial"/>
          <w:sz w:val="14"/>
          <w:szCs w:val="14"/>
          <w:color w:val="5B5B5B"/>
        </w:rPr>
        <w:t>e</w:t>
      </w:r>
      <w:r>
        <w:rPr>
          <w:rFonts w:ascii="Arial" w:cs="Arial" w:eastAsia="Arial" w:hAnsi="Arial"/>
          <w:sz w:val="14"/>
          <w:szCs w:val="14"/>
          <w:color w:val="4B4B4B"/>
        </w:rPr>
        <w:t>p</w:t>
      </w:r>
      <w:r>
        <w:rPr>
          <w:rFonts w:ascii="Arial" w:cs="Arial" w:eastAsia="Arial" w:hAnsi="Arial"/>
          <w:sz w:val="14"/>
          <w:szCs w:val="14"/>
          <w:color w:val="5B5B5B"/>
        </w:rPr>
        <w:t>ho</w:t>
      </w:r>
      <w:r>
        <w:rPr>
          <w:rFonts w:ascii="Arial" w:cs="Arial" w:eastAsia="Arial" w:hAnsi="Arial"/>
          <w:sz w:val="14"/>
          <w:szCs w:val="14"/>
          <w:color w:val="4B4B4B"/>
        </w:rPr>
        <w:t>ne sy</w:t>
      </w:r>
      <w:r>
        <w:rPr>
          <w:rFonts w:ascii="Arial" w:cs="Arial" w:eastAsia="Arial" w:hAnsi="Arial"/>
          <w:sz w:val="14"/>
          <w:szCs w:val="14"/>
          <w:color w:val="5B5B5B"/>
        </w:rPr>
        <w:t>s</w:t>
      </w:r>
      <w:r>
        <w:rPr>
          <w:rFonts w:ascii="Arial" w:cs="Arial" w:eastAsia="Arial" w:hAnsi="Arial"/>
          <w:sz w:val="14"/>
          <w:szCs w:val="14"/>
          <w:color w:val="4B4B4B"/>
        </w:rPr>
        <w:t>t</w:t>
      </w:r>
      <w:r>
        <w:rPr>
          <w:rFonts w:ascii="Arial" w:cs="Arial" w:eastAsia="Arial" w:hAnsi="Arial"/>
          <w:sz w:val="14"/>
          <w:szCs w:val="14"/>
          <w:color w:val="5B5B5B"/>
        </w:rPr>
        <w:t>ems or</w:t>
      </w:r>
      <w:r>
        <w:rPr>
          <w:rFonts w:ascii="Arial" w:cs="Arial" w:eastAsia="Arial" w:hAnsi="Arial"/>
          <w:sz w:val="14"/>
          <w:szCs w:val="14"/>
          <w:color w:val="4B4B4B"/>
        </w:rPr>
        <w:t xml:space="preserve"> an</w:t>
      </w:r>
      <w:r>
        <w:rPr>
          <w:rFonts w:ascii="Arial" w:cs="Arial" w:eastAsia="Arial" w:hAnsi="Arial"/>
          <w:sz w:val="14"/>
          <w:szCs w:val="14"/>
          <w:color w:val="5B5B5B"/>
        </w:rPr>
        <w:t>y o</w:t>
      </w:r>
      <w:r>
        <w:rPr>
          <w:rFonts w:ascii="Arial" w:cs="Arial" w:eastAsia="Arial" w:hAnsi="Arial"/>
          <w:sz w:val="14"/>
          <w:szCs w:val="14"/>
          <w:color w:val="4B4B4B"/>
        </w:rPr>
        <w:t>t</w:t>
      </w:r>
      <w:r>
        <w:rPr>
          <w:rFonts w:ascii="Arial" w:cs="Arial" w:eastAsia="Arial" w:hAnsi="Arial"/>
          <w:sz w:val="14"/>
          <w:szCs w:val="14"/>
          <w:color w:val="5B5B5B"/>
        </w:rPr>
        <w:t>h</w:t>
      </w:r>
      <w:r>
        <w:rPr>
          <w:rFonts w:ascii="Arial" w:cs="Arial" w:eastAsia="Arial" w:hAnsi="Arial"/>
          <w:sz w:val="14"/>
          <w:szCs w:val="14"/>
          <w:color w:val="4B4B4B"/>
        </w:rPr>
        <w:t>e</w:t>
      </w:r>
      <w:r>
        <w:rPr>
          <w:rFonts w:ascii="Arial" w:cs="Arial" w:eastAsia="Arial" w:hAnsi="Arial"/>
          <w:sz w:val="14"/>
          <w:szCs w:val="14"/>
          <w:color w:val="5B5B5B"/>
        </w:rPr>
        <w:t>r</w:t>
      </w:r>
      <w:r>
        <w:rPr>
          <w:rFonts w:ascii="Arial" w:cs="Arial" w:eastAsia="Arial" w:hAnsi="Arial"/>
          <w:sz w:val="14"/>
          <w:szCs w:val="14"/>
          <w:color w:val="4B4B4B"/>
        </w:rPr>
        <w:t xml:space="preserve"> </w:t>
      </w:r>
      <w:r>
        <w:rPr>
          <w:rFonts w:ascii="Arial" w:cs="Arial" w:eastAsia="Arial" w:hAnsi="Arial"/>
          <w:sz w:val="14"/>
          <w:szCs w:val="14"/>
          <w:color w:val="5B5B5B"/>
        </w:rPr>
        <w:t>it</w:t>
      </w:r>
      <w:r>
        <w:rPr>
          <w:rFonts w:ascii="Arial" w:cs="Arial" w:eastAsia="Arial" w:hAnsi="Arial"/>
          <w:sz w:val="14"/>
          <w:szCs w:val="14"/>
          <w:color w:val="4B4B4B"/>
        </w:rPr>
        <w:t>e</w:t>
      </w:r>
      <w:r>
        <w:rPr>
          <w:rFonts w:ascii="Arial" w:cs="Arial" w:eastAsia="Arial" w:hAnsi="Arial"/>
          <w:sz w:val="14"/>
          <w:szCs w:val="14"/>
          <w:color w:val="5B5B5B"/>
        </w:rPr>
        <w:t xml:space="preserve">ms </w:t>
      </w:r>
      <w:r>
        <w:rPr>
          <w:rFonts w:ascii="Arial" w:cs="Arial" w:eastAsia="Arial" w:hAnsi="Arial"/>
          <w:sz w:val="14"/>
          <w:szCs w:val="14"/>
          <w:color w:val="4B4B4B"/>
        </w:rPr>
        <w:t>o</w:t>
      </w:r>
      <w:r>
        <w:rPr>
          <w:rFonts w:ascii="Arial" w:cs="Arial" w:eastAsia="Arial" w:hAnsi="Arial"/>
          <w:sz w:val="14"/>
          <w:szCs w:val="14"/>
          <w:color w:val="5B5B5B"/>
        </w:rPr>
        <w:t>f p</w:t>
      </w:r>
      <w:r>
        <w:rPr>
          <w:rFonts w:ascii="Arial" w:cs="Arial" w:eastAsia="Arial" w:hAnsi="Arial"/>
          <w:sz w:val="14"/>
          <w:szCs w:val="14"/>
          <w:color w:val="4B4B4B"/>
        </w:rPr>
        <w:t>er</w:t>
      </w:r>
      <w:r>
        <w:rPr>
          <w:rFonts w:ascii="Arial" w:cs="Arial" w:eastAsia="Arial" w:hAnsi="Arial"/>
          <w:sz w:val="14"/>
          <w:szCs w:val="14"/>
          <w:color w:val="5B5B5B"/>
        </w:rPr>
        <w:t>s</w:t>
      </w:r>
      <w:r>
        <w:rPr>
          <w:rFonts w:ascii="Arial" w:cs="Arial" w:eastAsia="Arial" w:hAnsi="Arial"/>
          <w:sz w:val="14"/>
          <w:szCs w:val="14"/>
          <w:color w:val="4B4B4B"/>
        </w:rPr>
        <w:t>o</w:t>
      </w:r>
      <w:r>
        <w:rPr>
          <w:rFonts w:ascii="Arial" w:cs="Arial" w:eastAsia="Arial" w:hAnsi="Arial"/>
          <w:sz w:val="14"/>
          <w:szCs w:val="14"/>
          <w:color w:val="5B5B5B"/>
        </w:rPr>
        <w:t>na</w:t>
      </w:r>
      <w:r>
        <w:rPr>
          <w:rFonts w:ascii="Arial" w:cs="Arial" w:eastAsia="Arial" w:hAnsi="Arial"/>
          <w:sz w:val="14"/>
          <w:szCs w:val="14"/>
          <w:color w:val="4B4B4B"/>
        </w:rPr>
        <w:t>l</w:t>
      </w:r>
      <w:r>
        <w:rPr>
          <w:rFonts w:ascii="Arial" w:cs="Arial" w:eastAsia="Arial" w:hAnsi="Arial"/>
          <w:sz w:val="14"/>
          <w:szCs w:val="14"/>
          <w:color w:val="5B5B5B"/>
        </w:rPr>
        <w:t xml:space="preserve"> p</w:t>
      </w:r>
      <w:r>
        <w:rPr>
          <w:rFonts w:ascii="Arial" w:cs="Arial" w:eastAsia="Arial" w:hAnsi="Arial"/>
          <w:sz w:val="14"/>
          <w:szCs w:val="14"/>
          <w:color w:val="4B4B4B"/>
        </w:rPr>
        <w:t>rope</w:t>
      </w:r>
      <w:r>
        <w:rPr>
          <w:rFonts w:ascii="Arial" w:cs="Arial" w:eastAsia="Arial" w:hAnsi="Arial"/>
          <w:sz w:val="14"/>
          <w:szCs w:val="14"/>
          <w:color w:val="5B5B5B"/>
        </w:rPr>
        <w:t>rty o</w:t>
      </w:r>
      <w:r>
        <w:rPr>
          <w:rFonts w:ascii="Arial" w:cs="Arial" w:eastAsia="Arial" w:hAnsi="Arial"/>
          <w:sz w:val="14"/>
          <w:szCs w:val="14"/>
          <w:color w:val="4B4B4B"/>
        </w:rPr>
        <w:t>r</w:t>
      </w:r>
      <w:r>
        <w:rPr>
          <w:rFonts w:ascii="Arial" w:cs="Arial" w:eastAsia="Arial" w:hAnsi="Arial"/>
          <w:sz w:val="14"/>
          <w:szCs w:val="14"/>
          <w:color w:val="5B5B5B"/>
        </w:rPr>
        <w:t xml:space="preserve"> Lesse</w:t>
      </w:r>
      <w:r>
        <w:rPr>
          <w:rFonts w:ascii="Arial" w:cs="Arial" w:eastAsia="Arial" w:hAnsi="Arial"/>
          <w:sz w:val="14"/>
          <w:szCs w:val="14"/>
          <w:color w:val="4B4B4B"/>
        </w:rPr>
        <w:t>e</w:t>
      </w:r>
      <w:r>
        <w:rPr>
          <w:rFonts w:ascii="Arial" w:cs="Arial" w:eastAsia="Arial" w:hAnsi="Arial"/>
          <w:sz w:val="14"/>
          <w:szCs w:val="14"/>
          <w:color w:val="757575"/>
        </w:rPr>
        <w:t>.</w:t>
      </w:r>
      <w:r>
        <w:rPr>
          <w:rFonts w:ascii="Arial" w:cs="Arial" w:eastAsia="Arial" w:hAnsi="Arial"/>
          <w:sz w:val="14"/>
          <w:szCs w:val="14"/>
          <w:color w:val="5B5B5B"/>
        </w:rPr>
        <w:t xml:space="preserve"> A</w:t>
      </w:r>
      <w:r>
        <w:rPr>
          <w:rFonts w:ascii="Arial" w:cs="Arial" w:eastAsia="Arial" w:hAnsi="Arial"/>
          <w:sz w:val="14"/>
          <w:szCs w:val="14"/>
          <w:color w:val="4B4B4B"/>
        </w:rPr>
        <w:t>ll t</w:t>
      </w:r>
      <w:r>
        <w:rPr>
          <w:rFonts w:ascii="Arial" w:cs="Arial" w:eastAsia="Arial" w:hAnsi="Arial"/>
          <w:sz w:val="14"/>
          <w:szCs w:val="14"/>
          <w:color w:val="5B5B5B"/>
        </w:rPr>
        <w:t xml:space="preserve">enant </w:t>
      </w:r>
      <w:r>
        <w:rPr>
          <w:rFonts w:ascii="Arial" w:cs="Arial" w:eastAsia="Arial" w:hAnsi="Arial"/>
          <w:sz w:val="14"/>
          <w:szCs w:val="14"/>
          <w:color w:val="4B4B4B"/>
        </w:rPr>
        <w:t>impr</w:t>
      </w:r>
      <w:r>
        <w:rPr>
          <w:rFonts w:ascii="Arial" w:cs="Arial" w:eastAsia="Arial" w:hAnsi="Arial"/>
          <w:sz w:val="14"/>
          <w:szCs w:val="14"/>
          <w:color w:val="5B5B5B"/>
        </w:rPr>
        <w:t>o</w:t>
      </w:r>
      <w:r>
        <w:rPr>
          <w:rFonts w:ascii="Arial" w:cs="Arial" w:eastAsia="Arial" w:hAnsi="Arial"/>
          <w:sz w:val="14"/>
          <w:szCs w:val="14"/>
          <w:color w:val="4B4B4B"/>
        </w:rPr>
        <w:t>ve</w:t>
      </w:r>
      <w:r>
        <w:rPr>
          <w:rFonts w:ascii="Arial" w:cs="Arial" w:eastAsia="Arial" w:hAnsi="Arial"/>
          <w:sz w:val="14"/>
          <w:szCs w:val="14"/>
          <w:color w:val="5B5B5B"/>
        </w:rPr>
        <w:t>m</w:t>
      </w:r>
      <w:r>
        <w:rPr>
          <w:rFonts w:ascii="Arial" w:cs="Arial" w:eastAsia="Arial" w:hAnsi="Arial"/>
          <w:sz w:val="14"/>
          <w:szCs w:val="14"/>
          <w:color w:val="4B4B4B"/>
        </w:rPr>
        <w:t>en</w:t>
      </w:r>
      <w:r>
        <w:rPr>
          <w:rFonts w:ascii="Arial" w:cs="Arial" w:eastAsia="Arial" w:hAnsi="Arial"/>
          <w:sz w:val="14"/>
          <w:szCs w:val="14"/>
          <w:color w:val="5B5B5B"/>
        </w:rPr>
        <w:t xml:space="preserve">ts must be </w:t>
      </w:r>
      <w:r>
        <w:rPr>
          <w:rFonts w:ascii="Arial" w:cs="Arial" w:eastAsia="Arial" w:hAnsi="Arial"/>
          <w:sz w:val="14"/>
          <w:szCs w:val="14"/>
          <w:color w:val="4B4B4B"/>
        </w:rPr>
        <w:t>ap</w:t>
      </w:r>
      <w:r>
        <w:rPr>
          <w:rFonts w:ascii="Arial" w:cs="Arial" w:eastAsia="Arial" w:hAnsi="Arial"/>
          <w:sz w:val="14"/>
          <w:szCs w:val="14"/>
          <w:color w:val="5B5B5B"/>
        </w:rPr>
        <w:t>pro</w:t>
      </w:r>
      <w:r>
        <w:rPr>
          <w:rFonts w:ascii="Arial" w:cs="Arial" w:eastAsia="Arial" w:hAnsi="Arial"/>
          <w:sz w:val="14"/>
          <w:szCs w:val="14"/>
          <w:color w:val="4B4B4B"/>
        </w:rPr>
        <w:t>ved by L</w:t>
      </w:r>
      <w:r>
        <w:rPr>
          <w:rFonts w:ascii="Arial" w:cs="Arial" w:eastAsia="Arial" w:hAnsi="Arial"/>
          <w:sz w:val="14"/>
          <w:szCs w:val="14"/>
          <w:color w:val="5B5B5B"/>
        </w:rPr>
        <w:t xml:space="preserve">essor </w:t>
      </w:r>
      <w:r>
        <w:rPr>
          <w:rFonts w:ascii="Arial" w:cs="Arial" w:eastAsia="Arial" w:hAnsi="Arial"/>
          <w:sz w:val="14"/>
          <w:szCs w:val="14"/>
          <w:color w:val="4B4B4B"/>
        </w:rPr>
        <w:t>a</w:t>
      </w:r>
      <w:r>
        <w:rPr>
          <w:rFonts w:ascii="Arial" w:cs="Arial" w:eastAsia="Arial" w:hAnsi="Arial"/>
          <w:sz w:val="14"/>
          <w:szCs w:val="14"/>
          <w:color w:val="5B5B5B"/>
        </w:rPr>
        <w:t>nd permi</w:t>
      </w:r>
      <w:r>
        <w:rPr>
          <w:rFonts w:ascii="Arial" w:cs="Arial" w:eastAsia="Arial" w:hAnsi="Arial"/>
          <w:sz w:val="14"/>
          <w:szCs w:val="14"/>
          <w:color w:val="4B4B4B"/>
        </w:rPr>
        <w:t>tted</w:t>
      </w:r>
      <w:r>
        <w:rPr>
          <w:rFonts w:ascii="Arial" w:cs="Arial" w:eastAsia="Arial" w:hAnsi="Arial"/>
          <w:sz w:val="14"/>
          <w:szCs w:val="14"/>
          <w:color w:val="5B5B5B"/>
        </w:rPr>
        <w:t xml:space="preserve"> with the loca</w:t>
      </w:r>
      <w:r>
        <w:rPr>
          <w:rFonts w:ascii="Arial" w:cs="Arial" w:eastAsia="Arial" w:hAnsi="Arial"/>
          <w:sz w:val="14"/>
          <w:szCs w:val="14"/>
          <w:color w:val="4B4B4B"/>
        </w:rPr>
        <w:t>l</w:t>
      </w:r>
      <w:r>
        <w:rPr>
          <w:rFonts w:ascii="Arial" w:cs="Arial" w:eastAsia="Arial" w:hAnsi="Arial"/>
          <w:sz w:val="14"/>
          <w:szCs w:val="14"/>
          <w:color w:val="5B5B5B"/>
        </w:rPr>
        <w:t xml:space="preserve"> governi</w:t>
      </w:r>
      <w:r>
        <w:rPr>
          <w:rFonts w:ascii="Arial" w:cs="Arial" w:eastAsia="Arial" w:hAnsi="Arial"/>
          <w:sz w:val="14"/>
          <w:szCs w:val="14"/>
          <w:color w:val="4B4B4B"/>
        </w:rPr>
        <w:t>n</w:t>
      </w:r>
      <w:r>
        <w:rPr>
          <w:rFonts w:ascii="Arial" w:cs="Arial" w:eastAsia="Arial" w:hAnsi="Arial"/>
          <w:sz w:val="14"/>
          <w:szCs w:val="14"/>
          <w:color w:val="5B5B5B"/>
        </w:rPr>
        <w:t>g au</w:t>
      </w:r>
      <w:r>
        <w:rPr>
          <w:rFonts w:ascii="Arial" w:cs="Arial" w:eastAsia="Arial" w:hAnsi="Arial"/>
          <w:sz w:val="14"/>
          <w:szCs w:val="14"/>
          <w:color w:val="4B4B4B"/>
        </w:rPr>
        <w:t>t</w:t>
      </w:r>
      <w:r>
        <w:rPr>
          <w:rFonts w:ascii="Arial" w:cs="Arial" w:eastAsia="Arial" w:hAnsi="Arial"/>
          <w:sz w:val="14"/>
          <w:szCs w:val="14"/>
          <w:color w:val="5B5B5B"/>
        </w:rPr>
        <w:t>hor</w:t>
      </w:r>
      <w:r>
        <w:rPr>
          <w:rFonts w:ascii="Arial" w:cs="Arial" w:eastAsia="Arial" w:hAnsi="Arial"/>
          <w:sz w:val="14"/>
          <w:szCs w:val="14"/>
          <w:color w:val="4B4B4B"/>
        </w:rPr>
        <w:t>i</w:t>
      </w:r>
      <w:r>
        <w:rPr>
          <w:rFonts w:ascii="Arial" w:cs="Arial" w:eastAsia="Arial" w:hAnsi="Arial"/>
          <w:sz w:val="14"/>
          <w:szCs w:val="14"/>
          <w:color w:val="5B5B5B"/>
        </w:rPr>
        <w:t xml:space="preserve">ty </w:t>
      </w:r>
      <w:r>
        <w:rPr>
          <w:rFonts w:ascii="Arial" w:cs="Arial" w:eastAsia="Arial" w:hAnsi="Arial"/>
          <w:sz w:val="14"/>
          <w:szCs w:val="14"/>
          <w:color w:val="4B4B4B"/>
        </w:rPr>
        <w:t>pr</w:t>
      </w:r>
      <w:r>
        <w:rPr>
          <w:rFonts w:ascii="Arial" w:cs="Arial" w:eastAsia="Arial" w:hAnsi="Arial"/>
          <w:sz w:val="14"/>
          <w:szCs w:val="14"/>
          <w:color w:val="5B5B5B"/>
        </w:rPr>
        <w:t>ior to co</w:t>
      </w:r>
      <w:r>
        <w:rPr>
          <w:rFonts w:ascii="Arial" w:cs="Arial" w:eastAsia="Arial" w:hAnsi="Arial"/>
          <w:sz w:val="14"/>
          <w:szCs w:val="14"/>
          <w:color w:val="4B4B4B"/>
        </w:rPr>
        <w:t>nst</w:t>
      </w:r>
      <w:r>
        <w:rPr>
          <w:rFonts w:ascii="Arial" w:cs="Arial" w:eastAsia="Arial" w:hAnsi="Arial"/>
          <w:sz w:val="14"/>
          <w:szCs w:val="14"/>
          <w:color w:val="5B5B5B"/>
        </w:rPr>
        <w:t>r</w:t>
      </w:r>
      <w:r>
        <w:rPr>
          <w:rFonts w:ascii="Arial" w:cs="Arial" w:eastAsia="Arial" w:hAnsi="Arial"/>
          <w:sz w:val="14"/>
          <w:szCs w:val="14"/>
          <w:color w:val="4B4B4B"/>
        </w:rPr>
        <w:t>u</w:t>
      </w:r>
      <w:r>
        <w:rPr>
          <w:rFonts w:ascii="Arial" w:cs="Arial" w:eastAsia="Arial" w:hAnsi="Arial"/>
          <w:sz w:val="14"/>
          <w:szCs w:val="14"/>
          <w:color w:val="5B5B5B"/>
        </w:rPr>
        <w:t>c</w:t>
      </w:r>
      <w:r>
        <w:rPr>
          <w:rFonts w:ascii="Arial" w:cs="Arial" w:eastAsia="Arial" w:hAnsi="Arial"/>
          <w:sz w:val="14"/>
          <w:szCs w:val="14"/>
          <w:color w:val="4B4B4B"/>
        </w:rPr>
        <w:t>t</w:t>
      </w:r>
      <w:r>
        <w:rPr>
          <w:rFonts w:ascii="Arial" w:cs="Arial" w:eastAsia="Arial" w:hAnsi="Arial"/>
          <w:sz w:val="14"/>
          <w:szCs w:val="14"/>
          <w:color w:val="5B5B5B"/>
        </w:rPr>
        <w:t>io</w:t>
      </w:r>
      <w:r>
        <w:rPr>
          <w:rFonts w:ascii="Arial" w:cs="Arial" w:eastAsia="Arial" w:hAnsi="Arial"/>
          <w:sz w:val="14"/>
          <w:szCs w:val="14"/>
          <w:color w:val="4B4B4B"/>
        </w:rPr>
        <w:t>n</w:t>
      </w:r>
      <w:r>
        <w:rPr>
          <w:rFonts w:ascii="Arial" w:cs="Arial" w:eastAsia="Arial" w:hAnsi="Arial"/>
          <w:sz w:val="14"/>
          <w:szCs w:val="14"/>
          <w:color w:val="878787"/>
        </w:rPr>
        <w:t>.</w:t>
      </w:r>
      <w:r>
        <w:rPr>
          <w:rFonts w:ascii="Arial" w:cs="Arial" w:eastAsia="Arial" w:hAnsi="Arial"/>
          <w:sz w:val="14"/>
          <w:szCs w:val="14"/>
          <w:color w:val="5B5B5B"/>
        </w:rPr>
        <w:t xml:space="preserve"> </w:t>
      </w:r>
      <w:r>
        <w:rPr>
          <w:rFonts w:ascii="Arial" w:cs="Arial" w:eastAsia="Arial" w:hAnsi="Arial"/>
          <w:sz w:val="14"/>
          <w:szCs w:val="14"/>
          <w:color w:val="4B4B4B"/>
        </w:rPr>
        <w:t>A</w:t>
      </w:r>
      <w:r>
        <w:rPr>
          <w:rFonts w:ascii="Arial" w:cs="Arial" w:eastAsia="Arial" w:hAnsi="Arial"/>
          <w:sz w:val="14"/>
          <w:szCs w:val="14"/>
          <w:color w:val="5B5B5B"/>
        </w:rPr>
        <w:t>n</w:t>
      </w:r>
      <w:r>
        <w:rPr>
          <w:rFonts w:ascii="Arial" w:cs="Arial" w:eastAsia="Arial" w:hAnsi="Arial"/>
          <w:sz w:val="14"/>
          <w:szCs w:val="14"/>
          <w:color w:val="4B4B4B"/>
        </w:rPr>
        <w:t>y unu</w:t>
      </w:r>
      <w:r>
        <w:rPr>
          <w:rFonts w:ascii="Arial" w:cs="Arial" w:eastAsia="Arial" w:hAnsi="Arial"/>
          <w:sz w:val="14"/>
          <w:szCs w:val="14"/>
          <w:color w:val="5B5B5B"/>
        </w:rPr>
        <w:t>se</w:t>
      </w:r>
      <w:r>
        <w:rPr>
          <w:rFonts w:ascii="Arial" w:cs="Arial" w:eastAsia="Arial" w:hAnsi="Arial"/>
          <w:sz w:val="14"/>
          <w:szCs w:val="14"/>
          <w:color w:val="4B4B4B"/>
        </w:rPr>
        <w:t>d p</w:t>
      </w:r>
      <w:r>
        <w:rPr>
          <w:rFonts w:ascii="Arial" w:cs="Arial" w:eastAsia="Arial" w:hAnsi="Arial"/>
          <w:sz w:val="14"/>
          <w:szCs w:val="14"/>
          <w:color w:val="5B5B5B"/>
        </w:rPr>
        <w:t>ortio</w:t>
      </w:r>
      <w:r>
        <w:rPr>
          <w:rFonts w:ascii="Arial" w:cs="Arial" w:eastAsia="Arial" w:hAnsi="Arial"/>
          <w:sz w:val="14"/>
          <w:szCs w:val="14"/>
          <w:color w:val="4B4B4B"/>
        </w:rPr>
        <w:t>n</w:t>
      </w:r>
      <w:r>
        <w:rPr>
          <w:rFonts w:ascii="Arial" w:cs="Arial" w:eastAsia="Arial" w:hAnsi="Arial"/>
          <w:sz w:val="14"/>
          <w:szCs w:val="14"/>
          <w:color w:val="5B5B5B"/>
        </w:rPr>
        <w:t xml:space="preserve"> o</w:t>
      </w:r>
      <w:r>
        <w:rPr>
          <w:rFonts w:ascii="Arial" w:cs="Arial" w:eastAsia="Arial" w:hAnsi="Arial"/>
          <w:sz w:val="14"/>
          <w:szCs w:val="14"/>
          <w:color w:val="4B4B4B"/>
        </w:rPr>
        <w:t>f th</w:t>
      </w:r>
      <w:r>
        <w:rPr>
          <w:rFonts w:ascii="Arial" w:cs="Arial" w:eastAsia="Arial" w:hAnsi="Arial"/>
          <w:sz w:val="14"/>
          <w:szCs w:val="14"/>
          <w:color w:val="5B5B5B"/>
        </w:rPr>
        <w:t xml:space="preserve">e </w:t>
      </w:r>
      <w:r>
        <w:rPr>
          <w:rFonts w:ascii="Arial" w:cs="Arial" w:eastAsia="Arial" w:hAnsi="Arial"/>
          <w:sz w:val="14"/>
          <w:szCs w:val="14"/>
          <w:color w:val="4B4B4B"/>
        </w:rPr>
        <w:t>Allowan</w:t>
      </w:r>
      <w:r>
        <w:rPr>
          <w:rFonts w:ascii="Arial" w:cs="Arial" w:eastAsia="Arial" w:hAnsi="Arial"/>
          <w:sz w:val="14"/>
          <w:szCs w:val="14"/>
          <w:color w:val="5B5B5B"/>
        </w:rPr>
        <w:t>c</w:t>
      </w:r>
      <w:r>
        <w:rPr>
          <w:rFonts w:ascii="Arial" w:cs="Arial" w:eastAsia="Arial" w:hAnsi="Arial"/>
          <w:sz w:val="14"/>
          <w:szCs w:val="14"/>
          <w:color w:val="4B4B4B"/>
        </w:rPr>
        <w:t>es</w:t>
      </w:r>
      <w:r>
        <w:rPr>
          <w:rFonts w:ascii="Arial" w:cs="Arial" w:eastAsia="Arial" w:hAnsi="Arial"/>
          <w:sz w:val="14"/>
          <w:szCs w:val="14"/>
          <w:color w:val="5B5B5B"/>
        </w:rPr>
        <w:t xml:space="preserve"> as o</w:t>
      </w:r>
      <w:r>
        <w:rPr>
          <w:rFonts w:ascii="Arial" w:cs="Arial" w:eastAsia="Arial" w:hAnsi="Arial"/>
          <w:sz w:val="14"/>
          <w:szCs w:val="14"/>
          <w:color w:val="4B4B4B"/>
        </w:rPr>
        <w:t>f</w:t>
      </w:r>
      <w:r>
        <w:rPr>
          <w:rFonts w:ascii="Arial" w:cs="Arial" w:eastAsia="Arial" w:hAnsi="Arial"/>
          <w:sz w:val="14"/>
          <w:szCs w:val="14"/>
          <w:color w:val="5B5B5B"/>
        </w:rPr>
        <w:t xml:space="preserve"> J</w:t>
      </w:r>
      <w:r>
        <w:rPr>
          <w:rFonts w:ascii="Arial" w:cs="Arial" w:eastAsia="Arial" w:hAnsi="Arial"/>
          <w:sz w:val="14"/>
          <w:szCs w:val="14"/>
          <w:color w:val="4B4B4B"/>
        </w:rPr>
        <w:t>an</w:t>
      </w:r>
      <w:r>
        <w:rPr>
          <w:rFonts w:ascii="Arial" w:cs="Arial" w:eastAsia="Arial" w:hAnsi="Arial"/>
          <w:sz w:val="14"/>
          <w:szCs w:val="14"/>
          <w:color w:val="5B5B5B"/>
        </w:rPr>
        <w:t>uary 31</w:t>
      </w:r>
      <w:r>
        <w:rPr>
          <w:rFonts w:ascii="Arial" w:cs="Arial" w:eastAsia="Arial" w:hAnsi="Arial"/>
          <w:sz w:val="14"/>
          <w:szCs w:val="14"/>
          <w:color w:val="878787"/>
        </w:rPr>
        <w:t>,</w:t>
      </w:r>
      <w:r>
        <w:rPr>
          <w:rFonts w:ascii="Arial" w:cs="Arial" w:eastAsia="Arial" w:hAnsi="Arial"/>
          <w:sz w:val="14"/>
          <w:szCs w:val="14"/>
          <w:color w:val="5B5B5B"/>
        </w:rPr>
        <w:t xml:space="preserve"> 202</w:t>
      </w:r>
      <w:r>
        <w:rPr>
          <w:rFonts w:ascii="Arial" w:cs="Arial" w:eastAsia="Arial" w:hAnsi="Arial"/>
          <w:sz w:val="14"/>
          <w:szCs w:val="14"/>
          <w:color w:val="4B4B4B"/>
        </w:rPr>
        <w:t>1 will n</w:t>
      </w:r>
      <w:r>
        <w:rPr>
          <w:rFonts w:ascii="Arial" w:cs="Arial" w:eastAsia="Arial" w:hAnsi="Arial"/>
          <w:sz w:val="14"/>
          <w:szCs w:val="14"/>
          <w:color w:val="5B5B5B"/>
        </w:rPr>
        <w:t xml:space="preserve">ot </w:t>
      </w:r>
      <w:r>
        <w:rPr>
          <w:rFonts w:ascii="Arial" w:cs="Arial" w:eastAsia="Arial" w:hAnsi="Arial"/>
          <w:sz w:val="14"/>
          <w:szCs w:val="14"/>
          <w:color w:val="4B4B4B"/>
        </w:rPr>
        <w:t>b</w:t>
      </w:r>
      <w:r>
        <w:rPr>
          <w:rFonts w:ascii="Arial" w:cs="Arial" w:eastAsia="Arial" w:hAnsi="Arial"/>
          <w:sz w:val="14"/>
          <w:szCs w:val="14"/>
          <w:color w:val="5B5B5B"/>
        </w:rPr>
        <w:t>e r</w:t>
      </w:r>
      <w:r>
        <w:rPr>
          <w:rFonts w:ascii="Arial" w:cs="Arial" w:eastAsia="Arial" w:hAnsi="Arial"/>
          <w:sz w:val="14"/>
          <w:szCs w:val="14"/>
          <w:color w:val="4B4B4B"/>
        </w:rPr>
        <w:t>e</w:t>
      </w:r>
      <w:r>
        <w:rPr>
          <w:rFonts w:ascii="Arial" w:cs="Arial" w:eastAsia="Arial" w:hAnsi="Arial"/>
          <w:sz w:val="14"/>
          <w:szCs w:val="14"/>
          <w:color w:val="5B5B5B"/>
        </w:rPr>
        <w:t>f</w:t>
      </w:r>
      <w:r>
        <w:rPr>
          <w:rFonts w:ascii="Arial" w:cs="Arial" w:eastAsia="Arial" w:hAnsi="Arial"/>
          <w:sz w:val="14"/>
          <w:szCs w:val="14"/>
          <w:color w:val="4B4B4B"/>
        </w:rPr>
        <w:t>und</w:t>
      </w:r>
      <w:r>
        <w:rPr>
          <w:rFonts w:ascii="Arial" w:cs="Arial" w:eastAsia="Arial" w:hAnsi="Arial"/>
          <w:sz w:val="14"/>
          <w:szCs w:val="14"/>
          <w:color w:val="5B5B5B"/>
        </w:rPr>
        <w:t>e</w:t>
      </w:r>
      <w:r>
        <w:rPr>
          <w:rFonts w:ascii="Arial" w:cs="Arial" w:eastAsia="Arial" w:hAnsi="Arial"/>
          <w:sz w:val="14"/>
          <w:szCs w:val="14"/>
          <w:color w:val="4B4B4B"/>
        </w:rPr>
        <w:t>d to L</w:t>
      </w:r>
      <w:r>
        <w:rPr>
          <w:rFonts w:ascii="Arial" w:cs="Arial" w:eastAsia="Arial" w:hAnsi="Arial"/>
          <w:sz w:val="14"/>
          <w:szCs w:val="14"/>
          <w:color w:val="5B5B5B"/>
        </w:rPr>
        <w:t xml:space="preserve">essee </w:t>
      </w:r>
      <w:r>
        <w:rPr>
          <w:rFonts w:ascii="Arial" w:cs="Arial" w:eastAsia="Arial" w:hAnsi="Arial"/>
          <w:sz w:val="14"/>
          <w:szCs w:val="14"/>
          <w:color w:val="4B4B4B"/>
        </w:rPr>
        <w:t>o</w:t>
      </w:r>
      <w:r>
        <w:rPr>
          <w:rFonts w:ascii="Arial" w:cs="Arial" w:eastAsia="Arial" w:hAnsi="Arial"/>
          <w:sz w:val="14"/>
          <w:szCs w:val="14"/>
          <w:color w:val="5B5B5B"/>
        </w:rPr>
        <w:t xml:space="preserve">r </w:t>
      </w:r>
      <w:r>
        <w:rPr>
          <w:rFonts w:ascii="Arial" w:cs="Arial" w:eastAsia="Arial" w:hAnsi="Arial"/>
          <w:sz w:val="14"/>
          <w:szCs w:val="14"/>
          <w:color w:val="4B4B4B"/>
        </w:rPr>
        <w:t>b</w:t>
      </w:r>
      <w:r>
        <w:rPr>
          <w:rFonts w:ascii="Arial" w:cs="Arial" w:eastAsia="Arial" w:hAnsi="Arial"/>
          <w:sz w:val="14"/>
          <w:szCs w:val="14"/>
          <w:color w:val="5B5B5B"/>
        </w:rPr>
        <w:t>e a</w:t>
      </w:r>
      <w:r>
        <w:rPr>
          <w:rFonts w:ascii="Arial" w:cs="Arial" w:eastAsia="Arial" w:hAnsi="Arial"/>
          <w:sz w:val="14"/>
          <w:szCs w:val="14"/>
          <w:color w:val="4B4B4B"/>
        </w:rPr>
        <w:t>v</w:t>
      </w:r>
      <w:r>
        <w:rPr>
          <w:rFonts w:ascii="Arial" w:cs="Arial" w:eastAsia="Arial" w:hAnsi="Arial"/>
          <w:sz w:val="14"/>
          <w:szCs w:val="14"/>
          <w:color w:val="5B5B5B"/>
        </w:rPr>
        <w:t>a</w:t>
      </w:r>
      <w:r>
        <w:rPr>
          <w:rFonts w:ascii="Arial" w:cs="Arial" w:eastAsia="Arial" w:hAnsi="Arial"/>
          <w:sz w:val="14"/>
          <w:szCs w:val="14"/>
          <w:color w:val="4B4B4B"/>
        </w:rPr>
        <w:t>i</w:t>
      </w:r>
      <w:r>
        <w:rPr>
          <w:rFonts w:ascii="Arial" w:cs="Arial" w:eastAsia="Arial" w:hAnsi="Arial"/>
          <w:sz w:val="14"/>
          <w:szCs w:val="14"/>
          <w:color w:val="2F2F2F"/>
        </w:rPr>
        <w:t>l</w:t>
      </w:r>
      <w:r>
        <w:rPr>
          <w:rFonts w:ascii="Arial" w:cs="Arial" w:eastAsia="Arial" w:hAnsi="Arial"/>
          <w:sz w:val="14"/>
          <w:szCs w:val="14"/>
          <w:color w:val="4B4B4B"/>
        </w:rPr>
        <w:t>ab</w:t>
      </w:r>
      <w:r>
        <w:rPr>
          <w:rFonts w:ascii="Arial" w:cs="Arial" w:eastAsia="Arial" w:hAnsi="Arial"/>
          <w:sz w:val="14"/>
          <w:szCs w:val="14"/>
          <w:color w:val="2F2F2F"/>
        </w:rPr>
        <w:t>l</w:t>
      </w:r>
      <w:r>
        <w:rPr>
          <w:rFonts w:ascii="Arial" w:cs="Arial" w:eastAsia="Arial" w:hAnsi="Arial"/>
          <w:sz w:val="14"/>
          <w:szCs w:val="14"/>
          <w:color w:val="5B5B5B"/>
        </w:rPr>
        <w:t xml:space="preserve">e </w:t>
      </w:r>
      <w:r>
        <w:rPr>
          <w:rFonts w:ascii="Arial" w:cs="Arial" w:eastAsia="Arial" w:hAnsi="Arial"/>
          <w:sz w:val="14"/>
          <w:szCs w:val="14"/>
          <w:color w:val="4B4B4B"/>
        </w:rPr>
        <w:t>to</w:t>
      </w:r>
      <w:r>
        <w:rPr>
          <w:rFonts w:ascii="Arial" w:cs="Arial" w:eastAsia="Arial" w:hAnsi="Arial"/>
          <w:sz w:val="14"/>
          <w:szCs w:val="14"/>
          <w:color w:val="5B5B5B"/>
        </w:rPr>
        <w:t xml:space="preserve"> Le</w:t>
      </w:r>
      <w:r>
        <w:rPr>
          <w:rFonts w:ascii="Arial" w:cs="Arial" w:eastAsia="Arial" w:hAnsi="Arial"/>
          <w:sz w:val="14"/>
          <w:szCs w:val="14"/>
          <w:color w:val="4B4B4B"/>
        </w:rPr>
        <w:t>s</w:t>
      </w:r>
      <w:r>
        <w:rPr>
          <w:rFonts w:ascii="Arial" w:cs="Arial" w:eastAsia="Arial" w:hAnsi="Arial"/>
          <w:sz w:val="14"/>
          <w:szCs w:val="14"/>
          <w:color w:val="5B5B5B"/>
        </w:rPr>
        <w:t>see as a c</w:t>
      </w:r>
      <w:r>
        <w:rPr>
          <w:rFonts w:ascii="Arial" w:cs="Arial" w:eastAsia="Arial" w:hAnsi="Arial"/>
          <w:sz w:val="14"/>
          <w:szCs w:val="14"/>
          <w:color w:val="4B4B4B"/>
        </w:rPr>
        <w:t>r</w:t>
      </w:r>
      <w:r>
        <w:rPr>
          <w:rFonts w:ascii="Arial" w:cs="Arial" w:eastAsia="Arial" w:hAnsi="Arial"/>
          <w:sz w:val="14"/>
          <w:szCs w:val="14"/>
          <w:color w:val="5B5B5B"/>
        </w:rPr>
        <w:t>e</w:t>
      </w:r>
      <w:r>
        <w:rPr>
          <w:rFonts w:ascii="Arial" w:cs="Arial" w:eastAsia="Arial" w:hAnsi="Arial"/>
          <w:sz w:val="14"/>
          <w:szCs w:val="14"/>
          <w:color w:val="4B4B4B"/>
        </w:rPr>
        <w:t>dit aga</w:t>
      </w:r>
      <w:r>
        <w:rPr>
          <w:rFonts w:ascii="Arial" w:cs="Arial" w:eastAsia="Arial" w:hAnsi="Arial"/>
          <w:sz w:val="14"/>
          <w:szCs w:val="14"/>
          <w:color w:val="5B5B5B"/>
        </w:rPr>
        <w:t>i</w:t>
      </w:r>
      <w:r>
        <w:rPr>
          <w:rFonts w:ascii="Arial" w:cs="Arial" w:eastAsia="Arial" w:hAnsi="Arial"/>
          <w:sz w:val="14"/>
          <w:szCs w:val="14"/>
          <w:color w:val="4B4B4B"/>
        </w:rPr>
        <w:t>n</w:t>
      </w:r>
      <w:r>
        <w:rPr>
          <w:rFonts w:ascii="Arial" w:cs="Arial" w:eastAsia="Arial" w:hAnsi="Arial"/>
          <w:sz w:val="14"/>
          <w:szCs w:val="14"/>
          <w:color w:val="5B5B5B"/>
        </w:rPr>
        <w:t>s</w:t>
      </w:r>
      <w:r>
        <w:rPr>
          <w:rFonts w:ascii="Arial" w:cs="Arial" w:eastAsia="Arial" w:hAnsi="Arial"/>
          <w:sz w:val="14"/>
          <w:szCs w:val="14"/>
          <w:color w:val="4B4B4B"/>
        </w:rPr>
        <w:t>t</w:t>
      </w:r>
      <w:r>
        <w:rPr>
          <w:rFonts w:ascii="Arial" w:cs="Arial" w:eastAsia="Arial" w:hAnsi="Arial"/>
          <w:sz w:val="14"/>
          <w:szCs w:val="14"/>
          <w:color w:val="5B5B5B"/>
        </w:rPr>
        <w:t xml:space="preserve"> </w:t>
      </w:r>
      <w:r>
        <w:rPr>
          <w:rFonts w:ascii="Arial" w:cs="Arial" w:eastAsia="Arial" w:hAnsi="Arial"/>
          <w:sz w:val="14"/>
          <w:szCs w:val="14"/>
          <w:color w:val="4B4B4B"/>
        </w:rPr>
        <w:t>an</w:t>
      </w:r>
      <w:r>
        <w:rPr>
          <w:rFonts w:ascii="Arial" w:cs="Arial" w:eastAsia="Arial" w:hAnsi="Arial"/>
          <w:sz w:val="14"/>
          <w:szCs w:val="14"/>
          <w:color w:val="5B5B5B"/>
        </w:rPr>
        <w:t>y o</w:t>
      </w:r>
      <w:r>
        <w:rPr>
          <w:rFonts w:ascii="Arial" w:cs="Arial" w:eastAsia="Arial" w:hAnsi="Arial"/>
          <w:sz w:val="14"/>
          <w:szCs w:val="14"/>
          <w:color w:val="4B4B4B"/>
        </w:rPr>
        <w:t>bl</w:t>
      </w:r>
      <w:r>
        <w:rPr>
          <w:rFonts w:ascii="Arial" w:cs="Arial" w:eastAsia="Arial" w:hAnsi="Arial"/>
          <w:sz w:val="14"/>
          <w:szCs w:val="14"/>
          <w:color w:val="5B5B5B"/>
        </w:rPr>
        <w:t>i</w:t>
      </w:r>
      <w:r>
        <w:rPr>
          <w:rFonts w:ascii="Arial" w:cs="Arial" w:eastAsia="Arial" w:hAnsi="Arial"/>
          <w:sz w:val="14"/>
          <w:szCs w:val="14"/>
          <w:color w:val="4B4B4B"/>
        </w:rPr>
        <w:t>ga</w:t>
      </w:r>
      <w:r>
        <w:rPr>
          <w:rFonts w:ascii="Arial" w:cs="Arial" w:eastAsia="Arial" w:hAnsi="Arial"/>
          <w:sz w:val="14"/>
          <w:szCs w:val="14"/>
          <w:color w:val="5B5B5B"/>
        </w:rPr>
        <w:t>t</w:t>
      </w:r>
      <w:r>
        <w:rPr>
          <w:rFonts w:ascii="Arial" w:cs="Arial" w:eastAsia="Arial" w:hAnsi="Arial"/>
          <w:sz w:val="14"/>
          <w:szCs w:val="14"/>
          <w:color w:val="4B4B4B"/>
        </w:rPr>
        <w:t>i</w:t>
      </w:r>
      <w:r>
        <w:rPr>
          <w:rFonts w:ascii="Arial" w:cs="Arial" w:eastAsia="Arial" w:hAnsi="Arial"/>
          <w:sz w:val="14"/>
          <w:szCs w:val="14"/>
          <w:color w:val="5B5B5B"/>
        </w:rPr>
        <w:t>o</w:t>
      </w:r>
      <w:r>
        <w:rPr>
          <w:rFonts w:ascii="Arial" w:cs="Arial" w:eastAsia="Arial" w:hAnsi="Arial"/>
          <w:sz w:val="14"/>
          <w:szCs w:val="14"/>
          <w:color w:val="4B4B4B"/>
        </w:rPr>
        <w:t>n</w:t>
      </w:r>
      <w:r>
        <w:rPr>
          <w:rFonts w:ascii="Arial" w:cs="Arial" w:eastAsia="Arial" w:hAnsi="Arial"/>
          <w:sz w:val="14"/>
          <w:szCs w:val="14"/>
          <w:color w:val="5B5B5B"/>
        </w:rPr>
        <w:t>s of</w:t>
      </w:r>
      <w:r>
        <w:rPr>
          <w:rFonts w:ascii="Arial" w:cs="Arial" w:eastAsia="Arial" w:hAnsi="Arial"/>
          <w:sz w:val="14"/>
          <w:szCs w:val="14"/>
          <w:color w:val="4B4B4B"/>
        </w:rPr>
        <w:t xml:space="preserve"> L</w:t>
      </w:r>
      <w:r>
        <w:rPr>
          <w:rFonts w:ascii="Arial" w:cs="Arial" w:eastAsia="Arial" w:hAnsi="Arial"/>
          <w:sz w:val="14"/>
          <w:szCs w:val="14"/>
          <w:color w:val="5B5B5B"/>
        </w:rPr>
        <w:t>e</w:t>
      </w:r>
      <w:r>
        <w:rPr>
          <w:rFonts w:ascii="Arial" w:cs="Arial" w:eastAsia="Arial" w:hAnsi="Arial"/>
          <w:sz w:val="14"/>
          <w:szCs w:val="14"/>
          <w:color w:val="4B4B4B"/>
        </w:rPr>
        <w:t>ss</w:t>
      </w:r>
      <w:r>
        <w:rPr>
          <w:rFonts w:ascii="Arial" w:cs="Arial" w:eastAsia="Arial" w:hAnsi="Arial"/>
          <w:sz w:val="14"/>
          <w:szCs w:val="14"/>
          <w:color w:val="5B5B5B"/>
        </w:rPr>
        <w:t>ee un</w:t>
      </w:r>
      <w:r>
        <w:rPr>
          <w:rFonts w:ascii="Arial" w:cs="Arial" w:eastAsia="Arial" w:hAnsi="Arial"/>
          <w:sz w:val="14"/>
          <w:szCs w:val="14"/>
          <w:color w:val="4B4B4B"/>
        </w:rPr>
        <w:t>d</w:t>
      </w:r>
      <w:r>
        <w:rPr>
          <w:rFonts w:ascii="Arial" w:cs="Arial" w:eastAsia="Arial" w:hAnsi="Arial"/>
          <w:sz w:val="14"/>
          <w:szCs w:val="14"/>
          <w:color w:val="5B5B5B"/>
        </w:rPr>
        <w:t>er</w:t>
      </w:r>
      <w:r>
        <w:rPr>
          <w:rFonts w:ascii="Arial" w:cs="Arial" w:eastAsia="Arial" w:hAnsi="Arial"/>
          <w:sz w:val="14"/>
          <w:szCs w:val="14"/>
          <w:color w:val="4B4B4B"/>
        </w:rPr>
        <w:t xml:space="preserve"> th</w:t>
      </w:r>
      <w:r>
        <w:rPr>
          <w:rFonts w:ascii="Arial" w:cs="Arial" w:eastAsia="Arial" w:hAnsi="Arial"/>
          <w:sz w:val="14"/>
          <w:szCs w:val="14"/>
          <w:color w:val="5B5B5B"/>
        </w:rPr>
        <w:t>e Lease</w:t>
      </w:r>
      <w:r>
        <w:rPr>
          <w:rFonts w:ascii="Arial" w:cs="Arial" w:eastAsia="Arial" w:hAnsi="Arial"/>
          <w:sz w:val="14"/>
          <w:szCs w:val="14"/>
          <w:color w:val="757575"/>
        </w:rPr>
        <w:t>.</w:t>
      </w:r>
      <w:r>
        <w:rPr>
          <w:rFonts w:ascii="Arial" w:cs="Arial" w:eastAsia="Arial" w:hAnsi="Arial"/>
          <w:sz w:val="14"/>
          <w:szCs w:val="14"/>
          <w:color w:val="4B4B4B"/>
        </w:rPr>
        <w:t xml:space="preserve"> L</w:t>
      </w:r>
      <w:r>
        <w:rPr>
          <w:rFonts w:ascii="Arial" w:cs="Arial" w:eastAsia="Arial" w:hAnsi="Arial"/>
          <w:sz w:val="14"/>
          <w:szCs w:val="14"/>
          <w:color w:val="5B5B5B"/>
        </w:rPr>
        <w:t>essor s</w:t>
      </w:r>
      <w:r>
        <w:rPr>
          <w:rFonts w:ascii="Arial" w:cs="Arial" w:eastAsia="Arial" w:hAnsi="Arial"/>
          <w:sz w:val="14"/>
          <w:szCs w:val="14"/>
          <w:color w:val="4B4B4B"/>
        </w:rPr>
        <w:t>h</w:t>
      </w:r>
      <w:r>
        <w:rPr>
          <w:rFonts w:ascii="Arial" w:cs="Arial" w:eastAsia="Arial" w:hAnsi="Arial"/>
          <w:sz w:val="14"/>
          <w:szCs w:val="14"/>
          <w:color w:val="5B5B5B"/>
        </w:rPr>
        <w:t>a</w:t>
      </w:r>
      <w:r>
        <w:rPr>
          <w:rFonts w:ascii="Arial" w:cs="Arial" w:eastAsia="Arial" w:hAnsi="Arial"/>
          <w:sz w:val="14"/>
          <w:szCs w:val="14"/>
          <w:color w:val="4B4B4B"/>
        </w:rPr>
        <w:t>ll r</w:t>
      </w:r>
      <w:r>
        <w:rPr>
          <w:rFonts w:ascii="Arial" w:cs="Arial" w:eastAsia="Arial" w:hAnsi="Arial"/>
          <w:sz w:val="14"/>
          <w:szCs w:val="14"/>
          <w:color w:val="5B5B5B"/>
        </w:rPr>
        <w:t>e</w:t>
      </w:r>
      <w:r>
        <w:rPr>
          <w:rFonts w:ascii="Arial" w:cs="Arial" w:eastAsia="Arial" w:hAnsi="Arial"/>
          <w:sz w:val="14"/>
          <w:szCs w:val="14"/>
          <w:color w:val="757575"/>
        </w:rPr>
        <w:t>i</w:t>
      </w:r>
      <w:r>
        <w:rPr>
          <w:rFonts w:ascii="Arial" w:cs="Arial" w:eastAsia="Arial" w:hAnsi="Arial"/>
          <w:sz w:val="14"/>
          <w:szCs w:val="14"/>
          <w:color w:val="5B5B5B"/>
        </w:rPr>
        <w:t>mb</w:t>
      </w:r>
      <w:r>
        <w:rPr>
          <w:rFonts w:ascii="Arial" w:cs="Arial" w:eastAsia="Arial" w:hAnsi="Arial"/>
          <w:sz w:val="14"/>
          <w:szCs w:val="14"/>
          <w:color w:val="4B4B4B"/>
        </w:rPr>
        <w:t>ur</w:t>
      </w:r>
      <w:r>
        <w:rPr>
          <w:rFonts w:ascii="Arial" w:cs="Arial" w:eastAsia="Arial" w:hAnsi="Arial"/>
          <w:sz w:val="14"/>
          <w:szCs w:val="14"/>
          <w:color w:val="5B5B5B"/>
        </w:rPr>
        <w:t>se</w:t>
      </w:r>
      <w:r>
        <w:rPr>
          <w:rFonts w:ascii="Arial" w:cs="Arial" w:eastAsia="Arial" w:hAnsi="Arial"/>
          <w:sz w:val="14"/>
          <w:szCs w:val="14"/>
          <w:color w:val="4B4B4B"/>
        </w:rPr>
        <w:t xml:space="preserve"> L</w:t>
      </w:r>
      <w:r>
        <w:rPr>
          <w:rFonts w:ascii="Arial" w:cs="Arial" w:eastAsia="Arial" w:hAnsi="Arial"/>
          <w:sz w:val="14"/>
          <w:szCs w:val="14"/>
          <w:color w:val="5B5B5B"/>
        </w:rPr>
        <w:t>e</w:t>
      </w:r>
      <w:r>
        <w:rPr>
          <w:rFonts w:ascii="Arial" w:cs="Arial" w:eastAsia="Arial" w:hAnsi="Arial"/>
          <w:sz w:val="14"/>
          <w:szCs w:val="14"/>
          <w:color w:val="4B4B4B"/>
        </w:rPr>
        <w:t>ss</w:t>
      </w:r>
      <w:r>
        <w:rPr>
          <w:rFonts w:ascii="Arial" w:cs="Arial" w:eastAsia="Arial" w:hAnsi="Arial"/>
          <w:sz w:val="14"/>
          <w:szCs w:val="14"/>
          <w:color w:val="5B5B5B"/>
        </w:rPr>
        <w:t>ee for ap</w:t>
      </w:r>
      <w:r>
        <w:rPr>
          <w:rFonts w:ascii="Arial" w:cs="Arial" w:eastAsia="Arial" w:hAnsi="Arial"/>
          <w:sz w:val="14"/>
          <w:szCs w:val="14"/>
          <w:color w:val="4B4B4B"/>
        </w:rPr>
        <w:t>p</w:t>
      </w:r>
      <w:r>
        <w:rPr>
          <w:rFonts w:ascii="Arial" w:cs="Arial" w:eastAsia="Arial" w:hAnsi="Arial"/>
          <w:sz w:val="14"/>
          <w:szCs w:val="14"/>
          <w:color w:val="5B5B5B"/>
        </w:rPr>
        <w:t>roved ex</w:t>
      </w:r>
      <w:r>
        <w:rPr>
          <w:rFonts w:ascii="Arial" w:cs="Arial" w:eastAsia="Arial" w:hAnsi="Arial"/>
          <w:sz w:val="14"/>
          <w:szCs w:val="14"/>
          <w:color w:val="4B4B4B"/>
        </w:rPr>
        <w:t>p</w:t>
      </w:r>
      <w:r>
        <w:rPr>
          <w:rFonts w:ascii="Arial" w:cs="Arial" w:eastAsia="Arial" w:hAnsi="Arial"/>
          <w:sz w:val="14"/>
          <w:szCs w:val="14"/>
          <w:color w:val="5B5B5B"/>
        </w:rPr>
        <w:t>enses upon rece</w:t>
      </w:r>
      <w:r>
        <w:rPr>
          <w:rFonts w:ascii="Arial" w:cs="Arial" w:eastAsia="Arial" w:hAnsi="Arial"/>
          <w:sz w:val="14"/>
          <w:szCs w:val="14"/>
          <w:color w:val="4B4B4B"/>
        </w:rPr>
        <w:t xml:space="preserve">ipt </w:t>
      </w:r>
      <w:r>
        <w:rPr>
          <w:rFonts w:ascii="Arial" w:cs="Arial" w:eastAsia="Arial" w:hAnsi="Arial"/>
          <w:sz w:val="14"/>
          <w:szCs w:val="14"/>
          <w:color w:val="5B5B5B"/>
        </w:rPr>
        <w:t>of co</w:t>
      </w:r>
      <w:r>
        <w:rPr>
          <w:rFonts w:ascii="Arial" w:cs="Arial" w:eastAsia="Arial" w:hAnsi="Arial"/>
          <w:sz w:val="14"/>
          <w:szCs w:val="14"/>
          <w:color w:val="4B4B4B"/>
        </w:rPr>
        <w:t>pi</w:t>
      </w:r>
      <w:r>
        <w:rPr>
          <w:rFonts w:ascii="Arial" w:cs="Arial" w:eastAsia="Arial" w:hAnsi="Arial"/>
          <w:sz w:val="14"/>
          <w:szCs w:val="14"/>
          <w:color w:val="5B5B5B"/>
        </w:rPr>
        <w:t>es of pai</w:t>
      </w:r>
      <w:r>
        <w:rPr>
          <w:rFonts w:ascii="Arial" w:cs="Arial" w:eastAsia="Arial" w:hAnsi="Arial"/>
          <w:sz w:val="14"/>
          <w:szCs w:val="14"/>
          <w:color w:val="4B4B4B"/>
        </w:rPr>
        <w:t xml:space="preserve">d </w:t>
      </w:r>
      <w:r>
        <w:rPr>
          <w:rFonts w:ascii="Arial" w:cs="Arial" w:eastAsia="Arial" w:hAnsi="Arial"/>
          <w:sz w:val="14"/>
          <w:szCs w:val="14"/>
          <w:color w:val="5B5B5B"/>
        </w:rPr>
        <w:t>in</w:t>
      </w:r>
      <w:r>
        <w:rPr>
          <w:rFonts w:ascii="Arial" w:cs="Arial" w:eastAsia="Arial" w:hAnsi="Arial"/>
          <w:sz w:val="14"/>
          <w:szCs w:val="14"/>
          <w:color w:val="4B4B4B"/>
        </w:rPr>
        <w:t>v</w:t>
      </w:r>
      <w:r>
        <w:rPr>
          <w:rFonts w:ascii="Arial" w:cs="Arial" w:eastAsia="Arial" w:hAnsi="Arial"/>
          <w:sz w:val="14"/>
          <w:szCs w:val="14"/>
          <w:color w:val="5B5B5B"/>
        </w:rPr>
        <w:t>o</w:t>
      </w:r>
      <w:r>
        <w:rPr>
          <w:rFonts w:ascii="Arial" w:cs="Arial" w:eastAsia="Arial" w:hAnsi="Arial"/>
          <w:sz w:val="14"/>
          <w:szCs w:val="14"/>
          <w:color w:val="757575"/>
        </w:rPr>
        <w:t>i</w:t>
      </w:r>
      <w:r>
        <w:rPr>
          <w:rFonts w:ascii="Arial" w:cs="Arial" w:eastAsia="Arial" w:hAnsi="Arial"/>
          <w:sz w:val="14"/>
          <w:szCs w:val="14"/>
          <w:color w:val="5B5B5B"/>
        </w:rPr>
        <w:t>ces</w:t>
      </w:r>
      <w:r>
        <w:rPr>
          <w:rFonts w:ascii="Arial" w:cs="Arial" w:eastAsia="Arial" w:hAnsi="Arial"/>
          <w:sz w:val="14"/>
          <w:szCs w:val="14"/>
          <w:color w:val="4B4B4B"/>
        </w:rPr>
        <w:t xml:space="preserve"> a</w:t>
      </w:r>
      <w:r>
        <w:rPr>
          <w:rFonts w:ascii="Arial" w:cs="Arial" w:eastAsia="Arial" w:hAnsi="Arial"/>
          <w:sz w:val="14"/>
          <w:szCs w:val="14"/>
          <w:color w:val="5B5B5B"/>
        </w:rPr>
        <w:t>n</w:t>
      </w:r>
      <w:r>
        <w:rPr>
          <w:rFonts w:ascii="Arial" w:cs="Arial" w:eastAsia="Arial" w:hAnsi="Arial"/>
          <w:sz w:val="14"/>
          <w:szCs w:val="14"/>
          <w:color w:val="4B4B4B"/>
        </w:rPr>
        <w:t xml:space="preserve">d </w:t>
      </w:r>
      <w:r>
        <w:rPr>
          <w:rFonts w:ascii="Arial" w:cs="Arial" w:eastAsia="Arial" w:hAnsi="Arial"/>
          <w:sz w:val="14"/>
          <w:szCs w:val="14"/>
          <w:color w:val="5B5B5B"/>
        </w:rPr>
        <w:t>a</w:t>
      </w:r>
      <w:r>
        <w:rPr>
          <w:rFonts w:ascii="Arial" w:cs="Arial" w:eastAsia="Arial" w:hAnsi="Arial"/>
          <w:sz w:val="14"/>
          <w:szCs w:val="14"/>
          <w:color w:val="4B4B4B"/>
        </w:rPr>
        <w:t>pp</w:t>
      </w:r>
      <w:r>
        <w:rPr>
          <w:rFonts w:ascii="Arial" w:cs="Arial" w:eastAsia="Arial" w:hAnsi="Arial"/>
          <w:sz w:val="14"/>
          <w:szCs w:val="14"/>
          <w:color w:val="5B5B5B"/>
        </w:rPr>
        <w:t>ropri</w:t>
      </w:r>
      <w:r>
        <w:rPr>
          <w:rFonts w:ascii="Arial" w:cs="Arial" w:eastAsia="Arial" w:hAnsi="Arial"/>
          <w:sz w:val="14"/>
          <w:szCs w:val="14"/>
          <w:color w:val="4B4B4B"/>
        </w:rPr>
        <w:t>at</w:t>
      </w:r>
      <w:r>
        <w:rPr>
          <w:rFonts w:ascii="Arial" w:cs="Arial" w:eastAsia="Arial" w:hAnsi="Arial"/>
          <w:sz w:val="14"/>
          <w:szCs w:val="14"/>
          <w:color w:val="5B5B5B"/>
        </w:rPr>
        <w:t xml:space="preserve">e </w:t>
      </w:r>
      <w:r>
        <w:rPr>
          <w:rFonts w:ascii="Arial" w:cs="Arial" w:eastAsia="Arial" w:hAnsi="Arial"/>
          <w:sz w:val="14"/>
          <w:szCs w:val="14"/>
          <w:color w:val="2F2F2F"/>
        </w:rPr>
        <w:t>l</w:t>
      </w:r>
      <w:r>
        <w:rPr>
          <w:rFonts w:ascii="Arial" w:cs="Arial" w:eastAsia="Arial" w:hAnsi="Arial"/>
          <w:sz w:val="14"/>
          <w:szCs w:val="14"/>
          <w:color w:val="757575"/>
        </w:rPr>
        <w:t>i</w:t>
      </w:r>
      <w:r>
        <w:rPr>
          <w:rFonts w:ascii="Arial" w:cs="Arial" w:eastAsia="Arial" w:hAnsi="Arial"/>
          <w:sz w:val="14"/>
          <w:szCs w:val="14"/>
          <w:color w:val="5B5B5B"/>
        </w:rPr>
        <w:t>en re</w:t>
      </w:r>
      <w:r>
        <w:rPr>
          <w:rFonts w:ascii="Arial" w:cs="Arial" w:eastAsia="Arial" w:hAnsi="Arial"/>
          <w:sz w:val="14"/>
          <w:szCs w:val="14"/>
          <w:color w:val="4B4B4B"/>
        </w:rPr>
        <w:t>lea</w:t>
      </w:r>
      <w:r>
        <w:rPr>
          <w:rFonts w:ascii="Arial" w:cs="Arial" w:eastAsia="Arial" w:hAnsi="Arial"/>
          <w:sz w:val="14"/>
          <w:szCs w:val="14"/>
          <w:color w:val="5B5B5B"/>
        </w:rPr>
        <w:t>ses from ou</w:t>
      </w:r>
      <w:r>
        <w:rPr>
          <w:rFonts w:ascii="Arial" w:cs="Arial" w:eastAsia="Arial" w:hAnsi="Arial"/>
          <w:sz w:val="14"/>
          <w:szCs w:val="14"/>
          <w:color w:val="4B4B4B"/>
        </w:rPr>
        <w:t>t</w:t>
      </w:r>
      <w:r>
        <w:rPr>
          <w:rFonts w:ascii="Arial" w:cs="Arial" w:eastAsia="Arial" w:hAnsi="Arial"/>
          <w:sz w:val="14"/>
          <w:szCs w:val="14"/>
          <w:color w:val="5B5B5B"/>
        </w:rPr>
        <w:t>side c</w:t>
      </w:r>
      <w:r>
        <w:rPr>
          <w:rFonts w:ascii="Arial" w:cs="Arial" w:eastAsia="Arial" w:hAnsi="Arial"/>
          <w:sz w:val="14"/>
          <w:szCs w:val="14"/>
          <w:color w:val="4B4B4B"/>
        </w:rPr>
        <w:t>o</w:t>
      </w:r>
      <w:r>
        <w:rPr>
          <w:rFonts w:ascii="Arial" w:cs="Arial" w:eastAsia="Arial" w:hAnsi="Arial"/>
          <w:sz w:val="14"/>
          <w:szCs w:val="14"/>
          <w:color w:val="5B5B5B"/>
        </w:rPr>
        <w:t>n</w:t>
      </w:r>
      <w:r>
        <w:rPr>
          <w:rFonts w:ascii="Arial" w:cs="Arial" w:eastAsia="Arial" w:hAnsi="Arial"/>
          <w:sz w:val="14"/>
          <w:szCs w:val="14"/>
          <w:color w:val="4B4B4B"/>
        </w:rPr>
        <w:t>t</w:t>
      </w:r>
      <w:r>
        <w:rPr>
          <w:rFonts w:ascii="Arial" w:cs="Arial" w:eastAsia="Arial" w:hAnsi="Arial"/>
          <w:sz w:val="14"/>
          <w:szCs w:val="14"/>
          <w:color w:val="5B5B5B"/>
        </w:rPr>
        <w:t>r</w:t>
      </w:r>
      <w:r>
        <w:rPr>
          <w:rFonts w:ascii="Arial" w:cs="Arial" w:eastAsia="Arial" w:hAnsi="Arial"/>
          <w:sz w:val="14"/>
          <w:szCs w:val="14"/>
          <w:color w:val="4B4B4B"/>
        </w:rPr>
        <w:t>a</w:t>
      </w:r>
      <w:r>
        <w:rPr>
          <w:rFonts w:ascii="Arial" w:cs="Arial" w:eastAsia="Arial" w:hAnsi="Arial"/>
          <w:sz w:val="14"/>
          <w:szCs w:val="14"/>
          <w:color w:val="5B5B5B"/>
        </w:rPr>
        <w:t>c</w:t>
      </w:r>
      <w:r>
        <w:rPr>
          <w:rFonts w:ascii="Arial" w:cs="Arial" w:eastAsia="Arial" w:hAnsi="Arial"/>
          <w:sz w:val="14"/>
          <w:szCs w:val="14"/>
          <w:color w:val="4B4B4B"/>
        </w:rPr>
        <w:t>t</w:t>
      </w:r>
      <w:r>
        <w:rPr>
          <w:rFonts w:ascii="Arial" w:cs="Arial" w:eastAsia="Arial" w:hAnsi="Arial"/>
          <w:sz w:val="14"/>
          <w:szCs w:val="14"/>
          <w:color w:val="5B5B5B"/>
        </w:rPr>
        <w:t>ors</w:t>
      </w:r>
      <w:r>
        <w:rPr>
          <w:rFonts w:ascii="Arial" w:cs="Arial" w:eastAsia="Arial" w:hAnsi="Arial"/>
          <w:sz w:val="14"/>
          <w:szCs w:val="14"/>
          <w:color w:val="4B4B4B"/>
        </w:rPr>
        <w:t>.</w:t>
      </w:r>
    </w:p>
    <w:p>
      <w:pPr>
        <w:spacing w:after="0" w:line="370" w:lineRule="exact"/>
        <w:rPr>
          <w:sz w:val="20"/>
          <w:szCs w:val="20"/>
          <w:color w:val="auto"/>
        </w:rPr>
      </w:pPr>
    </w:p>
    <w:p>
      <w:pPr>
        <w:ind w:left="700" w:right="40"/>
        <w:spacing w:after="0" w:line="258" w:lineRule="auto"/>
        <w:rPr>
          <w:sz w:val="20"/>
          <w:szCs w:val="20"/>
          <w:color w:val="auto"/>
        </w:rPr>
      </w:pPr>
      <w:r>
        <w:rPr>
          <w:rFonts w:ascii="Arial" w:cs="Arial" w:eastAsia="Arial" w:hAnsi="Arial"/>
          <w:sz w:val="14"/>
          <w:szCs w:val="14"/>
          <w:color w:val="4B4B4B"/>
        </w:rPr>
        <w:t>Le</w:t>
      </w:r>
      <w:r>
        <w:rPr>
          <w:rFonts w:ascii="Arial" w:cs="Arial" w:eastAsia="Arial" w:hAnsi="Arial"/>
          <w:sz w:val="14"/>
          <w:szCs w:val="14"/>
          <w:color w:val="5B5B5B"/>
        </w:rPr>
        <w:t>ss</w:t>
      </w:r>
      <w:r>
        <w:rPr>
          <w:rFonts w:ascii="Arial" w:cs="Arial" w:eastAsia="Arial" w:hAnsi="Arial"/>
          <w:sz w:val="14"/>
          <w:szCs w:val="14"/>
          <w:color w:val="4B4B4B"/>
        </w:rPr>
        <w:t>e</w:t>
      </w:r>
      <w:r>
        <w:rPr>
          <w:rFonts w:ascii="Arial" w:cs="Arial" w:eastAsia="Arial" w:hAnsi="Arial"/>
          <w:sz w:val="14"/>
          <w:szCs w:val="14"/>
          <w:color w:val="5B5B5B"/>
        </w:rPr>
        <w:t>e</w:t>
      </w:r>
      <w:r>
        <w:rPr>
          <w:rFonts w:ascii="Arial" w:cs="Arial" w:eastAsia="Arial" w:hAnsi="Arial"/>
          <w:sz w:val="14"/>
          <w:szCs w:val="14"/>
          <w:color w:val="4B4B4B"/>
        </w:rPr>
        <w:t xml:space="preserve"> inherited impr</w:t>
      </w:r>
      <w:r>
        <w:rPr>
          <w:rFonts w:ascii="Arial" w:cs="Arial" w:eastAsia="Arial" w:hAnsi="Arial"/>
          <w:sz w:val="14"/>
          <w:szCs w:val="14"/>
          <w:color w:val="5B5B5B"/>
        </w:rPr>
        <w:t>o</w:t>
      </w:r>
      <w:r>
        <w:rPr>
          <w:rFonts w:ascii="Arial" w:cs="Arial" w:eastAsia="Arial" w:hAnsi="Arial"/>
          <w:sz w:val="14"/>
          <w:szCs w:val="14"/>
          <w:color w:val="4B4B4B"/>
        </w:rPr>
        <w:t>vemen</w:t>
      </w:r>
      <w:r>
        <w:rPr>
          <w:rFonts w:ascii="Arial" w:cs="Arial" w:eastAsia="Arial" w:hAnsi="Arial"/>
          <w:sz w:val="14"/>
          <w:szCs w:val="14"/>
          <w:color w:val="5B5B5B"/>
        </w:rPr>
        <w:t>ts</w:t>
      </w:r>
      <w:r>
        <w:rPr>
          <w:rFonts w:ascii="Arial" w:cs="Arial" w:eastAsia="Arial" w:hAnsi="Arial"/>
          <w:sz w:val="14"/>
          <w:szCs w:val="14"/>
          <w:color w:val="4B4B4B"/>
        </w:rPr>
        <w:t xml:space="preserve"> from </w:t>
      </w:r>
      <w:r>
        <w:rPr>
          <w:rFonts w:ascii="Arial" w:cs="Arial" w:eastAsia="Arial" w:hAnsi="Arial"/>
          <w:sz w:val="14"/>
          <w:szCs w:val="14"/>
          <w:color w:val="5B5B5B"/>
        </w:rPr>
        <w:t>t</w:t>
      </w:r>
      <w:r>
        <w:rPr>
          <w:rFonts w:ascii="Arial" w:cs="Arial" w:eastAsia="Arial" w:hAnsi="Arial"/>
          <w:sz w:val="14"/>
          <w:szCs w:val="14"/>
          <w:color w:val="4B4B4B"/>
        </w:rPr>
        <w:t>he previ</w:t>
      </w:r>
      <w:r>
        <w:rPr>
          <w:rFonts w:ascii="Arial" w:cs="Arial" w:eastAsia="Arial" w:hAnsi="Arial"/>
          <w:sz w:val="14"/>
          <w:szCs w:val="14"/>
          <w:color w:val="5B5B5B"/>
        </w:rPr>
        <w:t>o</w:t>
      </w:r>
      <w:r>
        <w:rPr>
          <w:rFonts w:ascii="Arial" w:cs="Arial" w:eastAsia="Arial" w:hAnsi="Arial"/>
          <w:sz w:val="14"/>
          <w:szCs w:val="14"/>
          <w:color w:val="4B4B4B"/>
        </w:rPr>
        <w:t>u</w:t>
      </w:r>
      <w:r>
        <w:rPr>
          <w:rFonts w:ascii="Arial" w:cs="Arial" w:eastAsia="Arial" w:hAnsi="Arial"/>
          <w:sz w:val="14"/>
          <w:szCs w:val="14"/>
          <w:color w:val="5B5B5B"/>
        </w:rPr>
        <w:t>s</w:t>
      </w:r>
      <w:r>
        <w:rPr>
          <w:rFonts w:ascii="Arial" w:cs="Arial" w:eastAsia="Arial" w:hAnsi="Arial"/>
          <w:sz w:val="14"/>
          <w:szCs w:val="14"/>
          <w:color w:val="4B4B4B"/>
        </w:rPr>
        <w:t xml:space="preserve"> tenant and h</w:t>
      </w:r>
      <w:r>
        <w:rPr>
          <w:rFonts w:ascii="Arial" w:cs="Arial" w:eastAsia="Arial" w:hAnsi="Arial"/>
          <w:sz w:val="14"/>
          <w:szCs w:val="14"/>
          <w:color w:val="5B5B5B"/>
        </w:rPr>
        <w:t>a</w:t>
      </w:r>
      <w:r>
        <w:rPr>
          <w:rFonts w:ascii="Arial" w:cs="Arial" w:eastAsia="Arial" w:hAnsi="Arial"/>
          <w:sz w:val="14"/>
          <w:szCs w:val="14"/>
          <w:color w:val="4B4B4B"/>
        </w:rPr>
        <w:t>s co</w:t>
      </w:r>
      <w:r>
        <w:rPr>
          <w:rFonts w:ascii="Arial" w:cs="Arial" w:eastAsia="Arial" w:hAnsi="Arial"/>
          <w:sz w:val="14"/>
          <w:szCs w:val="14"/>
          <w:color w:val="5B5B5B"/>
        </w:rPr>
        <w:t>nti</w:t>
      </w:r>
      <w:r>
        <w:rPr>
          <w:rFonts w:ascii="Arial" w:cs="Arial" w:eastAsia="Arial" w:hAnsi="Arial"/>
          <w:sz w:val="14"/>
          <w:szCs w:val="14"/>
          <w:color w:val="4B4B4B"/>
        </w:rPr>
        <w:t xml:space="preserve">nued </w:t>
      </w:r>
      <w:r>
        <w:rPr>
          <w:rFonts w:ascii="Arial" w:cs="Arial" w:eastAsia="Arial" w:hAnsi="Arial"/>
          <w:sz w:val="14"/>
          <w:szCs w:val="14"/>
          <w:color w:val="5B5B5B"/>
        </w:rPr>
        <w:t>to</w:t>
      </w:r>
      <w:r>
        <w:rPr>
          <w:rFonts w:ascii="Arial" w:cs="Arial" w:eastAsia="Arial" w:hAnsi="Arial"/>
          <w:sz w:val="14"/>
          <w:szCs w:val="14"/>
          <w:color w:val="4B4B4B"/>
        </w:rPr>
        <w:t xml:space="preserve"> make capi</w:t>
      </w:r>
      <w:r>
        <w:rPr>
          <w:rFonts w:ascii="Arial" w:cs="Arial" w:eastAsia="Arial" w:hAnsi="Arial"/>
          <w:sz w:val="14"/>
          <w:szCs w:val="14"/>
          <w:color w:val="5B5B5B"/>
        </w:rPr>
        <w:t>ta</w:t>
      </w:r>
      <w:r>
        <w:rPr>
          <w:rFonts w:ascii="Arial" w:cs="Arial" w:eastAsia="Arial" w:hAnsi="Arial"/>
          <w:sz w:val="14"/>
          <w:szCs w:val="14"/>
          <w:color w:val="4B4B4B"/>
        </w:rPr>
        <w:t xml:space="preserve">l </w:t>
      </w:r>
      <w:r>
        <w:rPr>
          <w:rFonts w:ascii="Arial" w:cs="Arial" w:eastAsia="Arial" w:hAnsi="Arial"/>
          <w:sz w:val="14"/>
          <w:szCs w:val="14"/>
          <w:color w:val="5B5B5B"/>
        </w:rPr>
        <w:t>improv</w:t>
      </w:r>
      <w:r>
        <w:rPr>
          <w:rFonts w:ascii="Arial" w:cs="Arial" w:eastAsia="Arial" w:hAnsi="Arial"/>
          <w:sz w:val="14"/>
          <w:szCs w:val="14"/>
          <w:color w:val="4B4B4B"/>
        </w:rPr>
        <w:t>eme</w:t>
      </w:r>
      <w:r>
        <w:rPr>
          <w:rFonts w:ascii="Arial" w:cs="Arial" w:eastAsia="Arial" w:hAnsi="Arial"/>
          <w:sz w:val="14"/>
          <w:szCs w:val="14"/>
          <w:color w:val="5B5B5B"/>
        </w:rPr>
        <w:t>n</w:t>
      </w:r>
      <w:r>
        <w:rPr>
          <w:rFonts w:ascii="Arial" w:cs="Arial" w:eastAsia="Arial" w:hAnsi="Arial"/>
          <w:sz w:val="14"/>
          <w:szCs w:val="14"/>
          <w:color w:val="4B4B4B"/>
        </w:rPr>
        <w:t>t</w:t>
      </w:r>
      <w:r>
        <w:rPr>
          <w:rFonts w:ascii="Arial" w:cs="Arial" w:eastAsia="Arial" w:hAnsi="Arial"/>
          <w:sz w:val="14"/>
          <w:szCs w:val="14"/>
          <w:color w:val="5B5B5B"/>
        </w:rPr>
        <w:t>s</w:t>
      </w:r>
      <w:r>
        <w:rPr>
          <w:rFonts w:ascii="Arial" w:cs="Arial" w:eastAsia="Arial" w:hAnsi="Arial"/>
          <w:sz w:val="14"/>
          <w:szCs w:val="14"/>
          <w:color w:val="4B4B4B"/>
        </w:rPr>
        <w:t xml:space="preserve"> t</w:t>
      </w:r>
      <w:r>
        <w:rPr>
          <w:rFonts w:ascii="Arial" w:cs="Arial" w:eastAsia="Arial" w:hAnsi="Arial"/>
          <w:sz w:val="14"/>
          <w:szCs w:val="14"/>
          <w:color w:val="5B5B5B"/>
        </w:rPr>
        <w:t>o</w:t>
      </w:r>
      <w:r>
        <w:rPr>
          <w:rFonts w:ascii="Arial" w:cs="Arial" w:eastAsia="Arial" w:hAnsi="Arial"/>
          <w:sz w:val="14"/>
          <w:szCs w:val="14"/>
          <w:color w:val="4B4B4B"/>
        </w:rPr>
        <w:t xml:space="preserve"> the P</w:t>
      </w:r>
      <w:r>
        <w:rPr>
          <w:rFonts w:ascii="Arial" w:cs="Arial" w:eastAsia="Arial" w:hAnsi="Arial"/>
          <w:sz w:val="14"/>
          <w:szCs w:val="14"/>
          <w:color w:val="5B5B5B"/>
        </w:rPr>
        <w:t>remises</w:t>
      </w:r>
      <w:r>
        <w:rPr>
          <w:rFonts w:ascii="Arial" w:cs="Arial" w:eastAsia="Arial" w:hAnsi="Arial"/>
          <w:sz w:val="14"/>
          <w:szCs w:val="14"/>
          <w:color w:val="878787"/>
        </w:rPr>
        <w:t>;</w:t>
      </w:r>
      <w:r>
        <w:rPr>
          <w:rFonts w:ascii="Arial" w:cs="Arial" w:eastAsia="Arial" w:hAnsi="Arial"/>
          <w:sz w:val="14"/>
          <w:szCs w:val="14"/>
          <w:color w:val="4B4B4B"/>
        </w:rPr>
        <w:t xml:space="preserve"> th</w:t>
      </w:r>
      <w:r>
        <w:rPr>
          <w:rFonts w:ascii="Arial" w:cs="Arial" w:eastAsia="Arial" w:hAnsi="Arial"/>
          <w:sz w:val="14"/>
          <w:szCs w:val="14"/>
          <w:color w:val="5B5B5B"/>
        </w:rPr>
        <w:t>e</w:t>
      </w:r>
      <w:r>
        <w:rPr>
          <w:rFonts w:ascii="Arial" w:cs="Arial" w:eastAsia="Arial" w:hAnsi="Arial"/>
          <w:sz w:val="14"/>
          <w:szCs w:val="14"/>
          <w:color w:val="4B4B4B"/>
        </w:rPr>
        <w:t>refor</w:t>
      </w:r>
      <w:r>
        <w:rPr>
          <w:rFonts w:ascii="Arial" w:cs="Arial" w:eastAsia="Arial" w:hAnsi="Arial"/>
          <w:sz w:val="14"/>
          <w:szCs w:val="14"/>
          <w:color w:val="5B5B5B"/>
        </w:rPr>
        <w:t>e</w:t>
      </w:r>
      <w:r>
        <w:rPr>
          <w:rFonts w:ascii="Arial" w:cs="Arial" w:eastAsia="Arial" w:hAnsi="Arial"/>
          <w:sz w:val="14"/>
          <w:szCs w:val="14"/>
          <w:color w:val="878787"/>
        </w:rPr>
        <w:t>,</w:t>
      </w:r>
      <w:r>
        <w:rPr>
          <w:rFonts w:ascii="Arial" w:cs="Arial" w:eastAsia="Arial" w:hAnsi="Arial"/>
          <w:sz w:val="14"/>
          <w:szCs w:val="14"/>
          <w:color w:val="4B4B4B"/>
        </w:rPr>
        <w:t xml:space="preserve"> Le</w:t>
      </w:r>
      <w:r>
        <w:rPr>
          <w:rFonts w:ascii="Arial" w:cs="Arial" w:eastAsia="Arial" w:hAnsi="Arial"/>
          <w:sz w:val="14"/>
          <w:szCs w:val="14"/>
          <w:color w:val="5B5B5B"/>
        </w:rPr>
        <w:t>ss</w:t>
      </w:r>
      <w:r>
        <w:rPr>
          <w:rFonts w:ascii="Arial" w:cs="Arial" w:eastAsia="Arial" w:hAnsi="Arial"/>
          <w:sz w:val="14"/>
          <w:szCs w:val="14"/>
          <w:color w:val="4B4B4B"/>
        </w:rPr>
        <w:t>e</w:t>
      </w:r>
      <w:r>
        <w:rPr>
          <w:rFonts w:ascii="Arial" w:cs="Arial" w:eastAsia="Arial" w:hAnsi="Arial"/>
          <w:sz w:val="14"/>
          <w:szCs w:val="14"/>
          <w:color w:val="5B5B5B"/>
        </w:rPr>
        <w:t>e sh</w:t>
      </w:r>
      <w:r>
        <w:rPr>
          <w:rFonts w:ascii="Arial" w:cs="Arial" w:eastAsia="Arial" w:hAnsi="Arial"/>
          <w:sz w:val="14"/>
          <w:szCs w:val="14"/>
          <w:color w:val="4B4B4B"/>
        </w:rPr>
        <w:t xml:space="preserve">all </w:t>
      </w:r>
      <w:r>
        <w:rPr>
          <w:rFonts w:ascii="Arial" w:cs="Arial" w:eastAsia="Arial" w:hAnsi="Arial"/>
          <w:sz w:val="14"/>
          <w:szCs w:val="14"/>
          <w:color w:val="5B5B5B"/>
        </w:rPr>
        <w:t>no</w:t>
      </w:r>
      <w:r>
        <w:rPr>
          <w:rFonts w:ascii="Arial" w:cs="Arial" w:eastAsia="Arial" w:hAnsi="Arial"/>
          <w:sz w:val="14"/>
          <w:szCs w:val="14"/>
          <w:color w:val="4B4B4B"/>
        </w:rPr>
        <w:t>t b</w:t>
      </w:r>
      <w:r>
        <w:rPr>
          <w:rFonts w:ascii="Arial" w:cs="Arial" w:eastAsia="Arial" w:hAnsi="Arial"/>
          <w:sz w:val="14"/>
          <w:szCs w:val="14"/>
          <w:color w:val="5B5B5B"/>
        </w:rPr>
        <w:t>e r</w:t>
      </w:r>
      <w:r>
        <w:rPr>
          <w:rFonts w:ascii="Arial" w:cs="Arial" w:eastAsia="Arial" w:hAnsi="Arial"/>
          <w:sz w:val="14"/>
          <w:szCs w:val="14"/>
          <w:color w:val="4B4B4B"/>
        </w:rPr>
        <w:t>e</w:t>
      </w:r>
      <w:r>
        <w:rPr>
          <w:rFonts w:ascii="Arial" w:cs="Arial" w:eastAsia="Arial" w:hAnsi="Arial"/>
          <w:sz w:val="14"/>
          <w:szCs w:val="14"/>
          <w:color w:val="5B5B5B"/>
        </w:rPr>
        <w:t>s</w:t>
      </w:r>
      <w:r>
        <w:rPr>
          <w:rFonts w:ascii="Arial" w:cs="Arial" w:eastAsia="Arial" w:hAnsi="Arial"/>
          <w:sz w:val="14"/>
          <w:szCs w:val="14"/>
          <w:color w:val="4B4B4B"/>
        </w:rPr>
        <w:t>p</w:t>
      </w:r>
      <w:r>
        <w:rPr>
          <w:rFonts w:ascii="Arial" w:cs="Arial" w:eastAsia="Arial" w:hAnsi="Arial"/>
          <w:sz w:val="14"/>
          <w:szCs w:val="14"/>
          <w:color w:val="5B5B5B"/>
        </w:rPr>
        <w:t>onsi</w:t>
      </w:r>
      <w:r>
        <w:rPr>
          <w:rFonts w:ascii="Arial" w:cs="Arial" w:eastAsia="Arial" w:hAnsi="Arial"/>
          <w:sz w:val="14"/>
          <w:szCs w:val="14"/>
          <w:color w:val="4B4B4B"/>
        </w:rPr>
        <w:t>b</w:t>
      </w:r>
      <w:r>
        <w:rPr>
          <w:rFonts w:ascii="Arial" w:cs="Arial" w:eastAsia="Arial" w:hAnsi="Arial"/>
          <w:sz w:val="14"/>
          <w:szCs w:val="14"/>
          <w:color w:val="5B5B5B"/>
        </w:rPr>
        <w:t>l</w:t>
      </w:r>
      <w:r>
        <w:rPr>
          <w:rFonts w:ascii="Arial" w:cs="Arial" w:eastAsia="Arial" w:hAnsi="Arial"/>
          <w:sz w:val="14"/>
          <w:szCs w:val="14"/>
          <w:color w:val="4B4B4B"/>
        </w:rPr>
        <w:t xml:space="preserve">e </w:t>
      </w:r>
      <w:r>
        <w:rPr>
          <w:rFonts w:ascii="Arial" w:cs="Arial" w:eastAsia="Arial" w:hAnsi="Arial"/>
          <w:sz w:val="14"/>
          <w:szCs w:val="14"/>
          <w:color w:val="5B5B5B"/>
        </w:rPr>
        <w:t>for</w:t>
      </w:r>
      <w:r>
        <w:rPr>
          <w:rFonts w:ascii="Arial" w:cs="Arial" w:eastAsia="Arial" w:hAnsi="Arial"/>
          <w:sz w:val="14"/>
          <w:szCs w:val="14"/>
          <w:color w:val="4B4B4B"/>
        </w:rPr>
        <w:t xml:space="preserve"> a</w:t>
      </w:r>
      <w:r>
        <w:rPr>
          <w:rFonts w:ascii="Arial" w:cs="Arial" w:eastAsia="Arial" w:hAnsi="Arial"/>
          <w:sz w:val="14"/>
          <w:szCs w:val="14"/>
          <w:color w:val="5B5B5B"/>
        </w:rPr>
        <w:t>ny</w:t>
      </w:r>
      <w:r>
        <w:rPr>
          <w:rFonts w:ascii="Arial" w:cs="Arial" w:eastAsia="Arial" w:hAnsi="Arial"/>
          <w:sz w:val="14"/>
          <w:szCs w:val="14"/>
          <w:color w:val="4B4B4B"/>
        </w:rPr>
        <w:t xml:space="preserve"> </w:t>
      </w:r>
      <w:r>
        <w:rPr>
          <w:rFonts w:ascii="Arial" w:cs="Arial" w:eastAsia="Arial" w:hAnsi="Arial"/>
          <w:sz w:val="14"/>
          <w:szCs w:val="14"/>
          <w:color w:val="757575"/>
        </w:rPr>
        <w:t>r</w:t>
      </w:r>
      <w:r>
        <w:rPr>
          <w:rFonts w:ascii="Arial" w:cs="Arial" w:eastAsia="Arial" w:hAnsi="Arial"/>
          <w:sz w:val="14"/>
          <w:szCs w:val="14"/>
          <w:color w:val="5B5B5B"/>
        </w:rPr>
        <w:t>es</w:t>
      </w:r>
      <w:r>
        <w:rPr>
          <w:rFonts w:ascii="Arial" w:cs="Arial" w:eastAsia="Arial" w:hAnsi="Arial"/>
          <w:sz w:val="14"/>
          <w:szCs w:val="14"/>
          <w:color w:val="4B4B4B"/>
        </w:rPr>
        <w:t>t</w:t>
      </w:r>
      <w:r>
        <w:rPr>
          <w:rFonts w:ascii="Arial" w:cs="Arial" w:eastAsia="Arial" w:hAnsi="Arial"/>
          <w:sz w:val="14"/>
          <w:szCs w:val="14"/>
          <w:color w:val="5B5B5B"/>
        </w:rPr>
        <w:t>o</w:t>
      </w:r>
      <w:r>
        <w:rPr>
          <w:rFonts w:ascii="Arial" w:cs="Arial" w:eastAsia="Arial" w:hAnsi="Arial"/>
          <w:sz w:val="14"/>
          <w:szCs w:val="14"/>
          <w:color w:val="4B4B4B"/>
        </w:rPr>
        <w:t>rati</w:t>
      </w:r>
      <w:r>
        <w:rPr>
          <w:rFonts w:ascii="Arial" w:cs="Arial" w:eastAsia="Arial" w:hAnsi="Arial"/>
          <w:sz w:val="14"/>
          <w:szCs w:val="14"/>
          <w:color w:val="5B5B5B"/>
        </w:rPr>
        <w:t>on o</w:t>
      </w:r>
      <w:r>
        <w:rPr>
          <w:rFonts w:ascii="Arial" w:cs="Arial" w:eastAsia="Arial" w:hAnsi="Arial"/>
          <w:sz w:val="14"/>
          <w:szCs w:val="14"/>
          <w:color w:val="4B4B4B"/>
        </w:rPr>
        <w:t xml:space="preserve">f </w:t>
      </w:r>
      <w:r>
        <w:rPr>
          <w:rFonts w:ascii="Arial" w:cs="Arial" w:eastAsia="Arial" w:hAnsi="Arial"/>
          <w:sz w:val="14"/>
          <w:szCs w:val="14"/>
          <w:color w:val="5B5B5B"/>
        </w:rPr>
        <w:t>improvemen</w:t>
      </w:r>
      <w:r>
        <w:rPr>
          <w:rFonts w:ascii="Arial" w:cs="Arial" w:eastAsia="Arial" w:hAnsi="Arial"/>
          <w:sz w:val="14"/>
          <w:szCs w:val="14"/>
          <w:color w:val="4B4B4B"/>
        </w:rPr>
        <w:t>t</w:t>
      </w:r>
      <w:r>
        <w:rPr>
          <w:rFonts w:ascii="Arial" w:cs="Arial" w:eastAsia="Arial" w:hAnsi="Arial"/>
          <w:sz w:val="14"/>
          <w:szCs w:val="14"/>
          <w:color w:val="5B5B5B"/>
        </w:rPr>
        <w:t>s comp</w:t>
      </w:r>
      <w:r>
        <w:rPr>
          <w:rFonts w:ascii="Arial" w:cs="Arial" w:eastAsia="Arial" w:hAnsi="Arial"/>
          <w:sz w:val="14"/>
          <w:szCs w:val="14"/>
          <w:color w:val="2F2F2F"/>
        </w:rPr>
        <w:t>l</w:t>
      </w:r>
      <w:r>
        <w:rPr>
          <w:rFonts w:ascii="Arial" w:cs="Arial" w:eastAsia="Arial" w:hAnsi="Arial"/>
          <w:sz w:val="14"/>
          <w:szCs w:val="14"/>
          <w:color w:val="5B5B5B"/>
        </w:rPr>
        <w:t>eted pr</w:t>
      </w:r>
      <w:r>
        <w:rPr>
          <w:rFonts w:ascii="Arial" w:cs="Arial" w:eastAsia="Arial" w:hAnsi="Arial"/>
          <w:sz w:val="14"/>
          <w:szCs w:val="14"/>
          <w:color w:val="757575"/>
        </w:rPr>
        <w:t>i</w:t>
      </w:r>
      <w:r>
        <w:rPr>
          <w:rFonts w:ascii="Arial" w:cs="Arial" w:eastAsia="Arial" w:hAnsi="Arial"/>
          <w:sz w:val="14"/>
          <w:szCs w:val="14"/>
          <w:color w:val="5B5B5B"/>
        </w:rPr>
        <w:t>or</w:t>
      </w:r>
      <w:r>
        <w:rPr>
          <w:rFonts w:ascii="Arial" w:cs="Arial" w:eastAsia="Arial" w:hAnsi="Arial"/>
          <w:sz w:val="14"/>
          <w:szCs w:val="14"/>
          <w:color w:val="4B4B4B"/>
        </w:rPr>
        <w:t xml:space="preserve"> t</w:t>
      </w:r>
      <w:r>
        <w:rPr>
          <w:rFonts w:ascii="Arial" w:cs="Arial" w:eastAsia="Arial" w:hAnsi="Arial"/>
          <w:sz w:val="14"/>
          <w:szCs w:val="14"/>
          <w:color w:val="5B5B5B"/>
        </w:rPr>
        <w:t>o</w:t>
      </w:r>
      <w:r>
        <w:rPr>
          <w:rFonts w:ascii="Arial" w:cs="Arial" w:eastAsia="Arial" w:hAnsi="Arial"/>
          <w:sz w:val="14"/>
          <w:szCs w:val="14"/>
          <w:color w:val="4B4B4B"/>
        </w:rPr>
        <w:t xml:space="preserve"> th</w:t>
      </w:r>
      <w:r>
        <w:rPr>
          <w:rFonts w:ascii="Arial" w:cs="Arial" w:eastAsia="Arial" w:hAnsi="Arial"/>
          <w:sz w:val="14"/>
          <w:szCs w:val="14"/>
          <w:color w:val="5B5B5B"/>
        </w:rPr>
        <w:t>is exte</w:t>
      </w:r>
      <w:r>
        <w:rPr>
          <w:rFonts w:ascii="Arial" w:cs="Arial" w:eastAsia="Arial" w:hAnsi="Arial"/>
          <w:sz w:val="14"/>
          <w:szCs w:val="14"/>
          <w:color w:val="4B4B4B"/>
        </w:rPr>
        <w:t>n</w:t>
      </w:r>
      <w:r>
        <w:rPr>
          <w:rFonts w:ascii="Arial" w:cs="Arial" w:eastAsia="Arial" w:hAnsi="Arial"/>
          <w:sz w:val="14"/>
          <w:szCs w:val="14"/>
          <w:color w:val="5B5B5B"/>
        </w:rPr>
        <w:t>sion</w:t>
      </w:r>
      <w:r>
        <w:rPr>
          <w:rFonts w:ascii="Arial" w:cs="Arial" w:eastAsia="Arial" w:hAnsi="Arial"/>
          <w:sz w:val="14"/>
          <w:szCs w:val="14"/>
          <w:color w:val="4B4B4B"/>
        </w:rPr>
        <w:t xml:space="preserve"> a</w:t>
      </w:r>
      <w:r>
        <w:rPr>
          <w:rFonts w:ascii="Arial" w:cs="Arial" w:eastAsia="Arial" w:hAnsi="Arial"/>
          <w:sz w:val="14"/>
          <w:szCs w:val="14"/>
          <w:color w:val="5B5B5B"/>
        </w:rPr>
        <w:t>gre</w:t>
      </w:r>
      <w:r>
        <w:rPr>
          <w:rFonts w:ascii="Arial" w:cs="Arial" w:eastAsia="Arial" w:hAnsi="Arial"/>
          <w:sz w:val="14"/>
          <w:szCs w:val="14"/>
          <w:color w:val="4B4B4B"/>
        </w:rPr>
        <w:t>e</w:t>
      </w:r>
      <w:r>
        <w:rPr>
          <w:rFonts w:ascii="Arial" w:cs="Arial" w:eastAsia="Arial" w:hAnsi="Arial"/>
          <w:sz w:val="14"/>
          <w:szCs w:val="14"/>
          <w:color w:val="5B5B5B"/>
        </w:rPr>
        <w:t>ment.</w:t>
      </w:r>
    </w:p>
    <w:p>
      <w:pPr>
        <w:spacing w:after="0" w:line="176" w:lineRule="exact"/>
        <w:rPr>
          <w:sz w:val="20"/>
          <w:szCs w:val="20"/>
          <w:color w:val="auto"/>
        </w:rPr>
      </w:pPr>
    </w:p>
    <w:p>
      <w:pPr>
        <w:ind w:left="660" w:hanging="321"/>
        <w:spacing w:after="0"/>
        <w:tabs>
          <w:tab w:leader="none" w:pos="660" w:val="left"/>
        </w:tabs>
        <w:numPr>
          <w:ilvl w:val="0"/>
          <w:numId w:val="50"/>
        </w:numPr>
        <w:rPr>
          <w:rFonts w:ascii="Arial" w:cs="Arial" w:eastAsia="Arial" w:hAnsi="Arial"/>
          <w:sz w:val="14"/>
          <w:szCs w:val="14"/>
          <w:color w:val="4B4B4B"/>
        </w:rPr>
      </w:pPr>
      <w:r>
        <w:rPr>
          <w:rFonts w:ascii="Arial" w:cs="Arial" w:eastAsia="Arial" w:hAnsi="Arial"/>
          <w:sz w:val="14"/>
          <w:szCs w:val="14"/>
          <w:b w:val="1"/>
          <w:bCs w:val="1"/>
          <w:color w:val="2F2F2F"/>
        </w:rPr>
        <w:t xml:space="preserve">ADA </w:t>
      </w:r>
      <w:r>
        <w:rPr>
          <w:rFonts w:ascii="Arial" w:cs="Arial" w:eastAsia="Arial" w:hAnsi="Arial"/>
          <w:sz w:val="14"/>
          <w:szCs w:val="14"/>
          <w:b w:val="1"/>
          <w:bCs w:val="1"/>
          <w:color w:val="4B4B4B"/>
        </w:rPr>
        <w:t>C</w:t>
      </w:r>
      <w:r>
        <w:rPr>
          <w:rFonts w:ascii="Arial" w:cs="Arial" w:eastAsia="Arial" w:hAnsi="Arial"/>
          <w:sz w:val="14"/>
          <w:szCs w:val="14"/>
          <w:b w:val="1"/>
          <w:bCs w:val="1"/>
          <w:color w:val="2F2F2F"/>
        </w:rPr>
        <w:t>omplian</w:t>
      </w:r>
      <w:r>
        <w:rPr>
          <w:rFonts w:ascii="Arial" w:cs="Arial" w:eastAsia="Arial" w:hAnsi="Arial"/>
          <w:sz w:val="14"/>
          <w:szCs w:val="14"/>
          <w:b w:val="1"/>
          <w:bCs w:val="1"/>
          <w:color w:val="4B4B4B"/>
        </w:rPr>
        <w:t>ce.</w:t>
      </w:r>
      <w:r>
        <w:rPr>
          <w:rFonts w:ascii="Arial" w:cs="Arial" w:eastAsia="Arial" w:hAnsi="Arial"/>
          <w:sz w:val="14"/>
          <w:szCs w:val="14"/>
          <w:b w:val="1"/>
          <w:bCs w:val="1"/>
          <w:color w:val="2F2F2F"/>
        </w:rPr>
        <w:t xml:space="preserve"> </w:t>
      </w:r>
      <w:r>
        <w:rPr>
          <w:rFonts w:ascii="Arial" w:cs="Arial" w:eastAsia="Arial" w:hAnsi="Arial"/>
          <w:sz w:val="14"/>
          <w:szCs w:val="14"/>
          <w:color w:val="4B4B4B"/>
        </w:rPr>
        <w:t>Le</w:t>
      </w:r>
      <w:r>
        <w:rPr>
          <w:rFonts w:ascii="Arial" w:cs="Arial" w:eastAsia="Arial" w:hAnsi="Arial"/>
          <w:sz w:val="14"/>
          <w:szCs w:val="14"/>
          <w:color w:val="5B5B5B"/>
        </w:rPr>
        <w:t>sso</w:t>
      </w:r>
      <w:r>
        <w:rPr>
          <w:rFonts w:ascii="Arial" w:cs="Arial" w:eastAsia="Arial" w:hAnsi="Arial"/>
          <w:sz w:val="14"/>
          <w:szCs w:val="14"/>
          <w:color w:val="4B4B4B"/>
        </w:rPr>
        <w:t>r warrant</w:t>
      </w:r>
      <w:r>
        <w:rPr>
          <w:rFonts w:ascii="Arial" w:cs="Arial" w:eastAsia="Arial" w:hAnsi="Arial"/>
          <w:sz w:val="14"/>
          <w:szCs w:val="14"/>
          <w:color w:val="5B5B5B"/>
        </w:rPr>
        <w:t>s</w:t>
      </w:r>
      <w:r>
        <w:rPr>
          <w:rFonts w:ascii="Arial" w:cs="Arial" w:eastAsia="Arial" w:hAnsi="Arial"/>
          <w:sz w:val="14"/>
          <w:szCs w:val="14"/>
          <w:b w:val="1"/>
          <w:bCs w:val="1"/>
          <w:color w:val="2F2F2F"/>
        </w:rPr>
        <w:t xml:space="preserve"> </w:t>
      </w:r>
      <w:r>
        <w:rPr>
          <w:rFonts w:ascii="Arial" w:cs="Arial" w:eastAsia="Arial" w:hAnsi="Arial"/>
          <w:sz w:val="14"/>
          <w:szCs w:val="14"/>
          <w:color w:val="4B4B4B"/>
        </w:rPr>
        <w:t>th</w:t>
      </w:r>
      <w:r>
        <w:rPr>
          <w:rFonts w:ascii="Arial" w:cs="Arial" w:eastAsia="Arial" w:hAnsi="Arial"/>
          <w:sz w:val="14"/>
          <w:szCs w:val="14"/>
          <w:color w:val="5B5B5B"/>
        </w:rPr>
        <w:t>a</w:t>
      </w:r>
      <w:r>
        <w:rPr>
          <w:rFonts w:ascii="Arial" w:cs="Arial" w:eastAsia="Arial" w:hAnsi="Arial"/>
          <w:sz w:val="14"/>
          <w:szCs w:val="14"/>
          <w:color w:val="4B4B4B"/>
        </w:rPr>
        <w:t>t to the b</w:t>
      </w:r>
      <w:r>
        <w:rPr>
          <w:rFonts w:ascii="Arial" w:cs="Arial" w:eastAsia="Arial" w:hAnsi="Arial"/>
          <w:sz w:val="14"/>
          <w:szCs w:val="14"/>
          <w:color w:val="5B5B5B"/>
        </w:rPr>
        <w:t>es</w:t>
      </w:r>
      <w:r>
        <w:rPr>
          <w:rFonts w:ascii="Arial" w:cs="Arial" w:eastAsia="Arial" w:hAnsi="Arial"/>
          <w:sz w:val="14"/>
          <w:szCs w:val="14"/>
          <w:color w:val="4B4B4B"/>
        </w:rPr>
        <w:t>t</w:t>
      </w:r>
      <w:r>
        <w:rPr>
          <w:rFonts w:ascii="Arial" w:cs="Arial" w:eastAsia="Arial" w:hAnsi="Arial"/>
          <w:sz w:val="14"/>
          <w:szCs w:val="14"/>
          <w:b w:val="1"/>
          <w:bCs w:val="1"/>
          <w:color w:val="2F2F2F"/>
        </w:rPr>
        <w:t xml:space="preserve"> </w:t>
      </w:r>
      <w:r>
        <w:rPr>
          <w:rFonts w:ascii="Arial" w:cs="Arial" w:eastAsia="Arial" w:hAnsi="Arial"/>
          <w:sz w:val="14"/>
          <w:szCs w:val="14"/>
          <w:color w:val="5B5B5B"/>
        </w:rPr>
        <w:t>o</w:t>
      </w:r>
      <w:r>
        <w:rPr>
          <w:rFonts w:ascii="Arial" w:cs="Arial" w:eastAsia="Arial" w:hAnsi="Arial"/>
          <w:sz w:val="14"/>
          <w:szCs w:val="14"/>
          <w:color w:val="4B4B4B"/>
        </w:rPr>
        <w:t>f</w:t>
      </w:r>
      <w:r>
        <w:rPr>
          <w:rFonts w:ascii="Arial" w:cs="Arial" w:eastAsia="Arial" w:hAnsi="Arial"/>
          <w:sz w:val="14"/>
          <w:szCs w:val="14"/>
          <w:b w:val="1"/>
          <w:bCs w:val="1"/>
          <w:color w:val="2F2F2F"/>
        </w:rPr>
        <w:t xml:space="preserve"> </w:t>
      </w:r>
      <w:r>
        <w:rPr>
          <w:rFonts w:ascii="Arial" w:cs="Arial" w:eastAsia="Arial" w:hAnsi="Arial"/>
          <w:sz w:val="14"/>
          <w:szCs w:val="14"/>
          <w:color w:val="5B5B5B"/>
        </w:rPr>
        <w:t>i</w:t>
      </w:r>
      <w:r>
        <w:rPr>
          <w:rFonts w:ascii="Arial" w:cs="Arial" w:eastAsia="Arial" w:hAnsi="Arial"/>
          <w:sz w:val="14"/>
          <w:szCs w:val="14"/>
          <w:color w:val="4B4B4B"/>
        </w:rPr>
        <w:t>ts k</w:t>
      </w:r>
      <w:r>
        <w:rPr>
          <w:rFonts w:ascii="Arial" w:cs="Arial" w:eastAsia="Arial" w:hAnsi="Arial"/>
          <w:sz w:val="14"/>
          <w:szCs w:val="14"/>
          <w:color w:val="5B5B5B"/>
        </w:rPr>
        <w:t>no</w:t>
      </w:r>
      <w:r>
        <w:rPr>
          <w:rFonts w:ascii="Arial" w:cs="Arial" w:eastAsia="Arial" w:hAnsi="Arial"/>
          <w:sz w:val="14"/>
          <w:szCs w:val="14"/>
          <w:color w:val="4B4B4B"/>
        </w:rPr>
        <w:t>wledg</w:t>
      </w:r>
      <w:r>
        <w:rPr>
          <w:rFonts w:ascii="Arial" w:cs="Arial" w:eastAsia="Arial" w:hAnsi="Arial"/>
          <w:sz w:val="14"/>
          <w:szCs w:val="14"/>
          <w:color w:val="5B5B5B"/>
        </w:rPr>
        <w:t>e</w:t>
      </w:r>
      <w:r>
        <w:rPr>
          <w:rFonts w:ascii="Arial" w:cs="Arial" w:eastAsia="Arial" w:hAnsi="Arial"/>
          <w:sz w:val="14"/>
          <w:szCs w:val="14"/>
          <w:b w:val="1"/>
          <w:bCs w:val="1"/>
          <w:color w:val="2F2F2F"/>
        </w:rPr>
        <w:t xml:space="preserve"> </w:t>
      </w:r>
      <w:r>
        <w:rPr>
          <w:rFonts w:ascii="Arial" w:cs="Arial" w:eastAsia="Arial" w:hAnsi="Arial"/>
          <w:sz w:val="14"/>
          <w:szCs w:val="14"/>
          <w:color w:val="4B4B4B"/>
        </w:rPr>
        <w:t>the e</w:t>
      </w:r>
      <w:r>
        <w:rPr>
          <w:rFonts w:ascii="Arial" w:cs="Arial" w:eastAsia="Arial" w:hAnsi="Arial"/>
          <w:sz w:val="14"/>
          <w:szCs w:val="14"/>
          <w:color w:val="5B5B5B"/>
        </w:rPr>
        <w:t>x</w:t>
      </w:r>
      <w:r>
        <w:rPr>
          <w:rFonts w:ascii="Arial" w:cs="Arial" w:eastAsia="Arial" w:hAnsi="Arial"/>
          <w:sz w:val="14"/>
          <w:szCs w:val="14"/>
          <w:color w:val="4B4B4B"/>
        </w:rPr>
        <w:t>ter</w:t>
      </w:r>
      <w:r>
        <w:rPr>
          <w:rFonts w:ascii="Arial" w:cs="Arial" w:eastAsia="Arial" w:hAnsi="Arial"/>
          <w:sz w:val="14"/>
          <w:szCs w:val="14"/>
          <w:color w:val="757575"/>
        </w:rPr>
        <w:t>i</w:t>
      </w:r>
      <w:r>
        <w:rPr>
          <w:rFonts w:ascii="Arial" w:cs="Arial" w:eastAsia="Arial" w:hAnsi="Arial"/>
          <w:sz w:val="14"/>
          <w:szCs w:val="14"/>
          <w:color w:val="5B5B5B"/>
        </w:rPr>
        <w:t>or i</w:t>
      </w:r>
      <w:r>
        <w:rPr>
          <w:rFonts w:ascii="Arial" w:cs="Arial" w:eastAsia="Arial" w:hAnsi="Arial"/>
          <w:sz w:val="14"/>
          <w:szCs w:val="14"/>
          <w:color w:val="4B4B4B"/>
        </w:rPr>
        <w:t>mpro</w:t>
      </w:r>
      <w:r>
        <w:rPr>
          <w:rFonts w:ascii="Arial" w:cs="Arial" w:eastAsia="Arial" w:hAnsi="Arial"/>
          <w:sz w:val="14"/>
          <w:szCs w:val="14"/>
          <w:color w:val="5B5B5B"/>
        </w:rPr>
        <w:t>ve</w:t>
      </w:r>
      <w:r>
        <w:rPr>
          <w:rFonts w:ascii="Arial" w:cs="Arial" w:eastAsia="Arial" w:hAnsi="Arial"/>
          <w:sz w:val="14"/>
          <w:szCs w:val="14"/>
          <w:color w:val="4B4B4B"/>
        </w:rPr>
        <w:t>men</w:t>
      </w:r>
      <w:r>
        <w:rPr>
          <w:rFonts w:ascii="Arial" w:cs="Arial" w:eastAsia="Arial" w:hAnsi="Arial"/>
          <w:sz w:val="14"/>
          <w:szCs w:val="14"/>
          <w:color w:val="757575"/>
        </w:rPr>
        <w:t>t</w:t>
      </w:r>
      <w:r>
        <w:rPr>
          <w:rFonts w:ascii="Arial" w:cs="Arial" w:eastAsia="Arial" w:hAnsi="Arial"/>
          <w:sz w:val="14"/>
          <w:szCs w:val="14"/>
          <w:color w:val="5B5B5B"/>
        </w:rPr>
        <w:t>s</w:t>
      </w:r>
      <w:r>
        <w:rPr>
          <w:rFonts w:ascii="Arial" w:cs="Arial" w:eastAsia="Arial" w:hAnsi="Arial"/>
          <w:sz w:val="14"/>
          <w:szCs w:val="14"/>
          <w:b w:val="1"/>
          <w:bCs w:val="1"/>
          <w:color w:val="2F2F2F"/>
        </w:rPr>
        <w:t xml:space="preserve"> </w:t>
      </w:r>
      <w:r>
        <w:rPr>
          <w:rFonts w:ascii="Arial" w:cs="Arial" w:eastAsia="Arial" w:hAnsi="Arial"/>
          <w:sz w:val="14"/>
          <w:szCs w:val="14"/>
          <w:color w:val="4B4B4B"/>
        </w:rPr>
        <w:t>me</w:t>
      </w:r>
      <w:r>
        <w:rPr>
          <w:rFonts w:ascii="Arial" w:cs="Arial" w:eastAsia="Arial" w:hAnsi="Arial"/>
          <w:sz w:val="14"/>
          <w:szCs w:val="14"/>
          <w:color w:val="5B5B5B"/>
        </w:rPr>
        <w:t>e</w:t>
      </w:r>
      <w:r>
        <w:rPr>
          <w:rFonts w:ascii="Arial" w:cs="Arial" w:eastAsia="Arial" w:hAnsi="Arial"/>
          <w:sz w:val="14"/>
          <w:szCs w:val="14"/>
          <w:color w:val="4B4B4B"/>
        </w:rPr>
        <w:t>t appl</w:t>
      </w:r>
      <w:r>
        <w:rPr>
          <w:rFonts w:ascii="Arial" w:cs="Arial" w:eastAsia="Arial" w:hAnsi="Arial"/>
          <w:sz w:val="14"/>
          <w:szCs w:val="14"/>
          <w:color w:val="5B5B5B"/>
        </w:rPr>
        <w:t>ica</w:t>
      </w:r>
      <w:r>
        <w:rPr>
          <w:rFonts w:ascii="Arial" w:cs="Arial" w:eastAsia="Arial" w:hAnsi="Arial"/>
          <w:sz w:val="14"/>
          <w:szCs w:val="14"/>
          <w:color w:val="4B4B4B"/>
        </w:rPr>
        <w:t>bl</w:t>
      </w:r>
      <w:r>
        <w:rPr>
          <w:rFonts w:ascii="Arial" w:cs="Arial" w:eastAsia="Arial" w:hAnsi="Arial"/>
          <w:sz w:val="14"/>
          <w:szCs w:val="14"/>
          <w:color w:val="5B5B5B"/>
        </w:rPr>
        <w:t>e A</w:t>
      </w:r>
      <w:r>
        <w:rPr>
          <w:rFonts w:ascii="Arial" w:cs="Arial" w:eastAsia="Arial" w:hAnsi="Arial"/>
          <w:sz w:val="14"/>
          <w:szCs w:val="14"/>
          <w:color w:val="4B4B4B"/>
        </w:rPr>
        <w:t>DA</w:t>
      </w:r>
      <w:r>
        <w:rPr>
          <w:rFonts w:ascii="Arial" w:cs="Arial" w:eastAsia="Arial" w:hAnsi="Arial"/>
          <w:sz w:val="14"/>
          <w:szCs w:val="14"/>
          <w:b w:val="1"/>
          <w:bCs w:val="1"/>
          <w:color w:val="2F2F2F"/>
        </w:rPr>
        <w:t xml:space="preserve"> </w:t>
      </w:r>
      <w:r>
        <w:rPr>
          <w:rFonts w:ascii="Arial" w:cs="Arial" w:eastAsia="Arial" w:hAnsi="Arial"/>
          <w:sz w:val="14"/>
          <w:szCs w:val="14"/>
          <w:color w:val="5B5B5B"/>
        </w:rPr>
        <w:t>re</w:t>
      </w:r>
      <w:r>
        <w:rPr>
          <w:rFonts w:ascii="Arial" w:cs="Arial" w:eastAsia="Arial" w:hAnsi="Arial"/>
          <w:sz w:val="14"/>
          <w:szCs w:val="14"/>
          <w:color w:val="4B4B4B"/>
        </w:rPr>
        <w:t>qu</w:t>
      </w:r>
      <w:r>
        <w:rPr>
          <w:rFonts w:ascii="Arial" w:cs="Arial" w:eastAsia="Arial" w:hAnsi="Arial"/>
          <w:sz w:val="14"/>
          <w:szCs w:val="14"/>
          <w:color w:val="5B5B5B"/>
        </w:rPr>
        <w:t>iremen</w:t>
      </w:r>
      <w:r>
        <w:rPr>
          <w:rFonts w:ascii="Arial" w:cs="Arial" w:eastAsia="Arial" w:hAnsi="Arial"/>
          <w:sz w:val="14"/>
          <w:szCs w:val="14"/>
          <w:color w:val="4B4B4B"/>
        </w:rPr>
        <w:t>t</w:t>
      </w:r>
      <w:r>
        <w:rPr>
          <w:rFonts w:ascii="Arial" w:cs="Arial" w:eastAsia="Arial" w:hAnsi="Arial"/>
          <w:sz w:val="14"/>
          <w:szCs w:val="14"/>
          <w:color w:val="5B5B5B"/>
        </w:rPr>
        <w:t>s</w:t>
      </w:r>
      <w:r>
        <w:rPr>
          <w:rFonts w:ascii="Arial" w:cs="Arial" w:eastAsia="Arial" w:hAnsi="Arial"/>
          <w:sz w:val="14"/>
          <w:szCs w:val="14"/>
          <w:color w:val="757575"/>
        </w:rPr>
        <w:t>.</w:t>
      </w:r>
      <w:r>
        <w:rPr>
          <w:rFonts w:ascii="Arial" w:cs="Arial" w:eastAsia="Arial" w:hAnsi="Arial"/>
          <w:sz w:val="14"/>
          <w:szCs w:val="14"/>
          <w:b w:val="1"/>
          <w:bCs w:val="1"/>
          <w:color w:val="2F2F2F"/>
        </w:rPr>
        <w:t xml:space="preserve"> </w:t>
      </w:r>
      <w:r>
        <w:rPr>
          <w:rFonts w:ascii="Arial" w:cs="Arial" w:eastAsia="Arial" w:hAnsi="Arial"/>
          <w:sz w:val="14"/>
          <w:szCs w:val="14"/>
          <w:color w:val="4B4B4B"/>
        </w:rPr>
        <w:t>I</w:t>
      </w:r>
      <w:r>
        <w:rPr>
          <w:rFonts w:ascii="Arial" w:cs="Arial" w:eastAsia="Arial" w:hAnsi="Arial"/>
          <w:sz w:val="14"/>
          <w:szCs w:val="14"/>
          <w:color w:val="5B5B5B"/>
        </w:rPr>
        <w:t>f</w:t>
      </w:r>
      <w:r>
        <w:rPr>
          <w:rFonts w:ascii="Arial" w:cs="Arial" w:eastAsia="Arial" w:hAnsi="Arial"/>
          <w:sz w:val="14"/>
          <w:szCs w:val="14"/>
          <w:b w:val="1"/>
          <w:bCs w:val="1"/>
          <w:color w:val="2F2F2F"/>
        </w:rPr>
        <w:t xml:space="preserve"> </w:t>
      </w:r>
      <w:r>
        <w:rPr>
          <w:rFonts w:ascii="Arial" w:cs="Arial" w:eastAsia="Arial" w:hAnsi="Arial"/>
          <w:sz w:val="14"/>
          <w:szCs w:val="14"/>
          <w:color w:val="4B4B4B"/>
        </w:rPr>
        <w:t>th</w:t>
      </w:r>
      <w:r>
        <w:rPr>
          <w:rFonts w:ascii="Arial" w:cs="Arial" w:eastAsia="Arial" w:hAnsi="Arial"/>
          <w:sz w:val="14"/>
          <w:szCs w:val="14"/>
          <w:color w:val="5B5B5B"/>
        </w:rPr>
        <w:t>e e</w:t>
      </w:r>
      <w:r>
        <w:rPr>
          <w:rFonts w:ascii="Arial" w:cs="Arial" w:eastAsia="Arial" w:hAnsi="Arial"/>
          <w:sz w:val="14"/>
          <w:szCs w:val="14"/>
          <w:color w:val="4B4B4B"/>
        </w:rPr>
        <w:t>xt</w:t>
      </w:r>
      <w:r>
        <w:rPr>
          <w:rFonts w:ascii="Arial" w:cs="Arial" w:eastAsia="Arial" w:hAnsi="Arial"/>
          <w:sz w:val="14"/>
          <w:szCs w:val="14"/>
          <w:color w:val="5B5B5B"/>
        </w:rPr>
        <w:t>erio</w:t>
      </w:r>
      <w:r>
        <w:rPr>
          <w:rFonts w:ascii="Arial" w:cs="Arial" w:eastAsia="Arial" w:hAnsi="Arial"/>
          <w:sz w:val="14"/>
          <w:szCs w:val="14"/>
          <w:color w:val="4B4B4B"/>
        </w:rPr>
        <w:t>r</w:t>
      </w:r>
    </w:p>
    <w:p>
      <w:pPr>
        <w:spacing w:after="0" w:line="19" w:lineRule="exact"/>
        <w:rPr>
          <w:rFonts w:ascii="Arial" w:cs="Arial" w:eastAsia="Arial" w:hAnsi="Arial"/>
          <w:sz w:val="14"/>
          <w:szCs w:val="14"/>
          <w:color w:val="4B4B4B"/>
        </w:rPr>
      </w:pPr>
    </w:p>
    <w:p>
      <w:pPr>
        <w:ind w:left="660" w:right="60"/>
        <w:spacing w:after="0" w:line="249" w:lineRule="auto"/>
        <w:rPr>
          <w:rFonts w:ascii="Arial" w:cs="Arial" w:eastAsia="Arial" w:hAnsi="Arial"/>
          <w:sz w:val="14"/>
          <w:szCs w:val="14"/>
          <w:color w:val="4B4B4B"/>
        </w:rPr>
      </w:pPr>
      <w:r>
        <w:rPr>
          <w:rFonts w:ascii="Arial" w:cs="Arial" w:eastAsia="Arial" w:hAnsi="Arial"/>
          <w:sz w:val="14"/>
          <w:szCs w:val="14"/>
          <w:color w:val="757575"/>
        </w:rPr>
        <w:t>i</w:t>
      </w:r>
      <w:r>
        <w:rPr>
          <w:rFonts w:ascii="Arial" w:cs="Arial" w:eastAsia="Arial" w:hAnsi="Arial"/>
          <w:sz w:val="14"/>
          <w:szCs w:val="14"/>
          <w:color w:val="5B5B5B"/>
        </w:rPr>
        <w:t>mp</w:t>
      </w:r>
      <w:r>
        <w:rPr>
          <w:rFonts w:ascii="Arial" w:cs="Arial" w:eastAsia="Arial" w:hAnsi="Arial"/>
          <w:sz w:val="14"/>
          <w:szCs w:val="14"/>
          <w:color w:val="4B4B4B"/>
        </w:rPr>
        <w:t>rov</w:t>
      </w:r>
      <w:r>
        <w:rPr>
          <w:rFonts w:ascii="Arial" w:cs="Arial" w:eastAsia="Arial" w:hAnsi="Arial"/>
          <w:sz w:val="14"/>
          <w:szCs w:val="14"/>
          <w:color w:val="5B5B5B"/>
        </w:rPr>
        <w:t>e</w:t>
      </w:r>
      <w:r>
        <w:rPr>
          <w:rFonts w:ascii="Arial" w:cs="Arial" w:eastAsia="Arial" w:hAnsi="Arial"/>
          <w:sz w:val="14"/>
          <w:szCs w:val="14"/>
          <w:color w:val="4B4B4B"/>
        </w:rPr>
        <w:t>me</w:t>
      </w:r>
      <w:r>
        <w:rPr>
          <w:rFonts w:ascii="Arial" w:cs="Arial" w:eastAsia="Arial" w:hAnsi="Arial"/>
          <w:sz w:val="14"/>
          <w:szCs w:val="14"/>
          <w:color w:val="5B5B5B"/>
        </w:rPr>
        <w:t>n</w:t>
      </w:r>
      <w:r>
        <w:rPr>
          <w:rFonts w:ascii="Arial" w:cs="Arial" w:eastAsia="Arial" w:hAnsi="Arial"/>
          <w:sz w:val="14"/>
          <w:szCs w:val="14"/>
          <w:color w:val="4B4B4B"/>
        </w:rPr>
        <w:t>t</w:t>
      </w:r>
      <w:r>
        <w:rPr>
          <w:rFonts w:ascii="Arial" w:cs="Arial" w:eastAsia="Arial" w:hAnsi="Arial"/>
          <w:sz w:val="14"/>
          <w:szCs w:val="14"/>
          <w:color w:val="5B5B5B"/>
        </w:rPr>
        <w:t>s</w:t>
      </w:r>
      <w:r>
        <w:rPr>
          <w:rFonts w:ascii="Arial" w:cs="Arial" w:eastAsia="Arial" w:hAnsi="Arial"/>
          <w:sz w:val="14"/>
          <w:szCs w:val="14"/>
          <w:color w:val="757575"/>
        </w:rPr>
        <w:t xml:space="preserve"> </w:t>
      </w:r>
      <w:r>
        <w:rPr>
          <w:rFonts w:ascii="Arial" w:cs="Arial" w:eastAsia="Arial" w:hAnsi="Arial"/>
          <w:sz w:val="14"/>
          <w:szCs w:val="14"/>
          <w:color w:val="4B4B4B"/>
        </w:rPr>
        <w:t>d</w:t>
      </w:r>
      <w:r>
        <w:rPr>
          <w:rFonts w:ascii="Arial" w:cs="Arial" w:eastAsia="Arial" w:hAnsi="Arial"/>
          <w:sz w:val="14"/>
          <w:szCs w:val="14"/>
          <w:color w:val="5B5B5B"/>
        </w:rPr>
        <w:t>o</w:t>
      </w:r>
      <w:r>
        <w:rPr>
          <w:rFonts w:ascii="Arial" w:cs="Arial" w:eastAsia="Arial" w:hAnsi="Arial"/>
          <w:sz w:val="14"/>
          <w:szCs w:val="14"/>
          <w:color w:val="757575"/>
        </w:rPr>
        <w:t xml:space="preserve"> </w:t>
      </w:r>
      <w:r>
        <w:rPr>
          <w:rFonts w:ascii="Arial" w:cs="Arial" w:eastAsia="Arial" w:hAnsi="Arial"/>
          <w:sz w:val="14"/>
          <w:szCs w:val="14"/>
          <w:color w:val="4B4B4B"/>
        </w:rPr>
        <w:t>not</w:t>
      </w:r>
      <w:r>
        <w:rPr>
          <w:rFonts w:ascii="Arial" w:cs="Arial" w:eastAsia="Arial" w:hAnsi="Arial"/>
          <w:sz w:val="14"/>
          <w:szCs w:val="14"/>
          <w:color w:val="757575"/>
        </w:rPr>
        <w:t xml:space="preserve"> </w:t>
      </w:r>
      <w:r>
        <w:rPr>
          <w:rFonts w:ascii="Arial" w:cs="Arial" w:eastAsia="Arial" w:hAnsi="Arial"/>
          <w:sz w:val="14"/>
          <w:szCs w:val="14"/>
          <w:color w:val="5B5B5B"/>
        </w:rPr>
        <w:t>comp</w:t>
      </w:r>
      <w:r>
        <w:rPr>
          <w:rFonts w:ascii="Arial" w:cs="Arial" w:eastAsia="Arial" w:hAnsi="Arial"/>
          <w:sz w:val="14"/>
          <w:szCs w:val="14"/>
          <w:color w:val="2F2F2F"/>
        </w:rPr>
        <w:t>l</w:t>
      </w:r>
      <w:r>
        <w:rPr>
          <w:rFonts w:ascii="Arial" w:cs="Arial" w:eastAsia="Arial" w:hAnsi="Arial"/>
          <w:sz w:val="14"/>
          <w:szCs w:val="14"/>
          <w:color w:val="5B5B5B"/>
        </w:rPr>
        <w:t>y wi</w:t>
      </w:r>
      <w:r>
        <w:rPr>
          <w:rFonts w:ascii="Arial" w:cs="Arial" w:eastAsia="Arial" w:hAnsi="Arial"/>
          <w:sz w:val="14"/>
          <w:szCs w:val="14"/>
          <w:color w:val="757575"/>
        </w:rPr>
        <w:t>t</w:t>
      </w:r>
      <w:r>
        <w:rPr>
          <w:rFonts w:ascii="Arial" w:cs="Arial" w:eastAsia="Arial" w:hAnsi="Arial"/>
          <w:sz w:val="14"/>
          <w:szCs w:val="14"/>
          <w:color w:val="5B5B5B"/>
        </w:rPr>
        <w:t>h sa</w:t>
      </w:r>
      <w:r>
        <w:rPr>
          <w:rFonts w:ascii="Arial" w:cs="Arial" w:eastAsia="Arial" w:hAnsi="Arial"/>
          <w:sz w:val="14"/>
          <w:szCs w:val="14"/>
          <w:color w:val="4B4B4B"/>
        </w:rPr>
        <w:t>id</w:t>
      </w:r>
      <w:r>
        <w:rPr>
          <w:rFonts w:ascii="Arial" w:cs="Arial" w:eastAsia="Arial" w:hAnsi="Arial"/>
          <w:sz w:val="14"/>
          <w:szCs w:val="14"/>
          <w:color w:val="757575"/>
        </w:rPr>
        <w:t xml:space="preserve"> </w:t>
      </w:r>
      <w:r>
        <w:rPr>
          <w:rFonts w:ascii="Arial" w:cs="Arial" w:eastAsia="Arial" w:hAnsi="Arial"/>
          <w:sz w:val="14"/>
          <w:szCs w:val="14"/>
          <w:color w:val="5B5B5B"/>
        </w:rPr>
        <w:t>warr</w:t>
      </w:r>
      <w:r>
        <w:rPr>
          <w:rFonts w:ascii="Arial" w:cs="Arial" w:eastAsia="Arial" w:hAnsi="Arial"/>
          <w:sz w:val="14"/>
          <w:szCs w:val="14"/>
          <w:color w:val="4B4B4B"/>
        </w:rPr>
        <w:t>ant</w:t>
      </w:r>
      <w:r>
        <w:rPr>
          <w:rFonts w:ascii="Arial" w:cs="Arial" w:eastAsia="Arial" w:hAnsi="Arial"/>
          <w:sz w:val="14"/>
          <w:szCs w:val="14"/>
          <w:color w:val="5B5B5B"/>
        </w:rPr>
        <w:t>y</w:t>
      </w:r>
      <w:r>
        <w:rPr>
          <w:rFonts w:ascii="Arial" w:cs="Arial" w:eastAsia="Arial" w:hAnsi="Arial"/>
          <w:sz w:val="14"/>
          <w:szCs w:val="14"/>
          <w:color w:val="878787"/>
        </w:rPr>
        <w:t>,</w:t>
      </w:r>
      <w:r>
        <w:rPr>
          <w:rFonts w:ascii="Arial" w:cs="Arial" w:eastAsia="Arial" w:hAnsi="Arial"/>
          <w:sz w:val="14"/>
          <w:szCs w:val="14"/>
          <w:color w:val="757575"/>
        </w:rPr>
        <w:t xml:space="preserve"> </w:t>
      </w:r>
      <w:r>
        <w:rPr>
          <w:rFonts w:ascii="Arial" w:cs="Arial" w:eastAsia="Arial" w:hAnsi="Arial"/>
          <w:sz w:val="14"/>
          <w:szCs w:val="14"/>
          <w:color w:val="5B5B5B"/>
        </w:rPr>
        <w:t>Le</w:t>
      </w:r>
      <w:r>
        <w:rPr>
          <w:rFonts w:ascii="Arial" w:cs="Arial" w:eastAsia="Arial" w:hAnsi="Arial"/>
          <w:sz w:val="14"/>
          <w:szCs w:val="14"/>
          <w:color w:val="4B4B4B"/>
        </w:rPr>
        <w:t>s</w:t>
      </w:r>
      <w:r>
        <w:rPr>
          <w:rFonts w:ascii="Arial" w:cs="Arial" w:eastAsia="Arial" w:hAnsi="Arial"/>
          <w:sz w:val="14"/>
          <w:szCs w:val="14"/>
          <w:color w:val="5B5B5B"/>
        </w:rPr>
        <w:t>sor sha</w:t>
      </w:r>
      <w:r>
        <w:rPr>
          <w:rFonts w:ascii="Arial" w:cs="Arial" w:eastAsia="Arial" w:hAnsi="Arial"/>
          <w:sz w:val="14"/>
          <w:szCs w:val="14"/>
          <w:color w:val="4B4B4B"/>
        </w:rPr>
        <w:t>ll</w:t>
      </w:r>
      <w:r>
        <w:rPr>
          <w:rFonts w:ascii="Arial" w:cs="Arial" w:eastAsia="Arial" w:hAnsi="Arial"/>
          <w:sz w:val="14"/>
          <w:szCs w:val="14"/>
          <w:color w:val="878787"/>
        </w:rPr>
        <w:t>,</w:t>
      </w:r>
      <w:r>
        <w:rPr>
          <w:rFonts w:ascii="Arial" w:cs="Arial" w:eastAsia="Arial" w:hAnsi="Arial"/>
          <w:sz w:val="14"/>
          <w:szCs w:val="14"/>
          <w:color w:val="757575"/>
        </w:rPr>
        <w:t xml:space="preserve"> </w:t>
      </w:r>
      <w:r>
        <w:rPr>
          <w:rFonts w:ascii="Arial" w:cs="Arial" w:eastAsia="Arial" w:hAnsi="Arial"/>
          <w:sz w:val="14"/>
          <w:szCs w:val="14"/>
          <w:color w:val="5B5B5B"/>
        </w:rPr>
        <w:t>except</w:t>
      </w:r>
      <w:r>
        <w:rPr>
          <w:rFonts w:ascii="Arial" w:cs="Arial" w:eastAsia="Arial" w:hAnsi="Arial"/>
          <w:sz w:val="14"/>
          <w:szCs w:val="14"/>
          <w:color w:val="757575"/>
        </w:rPr>
        <w:t xml:space="preserve"> </w:t>
      </w:r>
      <w:r>
        <w:rPr>
          <w:rFonts w:ascii="Arial" w:cs="Arial" w:eastAsia="Arial" w:hAnsi="Arial"/>
          <w:sz w:val="14"/>
          <w:szCs w:val="14"/>
          <w:color w:val="4B4B4B"/>
        </w:rPr>
        <w:t>a</w:t>
      </w:r>
      <w:r>
        <w:rPr>
          <w:rFonts w:ascii="Arial" w:cs="Arial" w:eastAsia="Arial" w:hAnsi="Arial"/>
          <w:sz w:val="14"/>
          <w:szCs w:val="14"/>
          <w:color w:val="5B5B5B"/>
        </w:rPr>
        <w:t>s otherwis</w:t>
      </w:r>
      <w:r>
        <w:rPr>
          <w:rFonts w:ascii="Arial" w:cs="Arial" w:eastAsia="Arial" w:hAnsi="Arial"/>
          <w:sz w:val="14"/>
          <w:szCs w:val="14"/>
          <w:color w:val="4B4B4B"/>
        </w:rPr>
        <w:t>e p</w:t>
      </w:r>
      <w:r>
        <w:rPr>
          <w:rFonts w:ascii="Arial" w:cs="Arial" w:eastAsia="Arial" w:hAnsi="Arial"/>
          <w:sz w:val="14"/>
          <w:szCs w:val="14"/>
          <w:color w:val="5B5B5B"/>
        </w:rPr>
        <w:t>rovi</w:t>
      </w:r>
      <w:r>
        <w:rPr>
          <w:rFonts w:ascii="Arial" w:cs="Arial" w:eastAsia="Arial" w:hAnsi="Arial"/>
          <w:sz w:val="14"/>
          <w:szCs w:val="14"/>
          <w:color w:val="4B4B4B"/>
        </w:rPr>
        <w:t>de</w:t>
      </w:r>
      <w:r>
        <w:rPr>
          <w:rFonts w:ascii="Arial" w:cs="Arial" w:eastAsia="Arial" w:hAnsi="Arial"/>
          <w:sz w:val="14"/>
          <w:szCs w:val="14"/>
          <w:color w:val="5B5B5B"/>
        </w:rPr>
        <w:t>d in</w:t>
      </w:r>
      <w:r>
        <w:rPr>
          <w:rFonts w:ascii="Arial" w:cs="Arial" w:eastAsia="Arial" w:hAnsi="Arial"/>
          <w:sz w:val="14"/>
          <w:szCs w:val="14"/>
          <w:color w:val="757575"/>
        </w:rPr>
        <w:t xml:space="preserve"> </w:t>
      </w:r>
      <w:r>
        <w:rPr>
          <w:rFonts w:ascii="Arial" w:cs="Arial" w:eastAsia="Arial" w:hAnsi="Arial"/>
          <w:sz w:val="14"/>
          <w:szCs w:val="14"/>
          <w:color w:val="4B4B4B"/>
        </w:rPr>
        <w:t>th</w:t>
      </w:r>
      <w:r>
        <w:rPr>
          <w:rFonts w:ascii="Arial" w:cs="Arial" w:eastAsia="Arial" w:hAnsi="Arial"/>
          <w:sz w:val="14"/>
          <w:szCs w:val="14"/>
          <w:color w:val="5B5B5B"/>
        </w:rPr>
        <w:t>e Lease</w:t>
      </w:r>
      <w:r>
        <w:rPr>
          <w:rFonts w:ascii="Arial" w:cs="Arial" w:eastAsia="Arial" w:hAnsi="Arial"/>
          <w:sz w:val="14"/>
          <w:szCs w:val="14"/>
          <w:color w:val="878787"/>
        </w:rPr>
        <w:t>,</w:t>
      </w:r>
      <w:r>
        <w:rPr>
          <w:rFonts w:ascii="Arial" w:cs="Arial" w:eastAsia="Arial" w:hAnsi="Arial"/>
          <w:sz w:val="14"/>
          <w:szCs w:val="14"/>
          <w:color w:val="757575"/>
        </w:rPr>
        <w:t xml:space="preserve"> </w:t>
      </w:r>
      <w:r>
        <w:rPr>
          <w:rFonts w:ascii="Arial" w:cs="Arial" w:eastAsia="Arial" w:hAnsi="Arial"/>
          <w:sz w:val="14"/>
          <w:szCs w:val="14"/>
          <w:color w:val="5B5B5B"/>
        </w:rPr>
        <w:t>prom</w:t>
      </w:r>
      <w:r>
        <w:rPr>
          <w:rFonts w:ascii="Arial" w:cs="Arial" w:eastAsia="Arial" w:hAnsi="Arial"/>
          <w:sz w:val="14"/>
          <w:szCs w:val="14"/>
          <w:color w:val="4B4B4B"/>
        </w:rPr>
        <w:t>ptly</w:t>
      </w:r>
      <w:r>
        <w:rPr>
          <w:rFonts w:ascii="Arial" w:cs="Arial" w:eastAsia="Arial" w:hAnsi="Arial"/>
          <w:sz w:val="14"/>
          <w:szCs w:val="14"/>
          <w:color w:val="757575"/>
        </w:rPr>
        <w:t xml:space="preserve"> </w:t>
      </w:r>
      <w:r>
        <w:rPr>
          <w:rFonts w:ascii="Arial" w:cs="Arial" w:eastAsia="Arial" w:hAnsi="Arial"/>
          <w:sz w:val="14"/>
          <w:szCs w:val="14"/>
          <w:color w:val="5B5B5B"/>
        </w:rPr>
        <w:t>afte</w:t>
      </w:r>
      <w:r>
        <w:rPr>
          <w:rFonts w:ascii="Arial" w:cs="Arial" w:eastAsia="Arial" w:hAnsi="Arial"/>
          <w:sz w:val="14"/>
          <w:szCs w:val="14"/>
          <w:color w:val="757575"/>
        </w:rPr>
        <w:t xml:space="preserve">r </w:t>
      </w:r>
      <w:r>
        <w:rPr>
          <w:rFonts w:ascii="Arial" w:cs="Arial" w:eastAsia="Arial" w:hAnsi="Arial"/>
          <w:sz w:val="14"/>
          <w:szCs w:val="14"/>
          <w:color w:val="5B5B5B"/>
        </w:rPr>
        <w:t>receipt of writt</w:t>
      </w:r>
      <w:r>
        <w:rPr>
          <w:rFonts w:ascii="Arial" w:cs="Arial" w:eastAsia="Arial" w:hAnsi="Arial"/>
          <w:sz w:val="14"/>
          <w:szCs w:val="14"/>
          <w:color w:val="4B4B4B"/>
        </w:rPr>
        <w:t>e</w:t>
      </w:r>
      <w:r>
        <w:rPr>
          <w:rFonts w:ascii="Arial" w:cs="Arial" w:eastAsia="Arial" w:hAnsi="Arial"/>
          <w:sz w:val="14"/>
          <w:szCs w:val="14"/>
          <w:color w:val="5B5B5B"/>
        </w:rPr>
        <w:t>n notice</w:t>
      </w:r>
      <w:r>
        <w:rPr>
          <w:rFonts w:ascii="Arial" w:cs="Arial" w:eastAsia="Arial" w:hAnsi="Arial"/>
          <w:sz w:val="14"/>
          <w:szCs w:val="14"/>
          <w:color w:val="757575"/>
        </w:rPr>
        <w:t xml:space="preserve"> fr</w:t>
      </w:r>
      <w:r>
        <w:rPr>
          <w:rFonts w:ascii="Arial" w:cs="Arial" w:eastAsia="Arial" w:hAnsi="Arial"/>
          <w:sz w:val="14"/>
          <w:szCs w:val="14"/>
          <w:color w:val="5B5B5B"/>
        </w:rPr>
        <w:t>om</w:t>
      </w:r>
      <w:r>
        <w:rPr>
          <w:rFonts w:ascii="Arial" w:cs="Arial" w:eastAsia="Arial" w:hAnsi="Arial"/>
          <w:sz w:val="14"/>
          <w:szCs w:val="14"/>
          <w:color w:val="757575"/>
        </w:rPr>
        <w:t xml:space="preserve"> L</w:t>
      </w:r>
      <w:r>
        <w:rPr>
          <w:rFonts w:ascii="Arial" w:cs="Arial" w:eastAsia="Arial" w:hAnsi="Arial"/>
          <w:sz w:val="14"/>
          <w:szCs w:val="14"/>
          <w:color w:val="5B5B5B"/>
        </w:rPr>
        <w:t>essee s</w:t>
      </w:r>
      <w:r>
        <w:rPr>
          <w:rFonts w:ascii="Arial" w:cs="Arial" w:eastAsia="Arial" w:hAnsi="Arial"/>
          <w:sz w:val="14"/>
          <w:szCs w:val="14"/>
          <w:color w:val="4B4B4B"/>
        </w:rPr>
        <w:t>e</w:t>
      </w:r>
      <w:r>
        <w:rPr>
          <w:rFonts w:ascii="Arial" w:cs="Arial" w:eastAsia="Arial" w:hAnsi="Arial"/>
          <w:sz w:val="14"/>
          <w:szCs w:val="14"/>
          <w:color w:val="5B5B5B"/>
        </w:rPr>
        <w:t>tti</w:t>
      </w:r>
      <w:r>
        <w:rPr>
          <w:rFonts w:ascii="Arial" w:cs="Arial" w:eastAsia="Arial" w:hAnsi="Arial"/>
          <w:sz w:val="14"/>
          <w:szCs w:val="14"/>
          <w:color w:val="4B4B4B"/>
        </w:rPr>
        <w:t>n</w:t>
      </w:r>
      <w:r>
        <w:rPr>
          <w:rFonts w:ascii="Arial" w:cs="Arial" w:eastAsia="Arial" w:hAnsi="Arial"/>
          <w:sz w:val="14"/>
          <w:szCs w:val="14"/>
          <w:color w:val="5B5B5B"/>
        </w:rPr>
        <w:t>g fort</w:t>
      </w:r>
      <w:r>
        <w:rPr>
          <w:rFonts w:ascii="Arial" w:cs="Arial" w:eastAsia="Arial" w:hAnsi="Arial"/>
          <w:sz w:val="14"/>
          <w:szCs w:val="14"/>
          <w:color w:val="4B4B4B"/>
        </w:rPr>
        <w:t>h</w:t>
      </w:r>
      <w:r>
        <w:rPr>
          <w:rFonts w:ascii="Arial" w:cs="Arial" w:eastAsia="Arial" w:hAnsi="Arial"/>
          <w:sz w:val="14"/>
          <w:szCs w:val="14"/>
          <w:color w:val="757575"/>
        </w:rPr>
        <w:t xml:space="preserve"> </w:t>
      </w:r>
      <w:r>
        <w:rPr>
          <w:rFonts w:ascii="Arial" w:cs="Arial" w:eastAsia="Arial" w:hAnsi="Arial"/>
          <w:sz w:val="14"/>
          <w:szCs w:val="14"/>
          <w:color w:val="5B5B5B"/>
        </w:rPr>
        <w:t>with specificity th</w:t>
      </w:r>
      <w:r>
        <w:rPr>
          <w:rFonts w:ascii="Arial" w:cs="Arial" w:eastAsia="Arial" w:hAnsi="Arial"/>
          <w:sz w:val="14"/>
          <w:szCs w:val="14"/>
          <w:color w:val="4B4B4B"/>
        </w:rPr>
        <w:t>e na</w:t>
      </w:r>
      <w:r>
        <w:rPr>
          <w:rFonts w:ascii="Arial" w:cs="Arial" w:eastAsia="Arial" w:hAnsi="Arial"/>
          <w:sz w:val="14"/>
          <w:szCs w:val="14"/>
          <w:color w:val="5B5B5B"/>
        </w:rPr>
        <w:t>tur</w:t>
      </w:r>
      <w:r>
        <w:rPr>
          <w:rFonts w:ascii="Arial" w:cs="Arial" w:eastAsia="Arial" w:hAnsi="Arial"/>
          <w:sz w:val="14"/>
          <w:szCs w:val="14"/>
          <w:color w:val="4B4B4B"/>
        </w:rPr>
        <w:t>e a</w:t>
      </w:r>
      <w:r>
        <w:rPr>
          <w:rFonts w:ascii="Arial" w:cs="Arial" w:eastAsia="Arial" w:hAnsi="Arial"/>
          <w:sz w:val="14"/>
          <w:szCs w:val="14"/>
          <w:color w:val="5B5B5B"/>
        </w:rPr>
        <w:t>n</w:t>
      </w:r>
      <w:r>
        <w:rPr>
          <w:rFonts w:ascii="Arial" w:cs="Arial" w:eastAsia="Arial" w:hAnsi="Arial"/>
          <w:sz w:val="14"/>
          <w:szCs w:val="14"/>
          <w:color w:val="4B4B4B"/>
        </w:rPr>
        <w:t>d e</w:t>
      </w:r>
      <w:r>
        <w:rPr>
          <w:rFonts w:ascii="Arial" w:cs="Arial" w:eastAsia="Arial" w:hAnsi="Arial"/>
          <w:sz w:val="14"/>
          <w:szCs w:val="14"/>
          <w:color w:val="5B5B5B"/>
        </w:rPr>
        <w:t>xten</w:t>
      </w:r>
      <w:r>
        <w:rPr>
          <w:rFonts w:ascii="Arial" w:cs="Arial" w:eastAsia="Arial" w:hAnsi="Arial"/>
          <w:sz w:val="14"/>
          <w:szCs w:val="14"/>
          <w:color w:val="4B4B4B"/>
        </w:rPr>
        <w:t>t</w:t>
      </w:r>
      <w:r>
        <w:rPr>
          <w:rFonts w:ascii="Arial" w:cs="Arial" w:eastAsia="Arial" w:hAnsi="Arial"/>
          <w:sz w:val="14"/>
          <w:szCs w:val="14"/>
          <w:color w:val="757575"/>
        </w:rPr>
        <w:t xml:space="preserve"> </w:t>
      </w:r>
      <w:r>
        <w:rPr>
          <w:rFonts w:ascii="Arial" w:cs="Arial" w:eastAsia="Arial" w:hAnsi="Arial"/>
          <w:sz w:val="14"/>
          <w:szCs w:val="14"/>
          <w:color w:val="5B5B5B"/>
        </w:rPr>
        <w:t>of such non co</w:t>
      </w:r>
      <w:r>
        <w:rPr>
          <w:rFonts w:ascii="Arial" w:cs="Arial" w:eastAsia="Arial" w:hAnsi="Arial"/>
          <w:sz w:val="14"/>
          <w:szCs w:val="14"/>
          <w:color w:val="4B4B4B"/>
        </w:rPr>
        <w:t>mpl</w:t>
      </w:r>
      <w:r>
        <w:rPr>
          <w:rFonts w:ascii="Arial" w:cs="Arial" w:eastAsia="Arial" w:hAnsi="Arial"/>
          <w:sz w:val="14"/>
          <w:szCs w:val="14"/>
          <w:color w:val="5B5B5B"/>
        </w:rPr>
        <w:t>iance, rectify the s</w:t>
      </w:r>
      <w:r>
        <w:rPr>
          <w:rFonts w:ascii="Arial" w:cs="Arial" w:eastAsia="Arial" w:hAnsi="Arial"/>
          <w:sz w:val="14"/>
          <w:szCs w:val="14"/>
          <w:color w:val="4B4B4B"/>
        </w:rPr>
        <w:t>a</w:t>
      </w:r>
      <w:r>
        <w:rPr>
          <w:rFonts w:ascii="Arial" w:cs="Arial" w:eastAsia="Arial" w:hAnsi="Arial"/>
          <w:sz w:val="14"/>
          <w:szCs w:val="14"/>
          <w:color w:val="5B5B5B"/>
        </w:rPr>
        <w:t>me a</w:t>
      </w:r>
      <w:r>
        <w:rPr>
          <w:rFonts w:ascii="Arial" w:cs="Arial" w:eastAsia="Arial" w:hAnsi="Arial"/>
          <w:sz w:val="14"/>
          <w:szCs w:val="14"/>
          <w:color w:val="757575"/>
        </w:rPr>
        <w:t xml:space="preserve">t </w:t>
      </w:r>
      <w:r>
        <w:rPr>
          <w:rFonts w:ascii="Arial" w:cs="Arial" w:eastAsia="Arial" w:hAnsi="Arial"/>
          <w:sz w:val="14"/>
          <w:szCs w:val="14"/>
          <w:color w:val="5B5B5B"/>
        </w:rPr>
        <w:t>Less</w:t>
      </w:r>
      <w:r>
        <w:rPr>
          <w:rFonts w:ascii="Arial" w:cs="Arial" w:eastAsia="Arial" w:hAnsi="Arial"/>
          <w:sz w:val="14"/>
          <w:szCs w:val="14"/>
          <w:color w:val="4B4B4B"/>
        </w:rPr>
        <w:t>o</w:t>
      </w:r>
      <w:r>
        <w:rPr>
          <w:rFonts w:ascii="Arial" w:cs="Arial" w:eastAsia="Arial" w:hAnsi="Arial"/>
          <w:sz w:val="14"/>
          <w:szCs w:val="14"/>
          <w:color w:val="757575"/>
        </w:rPr>
        <w:t>r</w:t>
      </w:r>
      <w:r>
        <w:rPr>
          <w:rFonts w:ascii="Arial" w:cs="Arial" w:eastAsia="Arial" w:hAnsi="Arial"/>
          <w:sz w:val="14"/>
          <w:szCs w:val="14"/>
          <w:color w:val="878787"/>
        </w:rPr>
        <w:t>'</w:t>
      </w:r>
      <w:r>
        <w:rPr>
          <w:rFonts w:ascii="Arial" w:cs="Arial" w:eastAsia="Arial" w:hAnsi="Arial"/>
          <w:sz w:val="14"/>
          <w:szCs w:val="14"/>
          <w:color w:val="5B5B5B"/>
        </w:rPr>
        <w:t>s expe</w:t>
      </w:r>
      <w:r>
        <w:rPr>
          <w:rFonts w:ascii="Arial" w:cs="Arial" w:eastAsia="Arial" w:hAnsi="Arial"/>
          <w:sz w:val="14"/>
          <w:szCs w:val="14"/>
          <w:color w:val="4B4B4B"/>
        </w:rPr>
        <w:t>n</w:t>
      </w:r>
      <w:r>
        <w:rPr>
          <w:rFonts w:ascii="Arial" w:cs="Arial" w:eastAsia="Arial" w:hAnsi="Arial"/>
          <w:sz w:val="14"/>
          <w:szCs w:val="14"/>
          <w:color w:val="5B5B5B"/>
        </w:rPr>
        <w:t>se</w:t>
      </w:r>
      <w:r>
        <w:rPr>
          <w:rFonts w:ascii="Arial" w:cs="Arial" w:eastAsia="Arial" w:hAnsi="Arial"/>
          <w:sz w:val="14"/>
          <w:szCs w:val="14"/>
          <w:color w:val="878787"/>
        </w:rPr>
        <w:t>.</w:t>
      </w:r>
      <w:r>
        <w:rPr>
          <w:rFonts w:ascii="Arial" w:cs="Arial" w:eastAsia="Arial" w:hAnsi="Arial"/>
          <w:sz w:val="14"/>
          <w:szCs w:val="14"/>
          <w:color w:val="757575"/>
        </w:rPr>
        <w:t xml:space="preserve"> </w:t>
      </w:r>
      <w:r>
        <w:rPr>
          <w:rFonts w:ascii="Arial" w:cs="Arial" w:eastAsia="Arial" w:hAnsi="Arial"/>
          <w:sz w:val="14"/>
          <w:szCs w:val="14"/>
          <w:color w:val="4B4B4B"/>
        </w:rPr>
        <w:t>If</w:t>
      </w:r>
      <w:r>
        <w:rPr>
          <w:rFonts w:ascii="Arial" w:cs="Arial" w:eastAsia="Arial" w:hAnsi="Arial"/>
          <w:sz w:val="14"/>
          <w:szCs w:val="14"/>
          <w:color w:val="757575"/>
        </w:rPr>
        <w:t xml:space="preserve"> </w:t>
      </w:r>
      <w:r>
        <w:rPr>
          <w:rFonts w:ascii="Arial" w:cs="Arial" w:eastAsia="Arial" w:hAnsi="Arial"/>
          <w:sz w:val="14"/>
          <w:szCs w:val="14"/>
          <w:color w:val="5B5B5B"/>
        </w:rPr>
        <w:t>Less</w:t>
      </w:r>
      <w:r>
        <w:rPr>
          <w:rFonts w:ascii="Arial" w:cs="Arial" w:eastAsia="Arial" w:hAnsi="Arial"/>
          <w:sz w:val="14"/>
          <w:szCs w:val="14"/>
          <w:color w:val="4B4B4B"/>
        </w:rPr>
        <w:t>ee doe</w:t>
      </w:r>
      <w:r>
        <w:rPr>
          <w:rFonts w:ascii="Arial" w:cs="Arial" w:eastAsia="Arial" w:hAnsi="Arial"/>
          <w:sz w:val="14"/>
          <w:szCs w:val="14"/>
          <w:color w:val="5B5B5B"/>
        </w:rPr>
        <w:t>s</w:t>
      </w:r>
      <w:r>
        <w:rPr>
          <w:rFonts w:ascii="Arial" w:cs="Arial" w:eastAsia="Arial" w:hAnsi="Arial"/>
          <w:sz w:val="14"/>
          <w:szCs w:val="14"/>
          <w:color w:val="757575"/>
        </w:rPr>
        <w:t xml:space="preserve"> </w:t>
      </w:r>
      <w:r>
        <w:rPr>
          <w:rFonts w:ascii="Arial" w:cs="Arial" w:eastAsia="Arial" w:hAnsi="Arial"/>
          <w:sz w:val="14"/>
          <w:szCs w:val="14"/>
          <w:color w:val="4B4B4B"/>
        </w:rPr>
        <w:t>n</w:t>
      </w:r>
      <w:r>
        <w:rPr>
          <w:rFonts w:ascii="Arial" w:cs="Arial" w:eastAsia="Arial" w:hAnsi="Arial"/>
          <w:sz w:val="14"/>
          <w:szCs w:val="14"/>
          <w:color w:val="5B5B5B"/>
        </w:rPr>
        <w:t>ot g</w:t>
      </w:r>
      <w:r>
        <w:rPr>
          <w:rFonts w:ascii="Arial" w:cs="Arial" w:eastAsia="Arial" w:hAnsi="Arial"/>
          <w:sz w:val="14"/>
          <w:szCs w:val="14"/>
          <w:color w:val="4B4B4B"/>
        </w:rPr>
        <w:t>ive L</w:t>
      </w:r>
      <w:r>
        <w:rPr>
          <w:rFonts w:ascii="Arial" w:cs="Arial" w:eastAsia="Arial" w:hAnsi="Arial"/>
          <w:sz w:val="14"/>
          <w:szCs w:val="14"/>
          <w:color w:val="5B5B5B"/>
        </w:rPr>
        <w:t>esso</w:t>
      </w:r>
      <w:r>
        <w:rPr>
          <w:rFonts w:ascii="Arial" w:cs="Arial" w:eastAsia="Arial" w:hAnsi="Arial"/>
          <w:sz w:val="14"/>
          <w:szCs w:val="14"/>
          <w:color w:val="4B4B4B"/>
        </w:rPr>
        <w:t>r</w:t>
      </w:r>
      <w:r>
        <w:rPr>
          <w:rFonts w:ascii="Arial" w:cs="Arial" w:eastAsia="Arial" w:hAnsi="Arial"/>
          <w:sz w:val="14"/>
          <w:szCs w:val="14"/>
          <w:color w:val="757575"/>
        </w:rPr>
        <w:t xml:space="preserve"> </w:t>
      </w:r>
      <w:r>
        <w:rPr>
          <w:rFonts w:ascii="Arial" w:cs="Arial" w:eastAsia="Arial" w:hAnsi="Arial"/>
          <w:sz w:val="14"/>
          <w:szCs w:val="14"/>
          <w:color w:val="4B4B4B"/>
        </w:rPr>
        <w:t>wri</w:t>
      </w:r>
      <w:r>
        <w:rPr>
          <w:rFonts w:ascii="Arial" w:cs="Arial" w:eastAsia="Arial" w:hAnsi="Arial"/>
          <w:sz w:val="14"/>
          <w:szCs w:val="14"/>
          <w:color w:val="5B5B5B"/>
        </w:rPr>
        <w:t>tte</w:t>
      </w:r>
      <w:r>
        <w:rPr>
          <w:rFonts w:ascii="Arial" w:cs="Arial" w:eastAsia="Arial" w:hAnsi="Arial"/>
          <w:sz w:val="14"/>
          <w:szCs w:val="14"/>
          <w:color w:val="4B4B4B"/>
        </w:rPr>
        <w:t>n n</w:t>
      </w:r>
      <w:r>
        <w:rPr>
          <w:rFonts w:ascii="Arial" w:cs="Arial" w:eastAsia="Arial" w:hAnsi="Arial"/>
          <w:sz w:val="14"/>
          <w:szCs w:val="14"/>
          <w:color w:val="5B5B5B"/>
        </w:rPr>
        <w:t>o</w:t>
      </w:r>
      <w:r>
        <w:rPr>
          <w:rFonts w:ascii="Arial" w:cs="Arial" w:eastAsia="Arial" w:hAnsi="Arial"/>
          <w:sz w:val="14"/>
          <w:szCs w:val="14"/>
          <w:color w:val="4B4B4B"/>
        </w:rPr>
        <w:t>ti</w:t>
      </w:r>
      <w:r>
        <w:rPr>
          <w:rFonts w:ascii="Arial" w:cs="Arial" w:eastAsia="Arial" w:hAnsi="Arial"/>
          <w:sz w:val="14"/>
          <w:szCs w:val="14"/>
          <w:color w:val="5B5B5B"/>
        </w:rPr>
        <w:t>c</w:t>
      </w:r>
      <w:r>
        <w:rPr>
          <w:rFonts w:ascii="Arial" w:cs="Arial" w:eastAsia="Arial" w:hAnsi="Arial"/>
          <w:sz w:val="14"/>
          <w:szCs w:val="14"/>
          <w:color w:val="4B4B4B"/>
        </w:rPr>
        <w:t xml:space="preserve">e </w:t>
      </w:r>
      <w:r>
        <w:rPr>
          <w:rFonts w:ascii="Arial" w:cs="Arial" w:eastAsia="Arial" w:hAnsi="Arial"/>
          <w:sz w:val="14"/>
          <w:szCs w:val="14"/>
          <w:color w:val="5B5B5B"/>
        </w:rPr>
        <w:t>o</w:t>
      </w:r>
      <w:r>
        <w:rPr>
          <w:rFonts w:ascii="Arial" w:cs="Arial" w:eastAsia="Arial" w:hAnsi="Arial"/>
          <w:sz w:val="14"/>
          <w:szCs w:val="14"/>
          <w:color w:val="4B4B4B"/>
        </w:rPr>
        <w:t>f</w:t>
      </w:r>
    </w:p>
    <w:p>
      <w:pPr>
        <w:sectPr>
          <w:pgSz w:w="11900" w:h="16838" w:orient="portrait"/>
          <w:cols w:equalWidth="0" w:num="1">
            <w:col w:w="10320"/>
          </w:cols>
          <w:pgMar w:left="1240" w:top="768" w:right="339" w:bottom="1440" w:gutter="0" w:footer="0" w:header="0"/>
          <w:type w:val="continuous"/>
        </w:sectPr>
      </w:pPr>
    </w:p>
    <w:bookmarkStart w:id="137" w:name="page138"/>
    <w:bookmarkEnd w:id="137"/>
    <w:p>
      <w:pPr>
        <w:ind w:left="640" w:right="200"/>
        <w:spacing w:after="0" w:line="258" w:lineRule="auto"/>
        <w:rPr>
          <w:sz w:val="20"/>
          <w:szCs w:val="20"/>
          <w:color w:val="auto"/>
        </w:rPr>
      </w:pPr>
      <w:r>
        <w:rPr>
          <w:rFonts w:ascii="Arial" w:cs="Arial" w:eastAsia="Arial" w:hAnsi="Arial"/>
          <w:sz w:val="14"/>
          <w:szCs w:val="14"/>
          <w:color w:val="5B5B5B"/>
        </w:rPr>
        <w:t>no</w:t>
      </w:r>
      <w:r>
        <w:rPr>
          <w:rFonts w:ascii="Arial" w:cs="Arial" w:eastAsia="Arial" w:hAnsi="Arial"/>
          <w:sz w:val="14"/>
          <w:szCs w:val="14"/>
          <w:color w:val="4B4B4B"/>
        </w:rPr>
        <w:t>n</w:t>
      </w:r>
      <w:r>
        <w:rPr>
          <w:rFonts w:ascii="Arial" w:cs="Arial" w:eastAsia="Arial" w:hAnsi="Arial"/>
          <w:sz w:val="14"/>
          <w:szCs w:val="14"/>
          <w:color w:val="5B5B5B"/>
        </w:rPr>
        <w:t>-co</w:t>
      </w:r>
      <w:r>
        <w:rPr>
          <w:rFonts w:ascii="Arial" w:cs="Arial" w:eastAsia="Arial" w:hAnsi="Arial"/>
          <w:sz w:val="14"/>
          <w:szCs w:val="14"/>
          <w:color w:val="4B4B4B"/>
        </w:rPr>
        <w:t>mp</w:t>
      </w:r>
      <w:r>
        <w:rPr>
          <w:rFonts w:ascii="Arial" w:cs="Arial" w:eastAsia="Arial" w:hAnsi="Arial"/>
          <w:sz w:val="14"/>
          <w:szCs w:val="14"/>
          <w:color w:val="2F2F2F"/>
        </w:rPr>
        <w:t>l</w:t>
      </w:r>
      <w:r>
        <w:rPr>
          <w:rFonts w:ascii="Arial" w:cs="Arial" w:eastAsia="Arial" w:hAnsi="Arial"/>
          <w:sz w:val="14"/>
          <w:szCs w:val="14"/>
          <w:color w:val="5B5B5B"/>
        </w:rPr>
        <w:t>iance wi</w:t>
      </w:r>
      <w:r>
        <w:rPr>
          <w:rFonts w:ascii="Arial" w:cs="Arial" w:eastAsia="Arial" w:hAnsi="Arial"/>
          <w:sz w:val="14"/>
          <w:szCs w:val="14"/>
          <w:color w:val="4B4B4B"/>
        </w:rPr>
        <w:t>th</w:t>
      </w:r>
      <w:r>
        <w:rPr>
          <w:rFonts w:ascii="Arial" w:cs="Arial" w:eastAsia="Arial" w:hAnsi="Arial"/>
          <w:sz w:val="14"/>
          <w:szCs w:val="14"/>
          <w:color w:val="5B5B5B"/>
        </w:rPr>
        <w:t xml:space="preserve"> this wa</w:t>
      </w:r>
      <w:r>
        <w:rPr>
          <w:rFonts w:ascii="Arial" w:cs="Arial" w:eastAsia="Arial" w:hAnsi="Arial"/>
          <w:sz w:val="14"/>
          <w:szCs w:val="14"/>
          <w:color w:val="4B4B4B"/>
        </w:rPr>
        <w:t>r</w:t>
      </w:r>
      <w:r>
        <w:rPr>
          <w:rFonts w:ascii="Arial" w:cs="Arial" w:eastAsia="Arial" w:hAnsi="Arial"/>
          <w:sz w:val="14"/>
          <w:szCs w:val="14"/>
          <w:color w:val="757575"/>
        </w:rPr>
        <w:t>r</w:t>
      </w:r>
      <w:r>
        <w:rPr>
          <w:rFonts w:ascii="Arial" w:cs="Arial" w:eastAsia="Arial" w:hAnsi="Arial"/>
          <w:sz w:val="14"/>
          <w:szCs w:val="14"/>
          <w:color w:val="4B4B4B"/>
        </w:rPr>
        <w:t>an</w:t>
      </w:r>
      <w:r>
        <w:rPr>
          <w:rFonts w:ascii="Arial" w:cs="Arial" w:eastAsia="Arial" w:hAnsi="Arial"/>
          <w:sz w:val="14"/>
          <w:szCs w:val="14"/>
          <w:color w:val="5B5B5B"/>
        </w:rPr>
        <w:t>ty by J</w:t>
      </w:r>
      <w:r>
        <w:rPr>
          <w:rFonts w:ascii="Arial" w:cs="Arial" w:eastAsia="Arial" w:hAnsi="Arial"/>
          <w:sz w:val="14"/>
          <w:szCs w:val="14"/>
          <w:color w:val="4B4B4B"/>
        </w:rPr>
        <w:t>anua</w:t>
      </w:r>
      <w:r>
        <w:rPr>
          <w:rFonts w:ascii="Arial" w:cs="Arial" w:eastAsia="Arial" w:hAnsi="Arial"/>
          <w:sz w:val="14"/>
          <w:szCs w:val="14"/>
          <w:color w:val="5B5B5B"/>
        </w:rPr>
        <w:t>ry 3</w:t>
      </w:r>
      <w:r>
        <w:rPr>
          <w:rFonts w:ascii="Arial" w:cs="Arial" w:eastAsia="Arial" w:hAnsi="Arial"/>
          <w:sz w:val="14"/>
          <w:szCs w:val="14"/>
          <w:color w:val="4B4B4B"/>
        </w:rPr>
        <w:t>1</w:t>
      </w:r>
      <w:r>
        <w:rPr>
          <w:rFonts w:ascii="Arial" w:cs="Arial" w:eastAsia="Arial" w:hAnsi="Arial"/>
          <w:sz w:val="14"/>
          <w:szCs w:val="14"/>
          <w:color w:val="878787"/>
        </w:rPr>
        <w:t>,</w:t>
      </w:r>
      <w:r>
        <w:rPr>
          <w:rFonts w:ascii="Arial" w:cs="Arial" w:eastAsia="Arial" w:hAnsi="Arial"/>
          <w:sz w:val="14"/>
          <w:szCs w:val="14"/>
          <w:color w:val="5B5B5B"/>
        </w:rPr>
        <w:t xml:space="preserve"> 2021</w:t>
      </w:r>
      <w:r>
        <w:rPr>
          <w:rFonts w:ascii="Arial" w:cs="Arial" w:eastAsia="Arial" w:hAnsi="Arial"/>
          <w:sz w:val="14"/>
          <w:szCs w:val="14"/>
          <w:color w:val="878787"/>
        </w:rPr>
        <w:t>,</w:t>
      </w:r>
      <w:r>
        <w:rPr>
          <w:rFonts w:ascii="Arial" w:cs="Arial" w:eastAsia="Arial" w:hAnsi="Arial"/>
          <w:sz w:val="14"/>
          <w:szCs w:val="14"/>
          <w:color w:val="5B5B5B"/>
        </w:rPr>
        <w:t xml:space="preserve"> cor</w:t>
      </w:r>
      <w:r>
        <w:rPr>
          <w:rFonts w:ascii="Arial" w:cs="Arial" w:eastAsia="Arial" w:hAnsi="Arial"/>
          <w:sz w:val="14"/>
          <w:szCs w:val="14"/>
          <w:color w:val="4B4B4B"/>
        </w:rPr>
        <w:t>r</w:t>
      </w:r>
      <w:r>
        <w:rPr>
          <w:rFonts w:ascii="Arial" w:cs="Arial" w:eastAsia="Arial" w:hAnsi="Arial"/>
          <w:sz w:val="14"/>
          <w:szCs w:val="14"/>
          <w:color w:val="5B5B5B"/>
        </w:rPr>
        <w:t>ect</w:t>
      </w:r>
      <w:r>
        <w:rPr>
          <w:rFonts w:ascii="Arial" w:cs="Arial" w:eastAsia="Arial" w:hAnsi="Arial"/>
          <w:sz w:val="14"/>
          <w:szCs w:val="14"/>
          <w:color w:val="4B4B4B"/>
        </w:rPr>
        <w:t>i</w:t>
      </w:r>
      <w:r>
        <w:rPr>
          <w:rFonts w:ascii="Arial" w:cs="Arial" w:eastAsia="Arial" w:hAnsi="Arial"/>
          <w:sz w:val="14"/>
          <w:szCs w:val="14"/>
          <w:color w:val="5B5B5B"/>
        </w:rPr>
        <w:t>on o</w:t>
      </w:r>
      <w:r>
        <w:rPr>
          <w:rFonts w:ascii="Arial" w:cs="Arial" w:eastAsia="Arial" w:hAnsi="Arial"/>
          <w:sz w:val="14"/>
          <w:szCs w:val="14"/>
          <w:color w:val="4B4B4B"/>
        </w:rPr>
        <w:t>f th</w:t>
      </w:r>
      <w:r>
        <w:rPr>
          <w:rFonts w:ascii="Arial" w:cs="Arial" w:eastAsia="Arial" w:hAnsi="Arial"/>
          <w:sz w:val="14"/>
          <w:szCs w:val="14"/>
          <w:color w:val="5B5B5B"/>
        </w:rPr>
        <w:t>a</w:t>
      </w:r>
      <w:r>
        <w:rPr>
          <w:rFonts w:ascii="Arial" w:cs="Arial" w:eastAsia="Arial" w:hAnsi="Arial"/>
          <w:sz w:val="14"/>
          <w:szCs w:val="14"/>
          <w:color w:val="4B4B4B"/>
        </w:rPr>
        <w:t>t</w:t>
      </w:r>
      <w:r>
        <w:rPr>
          <w:rFonts w:ascii="Arial" w:cs="Arial" w:eastAsia="Arial" w:hAnsi="Arial"/>
          <w:sz w:val="14"/>
          <w:szCs w:val="14"/>
          <w:color w:val="5B5B5B"/>
        </w:rPr>
        <w:t xml:space="preserve"> no</w:t>
      </w:r>
      <w:r>
        <w:rPr>
          <w:rFonts w:ascii="Arial" w:cs="Arial" w:eastAsia="Arial" w:hAnsi="Arial"/>
          <w:sz w:val="14"/>
          <w:szCs w:val="14"/>
          <w:color w:val="4B4B4B"/>
        </w:rPr>
        <w:t>n-</w:t>
      </w:r>
      <w:r>
        <w:rPr>
          <w:rFonts w:ascii="Arial" w:cs="Arial" w:eastAsia="Arial" w:hAnsi="Arial"/>
          <w:sz w:val="14"/>
          <w:szCs w:val="14"/>
          <w:color w:val="5B5B5B"/>
        </w:rPr>
        <w:t>comp</w:t>
      </w:r>
      <w:r>
        <w:rPr>
          <w:rFonts w:ascii="Arial" w:cs="Arial" w:eastAsia="Arial" w:hAnsi="Arial"/>
          <w:sz w:val="14"/>
          <w:szCs w:val="14"/>
          <w:color w:val="4B4B4B"/>
        </w:rPr>
        <w:t>li</w:t>
      </w:r>
      <w:r>
        <w:rPr>
          <w:rFonts w:ascii="Arial" w:cs="Arial" w:eastAsia="Arial" w:hAnsi="Arial"/>
          <w:sz w:val="14"/>
          <w:szCs w:val="14"/>
          <w:color w:val="5B5B5B"/>
        </w:rPr>
        <w:t>a</w:t>
      </w:r>
      <w:r>
        <w:rPr>
          <w:rFonts w:ascii="Arial" w:cs="Arial" w:eastAsia="Arial" w:hAnsi="Arial"/>
          <w:sz w:val="14"/>
          <w:szCs w:val="14"/>
          <w:color w:val="4B4B4B"/>
        </w:rPr>
        <w:t>n</w:t>
      </w:r>
      <w:r>
        <w:rPr>
          <w:rFonts w:ascii="Arial" w:cs="Arial" w:eastAsia="Arial" w:hAnsi="Arial"/>
          <w:sz w:val="14"/>
          <w:szCs w:val="14"/>
          <w:color w:val="5B5B5B"/>
        </w:rPr>
        <w:t>c</w:t>
      </w:r>
      <w:r>
        <w:rPr>
          <w:rFonts w:ascii="Arial" w:cs="Arial" w:eastAsia="Arial" w:hAnsi="Arial"/>
          <w:sz w:val="14"/>
          <w:szCs w:val="14"/>
          <w:color w:val="4B4B4B"/>
        </w:rPr>
        <w:t>e</w:t>
      </w:r>
      <w:r>
        <w:rPr>
          <w:rFonts w:ascii="Arial" w:cs="Arial" w:eastAsia="Arial" w:hAnsi="Arial"/>
          <w:sz w:val="14"/>
          <w:szCs w:val="14"/>
          <w:color w:val="5B5B5B"/>
        </w:rPr>
        <w:t xml:space="preserve"> sha</w:t>
      </w:r>
      <w:r>
        <w:rPr>
          <w:rFonts w:ascii="Arial" w:cs="Arial" w:eastAsia="Arial" w:hAnsi="Arial"/>
          <w:sz w:val="14"/>
          <w:szCs w:val="14"/>
          <w:color w:val="4B4B4B"/>
        </w:rPr>
        <w:t>ll b</w:t>
      </w:r>
      <w:r>
        <w:rPr>
          <w:rFonts w:ascii="Arial" w:cs="Arial" w:eastAsia="Arial" w:hAnsi="Arial"/>
          <w:sz w:val="14"/>
          <w:szCs w:val="14"/>
          <w:color w:val="5B5B5B"/>
        </w:rPr>
        <w:t xml:space="preserve">e </w:t>
      </w:r>
      <w:r>
        <w:rPr>
          <w:rFonts w:ascii="Arial" w:cs="Arial" w:eastAsia="Arial" w:hAnsi="Arial"/>
          <w:sz w:val="14"/>
          <w:szCs w:val="14"/>
          <w:color w:val="4B4B4B"/>
        </w:rPr>
        <w:t>the ob</w:t>
      </w:r>
      <w:r>
        <w:rPr>
          <w:rFonts w:ascii="Arial" w:cs="Arial" w:eastAsia="Arial" w:hAnsi="Arial"/>
          <w:sz w:val="14"/>
          <w:szCs w:val="14"/>
          <w:color w:val="2F2F2F"/>
        </w:rPr>
        <w:t>l</w:t>
      </w:r>
      <w:r>
        <w:rPr>
          <w:rFonts w:ascii="Arial" w:cs="Arial" w:eastAsia="Arial" w:hAnsi="Arial"/>
          <w:sz w:val="14"/>
          <w:szCs w:val="14"/>
          <w:color w:val="5B5B5B"/>
        </w:rPr>
        <w:t>iga</w:t>
      </w:r>
      <w:r>
        <w:rPr>
          <w:rFonts w:ascii="Arial" w:cs="Arial" w:eastAsia="Arial" w:hAnsi="Arial"/>
          <w:sz w:val="14"/>
          <w:szCs w:val="14"/>
          <w:color w:val="4B4B4B"/>
        </w:rPr>
        <w:t>t</w:t>
      </w:r>
      <w:r>
        <w:rPr>
          <w:rFonts w:ascii="Arial" w:cs="Arial" w:eastAsia="Arial" w:hAnsi="Arial"/>
          <w:sz w:val="14"/>
          <w:szCs w:val="14"/>
          <w:color w:val="5B5B5B"/>
        </w:rPr>
        <w:t>io</w:t>
      </w:r>
      <w:r>
        <w:rPr>
          <w:rFonts w:ascii="Arial" w:cs="Arial" w:eastAsia="Arial" w:hAnsi="Arial"/>
          <w:sz w:val="14"/>
          <w:szCs w:val="14"/>
          <w:color w:val="4B4B4B"/>
        </w:rPr>
        <w:t>n</w:t>
      </w:r>
      <w:r>
        <w:rPr>
          <w:rFonts w:ascii="Arial" w:cs="Arial" w:eastAsia="Arial" w:hAnsi="Arial"/>
          <w:sz w:val="14"/>
          <w:szCs w:val="14"/>
          <w:color w:val="5B5B5B"/>
        </w:rPr>
        <w:t xml:space="preserve"> of the </w:t>
      </w:r>
      <w:r>
        <w:rPr>
          <w:rFonts w:ascii="Arial" w:cs="Arial" w:eastAsia="Arial" w:hAnsi="Arial"/>
          <w:sz w:val="14"/>
          <w:szCs w:val="14"/>
          <w:color w:val="4B4B4B"/>
        </w:rPr>
        <w:t>Le</w:t>
      </w:r>
      <w:r>
        <w:rPr>
          <w:rFonts w:ascii="Arial" w:cs="Arial" w:eastAsia="Arial" w:hAnsi="Arial"/>
          <w:sz w:val="14"/>
          <w:szCs w:val="14"/>
          <w:color w:val="5B5B5B"/>
        </w:rPr>
        <w:t>ss</w:t>
      </w:r>
      <w:r>
        <w:rPr>
          <w:rFonts w:ascii="Arial" w:cs="Arial" w:eastAsia="Arial" w:hAnsi="Arial"/>
          <w:sz w:val="14"/>
          <w:szCs w:val="14"/>
          <w:color w:val="4B4B4B"/>
        </w:rPr>
        <w:t>e</w:t>
      </w:r>
      <w:r>
        <w:rPr>
          <w:rFonts w:ascii="Arial" w:cs="Arial" w:eastAsia="Arial" w:hAnsi="Arial"/>
          <w:sz w:val="14"/>
          <w:szCs w:val="14"/>
          <w:color w:val="5B5B5B"/>
        </w:rPr>
        <w:t xml:space="preserve">e at </w:t>
      </w:r>
      <w:r>
        <w:rPr>
          <w:rFonts w:ascii="Arial" w:cs="Arial" w:eastAsia="Arial" w:hAnsi="Arial"/>
          <w:sz w:val="14"/>
          <w:szCs w:val="14"/>
          <w:color w:val="757575"/>
        </w:rPr>
        <w:t>L</w:t>
      </w:r>
      <w:r>
        <w:rPr>
          <w:rFonts w:ascii="Arial" w:cs="Arial" w:eastAsia="Arial" w:hAnsi="Arial"/>
          <w:sz w:val="14"/>
          <w:szCs w:val="14"/>
          <w:color w:val="5B5B5B"/>
        </w:rPr>
        <w:t>essee</w:t>
      </w:r>
      <w:r>
        <w:rPr>
          <w:rFonts w:ascii="Arial" w:cs="Arial" w:eastAsia="Arial" w:hAnsi="Arial"/>
          <w:sz w:val="14"/>
          <w:szCs w:val="14"/>
          <w:color w:val="878787"/>
        </w:rPr>
        <w:t>'</w:t>
      </w:r>
      <w:r>
        <w:rPr>
          <w:rFonts w:ascii="Arial" w:cs="Arial" w:eastAsia="Arial" w:hAnsi="Arial"/>
          <w:sz w:val="14"/>
          <w:szCs w:val="14"/>
          <w:color w:val="5B5B5B"/>
        </w:rPr>
        <w:t>s so</w:t>
      </w:r>
      <w:r>
        <w:rPr>
          <w:rFonts w:ascii="Arial" w:cs="Arial" w:eastAsia="Arial" w:hAnsi="Arial"/>
          <w:sz w:val="14"/>
          <w:szCs w:val="14"/>
          <w:color w:val="4B4B4B"/>
        </w:rPr>
        <w:t>l</w:t>
      </w:r>
      <w:r>
        <w:rPr>
          <w:rFonts w:ascii="Arial" w:cs="Arial" w:eastAsia="Arial" w:hAnsi="Arial"/>
          <w:sz w:val="14"/>
          <w:szCs w:val="14"/>
          <w:color w:val="5B5B5B"/>
        </w:rPr>
        <w:t>e cost an</w:t>
      </w:r>
      <w:r>
        <w:rPr>
          <w:rFonts w:ascii="Arial" w:cs="Arial" w:eastAsia="Arial" w:hAnsi="Arial"/>
          <w:sz w:val="14"/>
          <w:szCs w:val="14"/>
          <w:color w:val="4B4B4B"/>
        </w:rPr>
        <w:t>d</w:t>
      </w:r>
      <w:r>
        <w:rPr>
          <w:rFonts w:ascii="Arial" w:cs="Arial" w:eastAsia="Arial" w:hAnsi="Arial"/>
          <w:sz w:val="14"/>
          <w:szCs w:val="14"/>
          <w:color w:val="5B5B5B"/>
        </w:rPr>
        <w:t xml:space="preserve"> expe</w:t>
      </w:r>
      <w:r>
        <w:rPr>
          <w:rFonts w:ascii="Arial" w:cs="Arial" w:eastAsia="Arial" w:hAnsi="Arial"/>
          <w:sz w:val="14"/>
          <w:szCs w:val="14"/>
          <w:color w:val="4B4B4B"/>
        </w:rPr>
        <w:t>n</w:t>
      </w:r>
      <w:r>
        <w:rPr>
          <w:rFonts w:ascii="Arial" w:cs="Arial" w:eastAsia="Arial" w:hAnsi="Arial"/>
          <w:sz w:val="14"/>
          <w:szCs w:val="14"/>
          <w:color w:val="5B5B5B"/>
        </w:rPr>
        <w:t>se.</w:t>
      </w:r>
    </w:p>
    <w:p>
      <w:pPr>
        <w:spacing w:after="0" w:line="176" w:lineRule="exact"/>
        <w:rPr>
          <w:sz w:val="20"/>
          <w:szCs w:val="20"/>
          <w:color w:val="auto"/>
        </w:rPr>
      </w:pPr>
    </w:p>
    <w:p>
      <w:pPr>
        <w:ind w:left="640" w:right="40" w:hanging="321"/>
        <w:spacing w:after="0" w:line="285" w:lineRule="auto"/>
        <w:tabs>
          <w:tab w:leader="none" w:pos="638" w:val="left"/>
        </w:tabs>
        <w:numPr>
          <w:ilvl w:val="0"/>
          <w:numId w:val="51"/>
        </w:numPr>
        <w:rPr>
          <w:rFonts w:ascii="Arial" w:cs="Arial" w:eastAsia="Arial" w:hAnsi="Arial"/>
          <w:sz w:val="14"/>
          <w:szCs w:val="14"/>
          <w:color w:val="5B5B5B"/>
        </w:rPr>
      </w:pPr>
      <w:r>
        <w:rPr>
          <w:rFonts w:ascii="Arial" w:cs="Arial" w:eastAsia="Arial" w:hAnsi="Arial"/>
          <w:sz w:val="14"/>
          <w:szCs w:val="14"/>
          <w:b w:val="1"/>
          <w:bCs w:val="1"/>
          <w:color w:val="2F2F2F"/>
        </w:rPr>
        <w:t>Le</w:t>
      </w:r>
      <w:r>
        <w:rPr>
          <w:rFonts w:ascii="Arial" w:cs="Arial" w:eastAsia="Arial" w:hAnsi="Arial"/>
          <w:sz w:val="14"/>
          <w:szCs w:val="14"/>
          <w:b w:val="1"/>
          <w:bCs w:val="1"/>
          <w:color w:val="4B4B4B"/>
        </w:rPr>
        <w:t>ssor's</w:t>
      </w:r>
      <w:r>
        <w:rPr>
          <w:rFonts w:ascii="Arial" w:cs="Arial" w:eastAsia="Arial" w:hAnsi="Arial"/>
          <w:sz w:val="14"/>
          <w:szCs w:val="14"/>
          <w:b w:val="1"/>
          <w:bCs w:val="1"/>
          <w:color w:val="2F2F2F"/>
        </w:rPr>
        <w:t xml:space="preserve"> W</w:t>
      </w:r>
      <w:r>
        <w:rPr>
          <w:rFonts w:ascii="Arial" w:cs="Arial" w:eastAsia="Arial" w:hAnsi="Arial"/>
          <w:sz w:val="14"/>
          <w:szCs w:val="14"/>
          <w:b w:val="1"/>
          <w:bCs w:val="1"/>
          <w:color w:val="4B4B4B"/>
        </w:rPr>
        <w:t>o</w:t>
      </w:r>
      <w:r>
        <w:rPr>
          <w:rFonts w:ascii="Arial" w:cs="Arial" w:eastAsia="Arial" w:hAnsi="Arial"/>
          <w:sz w:val="14"/>
          <w:szCs w:val="14"/>
          <w:b w:val="1"/>
          <w:bCs w:val="1"/>
          <w:color w:val="2F2F2F"/>
        </w:rPr>
        <w:t xml:space="preserve">rk. </w:t>
      </w:r>
      <w:r>
        <w:rPr>
          <w:rFonts w:ascii="Arial" w:cs="Arial" w:eastAsia="Arial" w:hAnsi="Arial"/>
          <w:sz w:val="14"/>
          <w:szCs w:val="14"/>
          <w:color w:val="5B5B5B"/>
        </w:rPr>
        <w:t>Les</w:t>
      </w:r>
      <w:r>
        <w:rPr>
          <w:rFonts w:ascii="Arial" w:cs="Arial" w:eastAsia="Arial" w:hAnsi="Arial"/>
          <w:sz w:val="14"/>
          <w:szCs w:val="14"/>
          <w:color w:val="4B4B4B"/>
        </w:rPr>
        <w:t>s</w:t>
      </w:r>
      <w:r>
        <w:rPr>
          <w:rFonts w:ascii="Arial" w:cs="Arial" w:eastAsia="Arial" w:hAnsi="Arial"/>
          <w:sz w:val="14"/>
          <w:szCs w:val="14"/>
          <w:color w:val="5B5B5B"/>
        </w:rPr>
        <w:t>or sha</w:t>
      </w:r>
      <w:r>
        <w:rPr>
          <w:rFonts w:ascii="Arial" w:cs="Arial" w:eastAsia="Arial" w:hAnsi="Arial"/>
          <w:sz w:val="14"/>
          <w:szCs w:val="14"/>
          <w:color w:val="4B4B4B"/>
        </w:rPr>
        <w:t>ll b</w:t>
      </w:r>
      <w:r>
        <w:rPr>
          <w:rFonts w:ascii="Arial" w:cs="Arial" w:eastAsia="Arial" w:hAnsi="Arial"/>
          <w:sz w:val="14"/>
          <w:szCs w:val="14"/>
          <w:color w:val="5B5B5B"/>
        </w:rPr>
        <w:t>e res</w:t>
      </w:r>
      <w:r>
        <w:rPr>
          <w:rFonts w:ascii="Arial" w:cs="Arial" w:eastAsia="Arial" w:hAnsi="Arial"/>
          <w:sz w:val="14"/>
          <w:szCs w:val="14"/>
          <w:color w:val="4B4B4B"/>
        </w:rPr>
        <w:t>p</w:t>
      </w:r>
      <w:r>
        <w:rPr>
          <w:rFonts w:ascii="Arial" w:cs="Arial" w:eastAsia="Arial" w:hAnsi="Arial"/>
          <w:sz w:val="14"/>
          <w:szCs w:val="14"/>
          <w:color w:val="5B5B5B"/>
        </w:rPr>
        <w:t>o</w:t>
      </w:r>
      <w:r>
        <w:rPr>
          <w:rFonts w:ascii="Arial" w:cs="Arial" w:eastAsia="Arial" w:hAnsi="Arial"/>
          <w:sz w:val="14"/>
          <w:szCs w:val="14"/>
          <w:color w:val="4B4B4B"/>
        </w:rPr>
        <w:t>n</w:t>
      </w:r>
      <w:r>
        <w:rPr>
          <w:rFonts w:ascii="Arial" w:cs="Arial" w:eastAsia="Arial" w:hAnsi="Arial"/>
          <w:sz w:val="14"/>
          <w:szCs w:val="14"/>
          <w:color w:val="5B5B5B"/>
        </w:rPr>
        <w:t>s</w:t>
      </w:r>
      <w:r>
        <w:rPr>
          <w:rFonts w:ascii="Arial" w:cs="Arial" w:eastAsia="Arial" w:hAnsi="Arial"/>
          <w:sz w:val="14"/>
          <w:szCs w:val="14"/>
          <w:color w:val="757575"/>
        </w:rPr>
        <w:t>i</w:t>
      </w:r>
      <w:r>
        <w:rPr>
          <w:rFonts w:ascii="Arial" w:cs="Arial" w:eastAsia="Arial" w:hAnsi="Arial"/>
          <w:sz w:val="14"/>
          <w:szCs w:val="14"/>
          <w:color w:val="5B5B5B"/>
        </w:rPr>
        <w:t>b</w:t>
      </w:r>
      <w:r>
        <w:rPr>
          <w:rFonts w:ascii="Arial" w:cs="Arial" w:eastAsia="Arial" w:hAnsi="Arial"/>
          <w:sz w:val="14"/>
          <w:szCs w:val="14"/>
          <w:color w:val="4B4B4B"/>
        </w:rPr>
        <w:t>l</w:t>
      </w:r>
      <w:r>
        <w:rPr>
          <w:rFonts w:ascii="Arial" w:cs="Arial" w:eastAsia="Arial" w:hAnsi="Arial"/>
          <w:sz w:val="14"/>
          <w:szCs w:val="14"/>
          <w:color w:val="5B5B5B"/>
        </w:rPr>
        <w:t>e</w:t>
      </w:r>
      <w:r>
        <w:rPr>
          <w:rFonts w:ascii="Arial" w:cs="Arial" w:eastAsia="Arial" w:hAnsi="Arial"/>
          <w:sz w:val="14"/>
          <w:szCs w:val="14"/>
          <w:b w:val="1"/>
          <w:bCs w:val="1"/>
          <w:color w:val="2F2F2F"/>
        </w:rPr>
        <w:t xml:space="preserve"> </w:t>
      </w:r>
      <w:r>
        <w:rPr>
          <w:rFonts w:ascii="Arial" w:cs="Arial" w:eastAsia="Arial" w:hAnsi="Arial"/>
          <w:sz w:val="14"/>
          <w:szCs w:val="14"/>
          <w:color w:val="4B4B4B"/>
        </w:rPr>
        <w:t>f</w:t>
      </w:r>
      <w:r>
        <w:rPr>
          <w:rFonts w:ascii="Arial" w:cs="Arial" w:eastAsia="Arial" w:hAnsi="Arial"/>
          <w:sz w:val="14"/>
          <w:szCs w:val="14"/>
          <w:color w:val="5B5B5B"/>
        </w:rPr>
        <w:t>or</w:t>
      </w:r>
      <w:r>
        <w:rPr>
          <w:rFonts w:ascii="Arial" w:cs="Arial" w:eastAsia="Arial" w:hAnsi="Arial"/>
          <w:sz w:val="14"/>
          <w:szCs w:val="14"/>
          <w:b w:val="1"/>
          <w:bCs w:val="1"/>
          <w:color w:val="2F2F2F"/>
        </w:rPr>
        <w:t xml:space="preserve"> </w:t>
      </w:r>
      <w:r>
        <w:rPr>
          <w:rFonts w:ascii="Arial" w:cs="Arial" w:eastAsia="Arial" w:hAnsi="Arial"/>
          <w:sz w:val="14"/>
          <w:szCs w:val="14"/>
          <w:color w:val="4B4B4B"/>
        </w:rPr>
        <w:t>d</w:t>
      </w:r>
      <w:r>
        <w:rPr>
          <w:rFonts w:ascii="Arial" w:cs="Arial" w:eastAsia="Arial" w:hAnsi="Arial"/>
          <w:sz w:val="14"/>
          <w:szCs w:val="14"/>
          <w:color w:val="5B5B5B"/>
        </w:rPr>
        <w:t>e</w:t>
      </w:r>
      <w:r>
        <w:rPr>
          <w:rFonts w:ascii="Arial" w:cs="Arial" w:eastAsia="Arial" w:hAnsi="Arial"/>
          <w:sz w:val="14"/>
          <w:szCs w:val="14"/>
          <w:color w:val="4B4B4B"/>
        </w:rPr>
        <w:t>l</w:t>
      </w:r>
      <w:r>
        <w:rPr>
          <w:rFonts w:ascii="Arial" w:cs="Arial" w:eastAsia="Arial" w:hAnsi="Arial"/>
          <w:sz w:val="14"/>
          <w:szCs w:val="14"/>
          <w:color w:val="5B5B5B"/>
        </w:rPr>
        <w:t>i</w:t>
      </w:r>
      <w:r>
        <w:rPr>
          <w:rFonts w:ascii="Arial" w:cs="Arial" w:eastAsia="Arial" w:hAnsi="Arial"/>
          <w:sz w:val="14"/>
          <w:szCs w:val="14"/>
          <w:color w:val="4B4B4B"/>
        </w:rPr>
        <w:t>v</w:t>
      </w:r>
      <w:r>
        <w:rPr>
          <w:rFonts w:ascii="Arial" w:cs="Arial" w:eastAsia="Arial" w:hAnsi="Arial"/>
          <w:sz w:val="14"/>
          <w:szCs w:val="14"/>
          <w:color w:val="5B5B5B"/>
        </w:rPr>
        <w:t>ering a</w:t>
      </w:r>
      <w:r>
        <w:rPr>
          <w:rFonts w:ascii="Arial" w:cs="Arial" w:eastAsia="Arial" w:hAnsi="Arial"/>
          <w:sz w:val="14"/>
          <w:szCs w:val="14"/>
          <w:color w:val="4B4B4B"/>
        </w:rPr>
        <w:t>ll</w:t>
      </w:r>
      <w:r>
        <w:rPr>
          <w:rFonts w:ascii="Arial" w:cs="Arial" w:eastAsia="Arial" w:hAnsi="Arial"/>
          <w:sz w:val="14"/>
          <w:szCs w:val="14"/>
          <w:b w:val="1"/>
          <w:bCs w:val="1"/>
          <w:color w:val="2F2F2F"/>
        </w:rPr>
        <w:t xml:space="preserve"> </w:t>
      </w:r>
      <w:r>
        <w:rPr>
          <w:rFonts w:ascii="Arial" w:cs="Arial" w:eastAsia="Arial" w:hAnsi="Arial"/>
          <w:sz w:val="14"/>
          <w:szCs w:val="14"/>
          <w:color w:val="5B5B5B"/>
        </w:rPr>
        <w:t>e</w:t>
      </w:r>
      <w:r>
        <w:rPr>
          <w:rFonts w:ascii="Arial" w:cs="Arial" w:eastAsia="Arial" w:hAnsi="Arial"/>
          <w:sz w:val="14"/>
          <w:szCs w:val="14"/>
          <w:color w:val="4B4B4B"/>
        </w:rPr>
        <w:t>xt</w:t>
      </w:r>
      <w:r>
        <w:rPr>
          <w:rFonts w:ascii="Arial" w:cs="Arial" w:eastAsia="Arial" w:hAnsi="Arial"/>
          <w:sz w:val="14"/>
          <w:szCs w:val="14"/>
          <w:color w:val="5B5B5B"/>
        </w:rPr>
        <w:t>erio</w:t>
      </w:r>
      <w:r>
        <w:rPr>
          <w:rFonts w:ascii="Arial" w:cs="Arial" w:eastAsia="Arial" w:hAnsi="Arial"/>
          <w:sz w:val="14"/>
          <w:szCs w:val="14"/>
          <w:color w:val="878787"/>
        </w:rPr>
        <w:t>r</w:t>
      </w:r>
      <w:r>
        <w:rPr>
          <w:rFonts w:ascii="Arial" w:cs="Arial" w:eastAsia="Arial" w:hAnsi="Arial"/>
          <w:sz w:val="14"/>
          <w:szCs w:val="14"/>
          <w:b w:val="1"/>
          <w:bCs w:val="1"/>
          <w:color w:val="2F2F2F"/>
        </w:rPr>
        <w:t xml:space="preserve"> </w:t>
      </w:r>
      <w:r>
        <w:rPr>
          <w:rFonts w:ascii="Arial" w:cs="Arial" w:eastAsia="Arial" w:hAnsi="Arial"/>
          <w:sz w:val="14"/>
          <w:szCs w:val="14"/>
          <w:color w:val="5B5B5B"/>
        </w:rPr>
        <w:t>buil</w:t>
      </w:r>
      <w:r>
        <w:rPr>
          <w:rFonts w:ascii="Arial" w:cs="Arial" w:eastAsia="Arial" w:hAnsi="Arial"/>
          <w:sz w:val="14"/>
          <w:szCs w:val="14"/>
          <w:color w:val="4B4B4B"/>
        </w:rPr>
        <w:t>di</w:t>
      </w:r>
      <w:r>
        <w:rPr>
          <w:rFonts w:ascii="Arial" w:cs="Arial" w:eastAsia="Arial" w:hAnsi="Arial"/>
          <w:sz w:val="14"/>
          <w:szCs w:val="14"/>
          <w:color w:val="5B5B5B"/>
        </w:rPr>
        <w:t>ng</w:t>
      </w:r>
      <w:r>
        <w:rPr>
          <w:rFonts w:ascii="Arial" w:cs="Arial" w:eastAsia="Arial" w:hAnsi="Arial"/>
          <w:sz w:val="14"/>
          <w:szCs w:val="14"/>
          <w:b w:val="1"/>
          <w:bCs w:val="1"/>
          <w:color w:val="2F2F2F"/>
        </w:rPr>
        <w:t xml:space="preserve"> </w:t>
      </w:r>
      <w:r>
        <w:rPr>
          <w:rFonts w:ascii="Arial" w:cs="Arial" w:eastAsia="Arial" w:hAnsi="Arial"/>
          <w:sz w:val="14"/>
          <w:szCs w:val="14"/>
          <w:color w:val="4B4B4B"/>
        </w:rPr>
        <w:t>l</w:t>
      </w:r>
      <w:r>
        <w:rPr>
          <w:rFonts w:ascii="Arial" w:cs="Arial" w:eastAsia="Arial" w:hAnsi="Arial"/>
          <w:sz w:val="14"/>
          <w:szCs w:val="14"/>
          <w:color w:val="5B5B5B"/>
        </w:rPr>
        <w:t>ig</w:t>
      </w:r>
      <w:r>
        <w:rPr>
          <w:rFonts w:ascii="Arial" w:cs="Arial" w:eastAsia="Arial" w:hAnsi="Arial"/>
          <w:sz w:val="14"/>
          <w:szCs w:val="14"/>
          <w:color w:val="4B4B4B"/>
        </w:rPr>
        <w:t>ht</w:t>
      </w:r>
      <w:r>
        <w:rPr>
          <w:rFonts w:ascii="Arial" w:cs="Arial" w:eastAsia="Arial" w:hAnsi="Arial"/>
          <w:sz w:val="14"/>
          <w:szCs w:val="14"/>
          <w:color w:val="5B5B5B"/>
        </w:rPr>
        <w:t>s in good o</w:t>
      </w:r>
      <w:r>
        <w:rPr>
          <w:rFonts w:ascii="Arial" w:cs="Arial" w:eastAsia="Arial" w:hAnsi="Arial"/>
          <w:sz w:val="14"/>
          <w:szCs w:val="14"/>
          <w:color w:val="4B4B4B"/>
        </w:rPr>
        <w:t>p</w:t>
      </w:r>
      <w:r>
        <w:rPr>
          <w:rFonts w:ascii="Arial" w:cs="Arial" w:eastAsia="Arial" w:hAnsi="Arial"/>
          <w:sz w:val="14"/>
          <w:szCs w:val="14"/>
          <w:color w:val="5B5B5B"/>
        </w:rPr>
        <w:t>eratin</w:t>
      </w:r>
      <w:r>
        <w:rPr>
          <w:rFonts w:ascii="Arial" w:cs="Arial" w:eastAsia="Arial" w:hAnsi="Arial"/>
          <w:sz w:val="14"/>
          <w:szCs w:val="14"/>
          <w:color w:val="4B4B4B"/>
        </w:rPr>
        <w:t>g</w:t>
      </w:r>
      <w:r>
        <w:rPr>
          <w:rFonts w:ascii="Arial" w:cs="Arial" w:eastAsia="Arial" w:hAnsi="Arial"/>
          <w:sz w:val="14"/>
          <w:szCs w:val="14"/>
          <w:b w:val="1"/>
          <w:bCs w:val="1"/>
          <w:color w:val="2F2F2F"/>
        </w:rPr>
        <w:t xml:space="preserve"> </w:t>
      </w:r>
      <w:r>
        <w:rPr>
          <w:rFonts w:ascii="Arial" w:cs="Arial" w:eastAsia="Arial" w:hAnsi="Arial"/>
          <w:sz w:val="14"/>
          <w:szCs w:val="14"/>
          <w:color w:val="5B5B5B"/>
        </w:rPr>
        <w:t>c</w:t>
      </w:r>
      <w:r>
        <w:rPr>
          <w:rFonts w:ascii="Arial" w:cs="Arial" w:eastAsia="Arial" w:hAnsi="Arial"/>
          <w:sz w:val="14"/>
          <w:szCs w:val="14"/>
          <w:color w:val="4B4B4B"/>
        </w:rPr>
        <w:t>ondit</w:t>
      </w:r>
      <w:r>
        <w:rPr>
          <w:rFonts w:ascii="Arial" w:cs="Arial" w:eastAsia="Arial" w:hAnsi="Arial"/>
          <w:sz w:val="14"/>
          <w:szCs w:val="14"/>
          <w:color w:val="5B5B5B"/>
        </w:rPr>
        <w:t>i</w:t>
      </w:r>
      <w:r>
        <w:rPr>
          <w:rFonts w:ascii="Arial" w:cs="Arial" w:eastAsia="Arial" w:hAnsi="Arial"/>
          <w:sz w:val="14"/>
          <w:szCs w:val="14"/>
          <w:color w:val="4B4B4B"/>
        </w:rPr>
        <w:t>on and</w:t>
      </w:r>
      <w:r>
        <w:rPr>
          <w:rFonts w:ascii="Arial" w:cs="Arial" w:eastAsia="Arial" w:hAnsi="Arial"/>
          <w:sz w:val="14"/>
          <w:szCs w:val="14"/>
          <w:b w:val="1"/>
          <w:bCs w:val="1"/>
          <w:color w:val="2F2F2F"/>
        </w:rPr>
        <w:t xml:space="preserve"> </w:t>
      </w:r>
      <w:r>
        <w:rPr>
          <w:rFonts w:ascii="Arial" w:cs="Arial" w:eastAsia="Arial" w:hAnsi="Arial"/>
          <w:sz w:val="14"/>
          <w:szCs w:val="14"/>
          <w:color w:val="5B5B5B"/>
        </w:rPr>
        <w:t>r</w:t>
      </w:r>
      <w:r>
        <w:rPr>
          <w:rFonts w:ascii="Arial" w:cs="Arial" w:eastAsia="Arial" w:hAnsi="Arial"/>
          <w:sz w:val="14"/>
          <w:szCs w:val="14"/>
          <w:color w:val="4B4B4B"/>
        </w:rPr>
        <w:t>em</w:t>
      </w:r>
      <w:r>
        <w:rPr>
          <w:rFonts w:ascii="Arial" w:cs="Arial" w:eastAsia="Arial" w:hAnsi="Arial"/>
          <w:sz w:val="14"/>
          <w:szCs w:val="14"/>
          <w:color w:val="5B5B5B"/>
        </w:rPr>
        <w:t>ov</w:t>
      </w:r>
      <w:r>
        <w:rPr>
          <w:rFonts w:ascii="Arial" w:cs="Arial" w:eastAsia="Arial" w:hAnsi="Arial"/>
          <w:sz w:val="14"/>
          <w:szCs w:val="14"/>
          <w:color w:val="4B4B4B"/>
        </w:rPr>
        <w:t>ing</w:t>
      </w:r>
      <w:r>
        <w:rPr>
          <w:rFonts w:ascii="Arial" w:cs="Arial" w:eastAsia="Arial" w:hAnsi="Arial"/>
          <w:sz w:val="14"/>
          <w:szCs w:val="14"/>
          <w:b w:val="1"/>
          <w:bCs w:val="1"/>
          <w:color w:val="2F2F2F"/>
        </w:rPr>
        <w:t xml:space="preserve"> </w:t>
      </w:r>
      <w:r>
        <w:rPr>
          <w:rFonts w:ascii="Arial" w:cs="Arial" w:eastAsia="Arial" w:hAnsi="Arial"/>
          <w:sz w:val="14"/>
          <w:szCs w:val="14"/>
          <w:color w:val="5B5B5B"/>
        </w:rPr>
        <w:t>t</w:t>
      </w:r>
      <w:r>
        <w:rPr>
          <w:rFonts w:ascii="Arial" w:cs="Arial" w:eastAsia="Arial" w:hAnsi="Arial"/>
          <w:sz w:val="14"/>
          <w:szCs w:val="14"/>
          <w:color w:val="4B4B4B"/>
        </w:rPr>
        <w:t>h</w:t>
      </w:r>
      <w:r>
        <w:rPr>
          <w:rFonts w:ascii="Arial" w:cs="Arial" w:eastAsia="Arial" w:hAnsi="Arial"/>
          <w:sz w:val="14"/>
          <w:szCs w:val="14"/>
          <w:color w:val="5B5B5B"/>
        </w:rPr>
        <w:t>e fo</w:t>
      </w:r>
      <w:r>
        <w:rPr>
          <w:rFonts w:ascii="Arial" w:cs="Arial" w:eastAsia="Arial" w:hAnsi="Arial"/>
          <w:sz w:val="14"/>
          <w:szCs w:val="14"/>
          <w:color w:val="4B4B4B"/>
        </w:rPr>
        <w:t>u</w:t>
      </w:r>
      <w:r>
        <w:rPr>
          <w:rFonts w:ascii="Arial" w:cs="Arial" w:eastAsia="Arial" w:hAnsi="Arial"/>
          <w:sz w:val="14"/>
          <w:szCs w:val="14"/>
          <w:color w:val="5B5B5B"/>
        </w:rPr>
        <w:t>r (</w:t>
      </w:r>
      <w:r>
        <w:rPr>
          <w:rFonts w:ascii="Arial" w:cs="Arial" w:eastAsia="Arial" w:hAnsi="Arial"/>
          <w:sz w:val="14"/>
          <w:szCs w:val="14"/>
          <w:color w:val="4B4B4B"/>
        </w:rPr>
        <w:t>4</w:t>
      </w:r>
      <w:r>
        <w:rPr>
          <w:rFonts w:ascii="Arial" w:cs="Arial" w:eastAsia="Arial" w:hAnsi="Arial"/>
          <w:sz w:val="14"/>
          <w:szCs w:val="14"/>
          <w:color w:val="5B5B5B"/>
        </w:rPr>
        <w:t>)</w:t>
      </w:r>
      <w:r>
        <w:rPr>
          <w:rFonts w:ascii="Arial" w:cs="Arial" w:eastAsia="Arial" w:hAnsi="Arial"/>
          <w:sz w:val="14"/>
          <w:szCs w:val="14"/>
          <w:b w:val="1"/>
          <w:bCs w:val="1"/>
          <w:color w:val="2F2F2F"/>
        </w:rPr>
        <w:t xml:space="preserve"> </w:t>
      </w:r>
      <w:r>
        <w:rPr>
          <w:rFonts w:ascii="Arial" w:cs="Arial" w:eastAsia="Arial" w:hAnsi="Arial"/>
          <w:sz w:val="14"/>
          <w:szCs w:val="14"/>
          <w:color w:val="4B4B4B"/>
        </w:rPr>
        <w:t>d</w:t>
      </w:r>
      <w:r>
        <w:rPr>
          <w:rFonts w:ascii="Arial" w:cs="Arial" w:eastAsia="Arial" w:hAnsi="Arial"/>
          <w:sz w:val="14"/>
          <w:szCs w:val="14"/>
          <w:color w:val="5B5B5B"/>
        </w:rPr>
        <w:t>ea</w:t>
      </w:r>
      <w:r>
        <w:rPr>
          <w:rFonts w:ascii="Arial" w:cs="Arial" w:eastAsia="Arial" w:hAnsi="Arial"/>
          <w:sz w:val="14"/>
          <w:szCs w:val="14"/>
          <w:color w:val="4B4B4B"/>
        </w:rPr>
        <w:t>d t</w:t>
      </w:r>
      <w:r>
        <w:rPr>
          <w:rFonts w:ascii="Arial" w:cs="Arial" w:eastAsia="Arial" w:hAnsi="Arial"/>
          <w:sz w:val="14"/>
          <w:szCs w:val="14"/>
          <w:color w:val="5B5B5B"/>
        </w:rPr>
        <w:t>rees at</w:t>
      </w:r>
      <w:r>
        <w:rPr>
          <w:rFonts w:ascii="Arial" w:cs="Arial" w:eastAsia="Arial" w:hAnsi="Arial"/>
          <w:sz w:val="14"/>
          <w:szCs w:val="14"/>
          <w:b w:val="1"/>
          <w:bCs w:val="1"/>
          <w:color w:val="2F2F2F"/>
        </w:rPr>
        <w:t xml:space="preserve"> </w:t>
      </w:r>
      <w:r>
        <w:rPr>
          <w:rFonts w:ascii="Arial" w:cs="Arial" w:eastAsia="Arial" w:hAnsi="Arial"/>
          <w:sz w:val="14"/>
          <w:szCs w:val="14"/>
          <w:color w:val="4B4B4B"/>
        </w:rPr>
        <w:t>th</w:t>
      </w:r>
      <w:r>
        <w:rPr>
          <w:rFonts w:ascii="Arial" w:cs="Arial" w:eastAsia="Arial" w:hAnsi="Arial"/>
          <w:sz w:val="14"/>
          <w:szCs w:val="14"/>
          <w:color w:val="5B5B5B"/>
        </w:rPr>
        <w:t>e e</w:t>
      </w:r>
      <w:r>
        <w:rPr>
          <w:rFonts w:ascii="Arial" w:cs="Arial" w:eastAsia="Arial" w:hAnsi="Arial"/>
          <w:sz w:val="14"/>
          <w:szCs w:val="14"/>
          <w:color w:val="4B4B4B"/>
        </w:rPr>
        <w:t>nt</w:t>
      </w:r>
      <w:r>
        <w:rPr>
          <w:rFonts w:ascii="Arial" w:cs="Arial" w:eastAsia="Arial" w:hAnsi="Arial"/>
          <w:sz w:val="14"/>
          <w:szCs w:val="14"/>
          <w:color w:val="5B5B5B"/>
        </w:rPr>
        <w:t>ra</w:t>
      </w:r>
      <w:r>
        <w:rPr>
          <w:rFonts w:ascii="Arial" w:cs="Arial" w:eastAsia="Arial" w:hAnsi="Arial"/>
          <w:sz w:val="14"/>
          <w:szCs w:val="14"/>
          <w:color w:val="4B4B4B"/>
        </w:rPr>
        <w:t>n</w:t>
      </w:r>
      <w:r>
        <w:rPr>
          <w:rFonts w:ascii="Arial" w:cs="Arial" w:eastAsia="Arial" w:hAnsi="Arial"/>
          <w:sz w:val="14"/>
          <w:szCs w:val="14"/>
          <w:color w:val="5B5B5B"/>
        </w:rPr>
        <w:t>ce of</w:t>
      </w:r>
      <w:r>
        <w:rPr>
          <w:rFonts w:ascii="Arial" w:cs="Arial" w:eastAsia="Arial" w:hAnsi="Arial"/>
          <w:sz w:val="14"/>
          <w:szCs w:val="14"/>
          <w:color w:val="4B4B4B"/>
        </w:rPr>
        <w:t xml:space="preserve"> th</w:t>
      </w:r>
      <w:r>
        <w:rPr>
          <w:rFonts w:ascii="Arial" w:cs="Arial" w:eastAsia="Arial" w:hAnsi="Arial"/>
          <w:sz w:val="14"/>
          <w:szCs w:val="14"/>
          <w:color w:val="5B5B5B"/>
        </w:rPr>
        <w:t>e</w:t>
      </w:r>
      <w:r>
        <w:rPr>
          <w:rFonts w:ascii="Arial" w:cs="Arial" w:eastAsia="Arial" w:hAnsi="Arial"/>
          <w:sz w:val="14"/>
          <w:szCs w:val="14"/>
          <w:color w:val="4B4B4B"/>
        </w:rPr>
        <w:t xml:space="preserve"> b</w:t>
      </w:r>
      <w:r>
        <w:rPr>
          <w:rFonts w:ascii="Arial" w:cs="Arial" w:eastAsia="Arial" w:hAnsi="Arial"/>
          <w:sz w:val="14"/>
          <w:szCs w:val="14"/>
          <w:color w:val="5B5B5B"/>
        </w:rPr>
        <w:t>u</w:t>
      </w:r>
      <w:r>
        <w:rPr>
          <w:rFonts w:ascii="Arial" w:cs="Arial" w:eastAsia="Arial" w:hAnsi="Arial"/>
          <w:sz w:val="14"/>
          <w:szCs w:val="14"/>
          <w:color w:val="4B4B4B"/>
        </w:rPr>
        <w:t>i</w:t>
      </w:r>
      <w:r>
        <w:rPr>
          <w:rFonts w:ascii="Arial" w:cs="Arial" w:eastAsia="Arial" w:hAnsi="Arial"/>
          <w:sz w:val="14"/>
          <w:szCs w:val="14"/>
          <w:color w:val="2F2F2F"/>
        </w:rPr>
        <w:t>l</w:t>
      </w:r>
      <w:r>
        <w:rPr>
          <w:rFonts w:ascii="Arial" w:cs="Arial" w:eastAsia="Arial" w:hAnsi="Arial"/>
          <w:sz w:val="14"/>
          <w:szCs w:val="14"/>
          <w:color w:val="4B4B4B"/>
        </w:rPr>
        <w:t>d</w:t>
      </w:r>
      <w:r>
        <w:rPr>
          <w:rFonts w:ascii="Arial" w:cs="Arial" w:eastAsia="Arial" w:hAnsi="Arial"/>
          <w:sz w:val="14"/>
          <w:szCs w:val="14"/>
          <w:color w:val="5B5B5B"/>
        </w:rPr>
        <w:t>ing</w:t>
      </w:r>
      <w:r>
        <w:rPr>
          <w:rFonts w:ascii="Arial" w:cs="Arial" w:eastAsia="Arial" w:hAnsi="Arial"/>
          <w:sz w:val="14"/>
          <w:szCs w:val="14"/>
          <w:color w:val="4B4B4B"/>
        </w:rPr>
        <w:t xml:space="preserve"> </w:t>
      </w:r>
      <w:r>
        <w:rPr>
          <w:rFonts w:ascii="Arial" w:cs="Arial" w:eastAsia="Arial" w:hAnsi="Arial"/>
          <w:sz w:val="14"/>
          <w:szCs w:val="14"/>
          <w:color w:val="757575"/>
        </w:rPr>
        <w:t>(</w:t>
      </w:r>
      <w:r>
        <w:rPr>
          <w:rFonts w:ascii="Arial" w:cs="Arial" w:eastAsia="Arial" w:hAnsi="Arial"/>
          <w:sz w:val="14"/>
          <w:szCs w:val="14"/>
          <w:color w:val="5B5B5B"/>
        </w:rPr>
        <w:t>s</w:t>
      </w:r>
      <w:r>
        <w:rPr>
          <w:rFonts w:ascii="Arial" w:cs="Arial" w:eastAsia="Arial" w:hAnsi="Arial"/>
          <w:sz w:val="14"/>
          <w:szCs w:val="14"/>
          <w:color w:val="4B4B4B"/>
        </w:rPr>
        <w:t>u</w:t>
      </w:r>
      <w:r>
        <w:rPr>
          <w:rFonts w:ascii="Arial" w:cs="Arial" w:eastAsia="Arial" w:hAnsi="Arial"/>
          <w:sz w:val="14"/>
          <w:szCs w:val="14"/>
          <w:color w:val="5B5B5B"/>
        </w:rPr>
        <w:t>b</w:t>
      </w:r>
      <w:r>
        <w:rPr>
          <w:rFonts w:ascii="Arial" w:cs="Arial" w:eastAsia="Arial" w:hAnsi="Arial"/>
          <w:sz w:val="14"/>
          <w:szCs w:val="14"/>
          <w:color w:val="4B4B4B"/>
        </w:rPr>
        <w:t>j</w:t>
      </w:r>
      <w:r>
        <w:rPr>
          <w:rFonts w:ascii="Arial" w:cs="Arial" w:eastAsia="Arial" w:hAnsi="Arial"/>
          <w:sz w:val="14"/>
          <w:szCs w:val="14"/>
          <w:color w:val="5B5B5B"/>
        </w:rPr>
        <w:t>e</w:t>
      </w:r>
      <w:r>
        <w:rPr>
          <w:rFonts w:ascii="Arial" w:cs="Arial" w:eastAsia="Arial" w:hAnsi="Arial"/>
          <w:sz w:val="14"/>
          <w:szCs w:val="14"/>
          <w:color w:val="757575"/>
        </w:rPr>
        <w:t>c</w:t>
      </w:r>
      <w:r>
        <w:rPr>
          <w:rFonts w:ascii="Arial" w:cs="Arial" w:eastAsia="Arial" w:hAnsi="Arial"/>
          <w:sz w:val="14"/>
          <w:szCs w:val="14"/>
          <w:color w:val="4B4B4B"/>
        </w:rPr>
        <w:t xml:space="preserve">t </w:t>
      </w:r>
      <w:r>
        <w:rPr>
          <w:rFonts w:ascii="Arial" w:cs="Arial" w:eastAsia="Arial" w:hAnsi="Arial"/>
          <w:sz w:val="14"/>
          <w:szCs w:val="14"/>
          <w:color w:val="757575"/>
        </w:rPr>
        <w:t>t</w:t>
      </w:r>
      <w:r>
        <w:rPr>
          <w:rFonts w:ascii="Arial" w:cs="Arial" w:eastAsia="Arial" w:hAnsi="Arial"/>
          <w:sz w:val="14"/>
          <w:szCs w:val="14"/>
          <w:color w:val="5B5B5B"/>
        </w:rPr>
        <w:t>o Lesso</w:t>
      </w:r>
      <w:r>
        <w:rPr>
          <w:rFonts w:ascii="Arial" w:cs="Arial" w:eastAsia="Arial" w:hAnsi="Arial"/>
          <w:sz w:val="14"/>
          <w:szCs w:val="14"/>
          <w:color w:val="757575"/>
        </w:rPr>
        <w:t>r</w:t>
      </w:r>
      <w:r>
        <w:rPr>
          <w:rFonts w:ascii="Arial" w:cs="Arial" w:eastAsia="Arial" w:hAnsi="Arial"/>
          <w:sz w:val="14"/>
          <w:szCs w:val="14"/>
          <w:color w:val="5B5B5B"/>
        </w:rPr>
        <w:t>s re</w:t>
      </w:r>
      <w:r>
        <w:rPr>
          <w:rFonts w:ascii="Arial" w:cs="Arial" w:eastAsia="Arial" w:hAnsi="Arial"/>
          <w:sz w:val="14"/>
          <w:szCs w:val="14"/>
          <w:color w:val="4B4B4B"/>
        </w:rPr>
        <w:t>v</w:t>
      </w:r>
      <w:r>
        <w:rPr>
          <w:rFonts w:ascii="Arial" w:cs="Arial" w:eastAsia="Arial" w:hAnsi="Arial"/>
          <w:sz w:val="14"/>
          <w:szCs w:val="14"/>
          <w:color w:val="757575"/>
        </w:rPr>
        <w:t>i</w:t>
      </w:r>
      <w:r>
        <w:rPr>
          <w:rFonts w:ascii="Arial" w:cs="Arial" w:eastAsia="Arial" w:hAnsi="Arial"/>
          <w:sz w:val="14"/>
          <w:szCs w:val="14"/>
          <w:color w:val="5B5B5B"/>
        </w:rPr>
        <w:t>ew of sp</w:t>
      </w:r>
      <w:r>
        <w:rPr>
          <w:rFonts w:ascii="Arial" w:cs="Arial" w:eastAsia="Arial" w:hAnsi="Arial"/>
          <w:sz w:val="14"/>
          <w:szCs w:val="14"/>
          <w:color w:val="4B4B4B"/>
        </w:rPr>
        <w:t>e</w:t>
      </w:r>
      <w:r>
        <w:rPr>
          <w:rFonts w:ascii="Arial" w:cs="Arial" w:eastAsia="Arial" w:hAnsi="Arial"/>
          <w:sz w:val="14"/>
          <w:szCs w:val="14"/>
          <w:color w:val="5B5B5B"/>
        </w:rPr>
        <w:t>c</w:t>
      </w:r>
      <w:r>
        <w:rPr>
          <w:rFonts w:ascii="Arial" w:cs="Arial" w:eastAsia="Arial" w:hAnsi="Arial"/>
          <w:sz w:val="14"/>
          <w:szCs w:val="14"/>
          <w:color w:val="4B4B4B"/>
        </w:rPr>
        <w:t>ifi</w:t>
      </w:r>
      <w:r>
        <w:rPr>
          <w:rFonts w:ascii="Arial" w:cs="Arial" w:eastAsia="Arial" w:hAnsi="Arial"/>
          <w:sz w:val="14"/>
          <w:szCs w:val="14"/>
          <w:color w:val="5B5B5B"/>
        </w:rPr>
        <w:t>c</w:t>
      </w:r>
      <w:r>
        <w:rPr>
          <w:rFonts w:ascii="Arial" w:cs="Arial" w:eastAsia="Arial" w:hAnsi="Arial"/>
          <w:sz w:val="14"/>
          <w:szCs w:val="14"/>
          <w:color w:val="4B4B4B"/>
        </w:rPr>
        <w:t xml:space="preserve"> tr</w:t>
      </w:r>
      <w:r>
        <w:rPr>
          <w:rFonts w:ascii="Arial" w:cs="Arial" w:eastAsia="Arial" w:hAnsi="Arial"/>
          <w:sz w:val="14"/>
          <w:szCs w:val="14"/>
          <w:color w:val="5B5B5B"/>
        </w:rPr>
        <w:t>ees)</w:t>
      </w:r>
      <w:r>
        <w:rPr>
          <w:rFonts w:ascii="Arial" w:cs="Arial" w:eastAsia="Arial" w:hAnsi="Arial"/>
          <w:sz w:val="14"/>
          <w:szCs w:val="14"/>
          <w:color w:val="4B4B4B"/>
        </w:rPr>
        <w:t xml:space="preserve"> wi</w:t>
      </w:r>
      <w:r>
        <w:rPr>
          <w:rFonts w:ascii="Arial" w:cs="Arial" w:eastAsia="Arial" w:hAnsi="Arial"/>
          <w:sz w:val="14"/>
          <w:szCs w:val="14"/>
          <w:color w:val="5B5B5B"/>
        </w:rPr>
        <w:t>t</w:t>
      </w:r>
      <w:r>
        <w:rPr>
          <w:rFonts w:ascii="Arial" w:cs="Arial" w:eastAsia="Arial" w:hAnsi="Arial"/>
          <w:sz w:val="14"/>
          <w:szCs w:val="14"/>
          <w:color w:val="4B4B4B"/>
        </w:rPr>
        <w:t>h</w:t>
      </w:r>
      <w:r>
        <w:rPr>
          <w:rFonts w:ascii="Arial" w:cs="Arial" w:eastAsia="Arial" w:hAnsi="Arial"/>
          <w:sz w:val="14"/>
          <w:szCs w:val="14"/>
          <w:color w:val="757575"/>
        </w:rPr>
        <w:t>i</w:t>
      </w:r>
      <w:r>
        <w:rPr>
          <w:rFonts w:ascii="Arial" w:cs="Arial" w:eastAsia="Arial" w:hAnsi="Arial"/>
          <w:sz w:val="14"/>
          <w:szCs w:val="14"/>
          <w:color w:val="5B5B5B"/>
        </w:rPr>
        <w:t>n 60 days</w:t>
      </w:r>
      <w:r>
        <w:rPr>
          <w:rFonts w:ascii="Arial" w:cs="Arial" w:eastAsia="Arial" w:hAnsi="Arial"/>
          <w:sz w:val="14"/>
          <w:szCs w:val="14"/>
          <w:color w:val="4B4B4B"/>
        </w:rPr>
        <w:t xml:space="preserve"> o</w:t>
      </w:r>
      <w:r>
        <w:rPr>
          <w:rFonts w:ascii="Arial" w:cs="Arial" w:eastAsia="Arial" w:hAnsi="Arial"/>
          <w:sz w:val="14"/>
          <w:szCs w:val="14"/>
          <w:color w:val="5B5B5B"/>
        </w:rPr>
        <w:t>f a fu</w:t>
      </w:r>
      <w:r>
        <w:rPr>
          <w:rFonts w:ascii="Arial" w:cs="Arial" w:eastAsia="Arial" w:hAnsi="Arial"/>
          <w:sz w:val="14"/>
          <w:szCs w:val="14"/>
          <w:color w:val="4B4B4B"/>
        </w:rPr>
        <w:t>ll</w:t>
      </w:r>
      <w:r>
        <w:rPr>
          <w:rFonts w:ascii="Arial" w:cs="Arial" w:eastAsia="Arial" w:hAnsi="Arial"/>
          <w:sz w:val="14"/>
          <w:szCs w:val="14"/>
          <w:color w:val="5B5B5B"/>
        </w:rPr>
        <w:t>y ex</w:t>
      </w:r>
      <w:r>
        <w:rPr>
          <w:rFonts w:ascii="Arial" w:cs="Arial" w:eastAsia="Arial" w:hAnsi="Arial"/>
          <w:sz w:val="14"/>
          <w:szCs w:val="14"/>
          <w:color w:val="4B4B4B"/>
        </w:rPr>
        <w:t>e</w:t>
      </w:r>
      <w:r>
        <w:rPr>
          <w:rFonts w:ascii="Arial" w:cs="Arial" w:eastAsia="Arial" w:hAnsi="Arial"/>
          <w:sz w:val="14"/>
          <w:szCs w:val="14"/>
          <w:color w:val="5B5B5B"/>
        </w:rPr>
        <w:t>cu</w:t>
      </w:r>
      <w:r>
        <w:rPr>
          <w:rFonts w:ascii="Arial" w:cs="Arial" w:eastAsia="Arial" w:hAnsi="Arial"/>
          <w:sz w:val="14"/>
          <w:szCs w:val="14"/>
          <w:color w:val="4B4B4B"/>
        </w:rPr>
        <w:t>te</w:t>
      </w:r>
      <w:r>
        <w:rPr>
          <w:rFonts w:ascii="Arial" w:cs="Arial" w:eastAsia="Arial" w:hAnsi="Arial"/>
          <w:sz w:val="14"/>
          <w:szCs w:val="14"/>
          <w:color w:val="5B5B5B"/>
        </w:rPr>
        <w:t>d</w:t>
      </w:r>
      <w:r>
        <w:rPr>
          <w:rFonts w:ascii="Arial" w:cs="Arial" w:eastAsia="Arial" w:hAnsi="Arial"/>
          <w:sz w:val="14"/>
          <w:szCs w:val="14"/>
          <w:color w:val="4B4B4B"/>
        </w:rPr>
        <w:t xml:space="preserve"> le</w:t>
      </w:r>
      <w:r>
        <w:rPr>
          <w:rFonts w:ascii="Arial" w:cs="Arial" w:eastAsia="Arial" w:hAnsi="Arial"/>
          <w:sz w:val="14"/>
          <w:szCs w:val="14"/>
          <w:color w:val="5B5B5B"/>
        </w:rPr>
        <w:t>ase</w:t>
      </w:r>
      <w:r>
        <w:rPr>
          <w:rFonts w:ascii="Arial" w:cs="Arial" w:eastAsia="Arial" w:hAnsi="Arial"/>
          <w:sz w:val="14"/>
          <w:szCs w:val="14"/>
          <w:color w:val="4B4B4B"/>
        </w:rPr>
        <w:t xml:space="preserve"> E</w:t>
      </w:r>
      <w:r>
        <w:rPr>
          <w:rFonts w:ascii="Arial" w:cs="Arial" w:eastAsia="Arial" w:hAnsi="Arial"/>
          <w:sz w:val="14"/>
          <w:szCs w:val="14"/>
          <w:color w:val="5B5B5B"/>
        </w:rPr>
        <w:t>xte</w:t>
      </w:r>
      <w:r>
        <w:rPr>
          <w:rFonts w:ascii="Arial" w:cs="Arial" w:eastAsia="Arial" w:hAnsi="Arial"/>
          <w:sz w:val="14"/>
          <w:szCs w:val="14"/>
          <w:color w:val="4B4B4B"/>
        </w:rPr>
        <w:t>n</w:t>
      </w:r>
      <w:r>
        <w:rPr>
          <w:rFonts w:ascii="Arial" w:cs="Arial" w:eastAsia="Arial" w:hAnsi="Arial"/>
          <w:sz w:val="14"/>
          <w:szCs w:val="14"/>
          <w:color w:val="5B5B5B"/>
        </w:rPr>
        <w:t>sion</w:t>
      </w:r>
      <w:r>
        <w:rPr>
          <w:rFonts w:ascii="Arial" w:cs="Arial" w:eastAsia="Arial" w:hAnsi="Arial"/>
          <w:sz w:val="14"/>
          <w:szCs w:val="14"/>
          <w:color w:val="757575"/>
        </w:rPr>
        <w:t>.</w:t>
      </w:r>
    </w:p>
    <w:p>
      <w:pPr>
        <w:spacing w:after="0" w:line="157" w:lineRule="exact"/>
        <w:rPr>
          <w:rFonts w:ascii="Arial" w:cs="Arial" w:eastAsia="Arial" w:hAnsi="Arial"/>
          <w:sz w:val="14"/>
          <w:szCs w:val="14"/>
          <w:color w:val="5B5B5B"/>
        </w:rPr>
      </w:pPr>
    </w:p>
    <w:p>
      <w:pPr>
        <w:ind w:left="640" w:hanging="321"/>
        <w:spacing w:after="0"/>
        <w:tabs>
          <w:tab w:leader="none" w:pos="640" w:val="left"/>
        </w:tabs>
        <w:numPr>
          <w:ilvl w:val="0"/>
          <w:numId w:val="51"/>
        </w:numPr>
        <w:rPr>
          <w:rFonts w:ascii="Arial" w:cs="Arial" w:eastAsia="Arial" w:hAnsi="Arial"/>
          <w:sz w:val="14"/>
          <w:szCs w:val="14"/>
          <w:color w:val="757575"/>
        </w:rPr>
      </w:pPr>
      <w:r>
        <w:rPr>
          <w:rFonts w:ascii="Arial" w:cs="Arial" w:eastAsia="Arial" w:hAnsi="Arial"/>
          <w:sz w:val="14"/>
          <w:szCs w:val="14"/>
          <w:b w:val="1"/>
          <w:bCs w:val="1"/>
          <w:color w:val="2F2F2F"/>
        </w:rPr>
        <w:t>Mai</w:t>
      </w:r>
      <w:r>
        <w:rPr>
          <w:rFonts w:ascii="Arial" w:cs="Arial" w:eastAsia="Arial" w:hAnsi="Arial"/>
          <w:sz w:val="14"/>
          <w:szCs w:val="14"/>
          <w:b w:val="1"/>
          <w:bCs w:val="1"/>
          <w:color w:val="3D3D3D"/>
        </w:rPr>
        <w:t>n</w:t>
      </w:r>
      <w:r>
        <w:rPr>
          <w:rFonts w:ascii="Arial" w:cs="Arial" w:eastAsia="Arial" w:hAnsi="Arial"/>
          <w:sz w:val="14"/>
          <w:szCs w:val="14"/>
          <w:b w:val="1"/>
          <w:bCs w:val="1"/>
          <w:color w:val="2F2F2F"/>
        </w:rPr>
        <w:t>te</w:t>
      </w:r>
      <w:r>
        <w:rPr>
          <w:rFonts w:ascii="Arial" w:cs="Arial" w:eastAsia="Arial" w:hAnsi="Arial"/>
          <w:sz w:val="14"/>
          <w:szCs w:val="14"/>
          <w:b w:val="1"/>
          <w:bCs w:val="1"/>
          <w:color w:val="3D3D3D"/>
        </w:rPr>
        <w:t>n</w:t>
      </w:r>
      <w:r>
        <w:rPr>
          <w:rFonts w:ascii="Arial" w:cs="Arial" w:eastAsia="Arial" w:hAnsi="Arial"/>
          <w:sz w:val="14"/>
          <w:szCs w:val="14"/>
          <w:b w:val="1"/>
          <w:bCs w:val="1"/>
          <w:color w:val="2F2F2F"/>
        </w:rPr>
        <w:t>a</w:t>
      </w:r>
      <w:r>
        <w:rPr>
          <w:rFonts w:ascii="Arial" w:cs="Arial" w:eastAsia="Arial" w:hAnsi="Arial"/>
          <w:sz w:val="14"/>
          <w:szCs w:val="14"/>
          <w:b w:val="1"/>
          <w:bCs w:val="1"/>
          <w:color w:val="3D3D3D"/>
        </w:rPr>
        <w:t>n</w:t>
      </w:r>
      <w:r>
        <w:rPr>
          <w:rFonts w:ascii="Arial" w:cs="Arial" w:eastAsia="Arial" w:hAnsi="Arial"/>
          <w:sz w:val="14"/>
          <w:szCs w:val="14"/>
          <w:b w:val="1"/>
          <w:bCs w:val="1"/>
          <w:color w:val="2F2F2F"/>
        </w:rPr>
        <w:t>ce and Opera</w:t>
      </w:r>
      <w:r>
        <w:rPr>
          <w:rFonts w:ascii="Arial" w:cs="Arial" w:eastAsia="Arial" w:hAnsi="Arial"/>
          <w:sz w:val="14"/>
          <w:szCs w:val="14"/>
          <w:b w:val="1"/>
          <w:bCs w:val="1"/>
          <w:color w:val="3D3D3D"/>
        </w:rPr>
        <w:t>ti</w:t>
      </w:r>
      <w:r>
        <w:rPr>
          <w:rFonts w:ascii="Arial" w:cs="Arial" w:eastAsia="Arial" w:hAnsi="Arial"/>
          <w:sz w:val="14"/>
          <w:szCs w:val="14"/>
          <w:b w:val="1"/>
          <w:bCs w:val="1"/>
          <w:color w:val="2F2F2F"/>
        </w:rPr>
        <w:t>ng Cos</w:t>
      </w:r>
      <w:r>
        <w:rPr>
          <w:rFonts w:ascii="Arial" w:cs="Arial" w:eastAsia="Arial" w:hAnsi="Arial"/>
          <w:sz w:val="14"/>
          <w:szCs w:val="14"/>
          <w:b w:val="1"/>
          <w:bCs w:val="1"/>
          <w:color w:val="3D3D3D"/>
        </w:rPr>
        <w:t>t</w:t>
      </w:r>
      <w:r>
        <w:rPr>
          <w:rFonts w:ascii="Arial" w:cs="Arial" w:eastAsia="Arial" w:hAnsi="Arial"/>
          <w:sz w:val="14"/>
          <w:szCs w:val="14"/>
          <w:b w:val="1"/>
          <w:bCs w:val="1"/>
          <w:color w:val="2F2F2F"/>
        </w:rPr>
        <w:t>s and Obl</w:t>
      </w:r>
      <w:r>
        <w:rPr>
          <w:rFonts w:ascii="Arial" w:cs="Arial" w:eastAsia="Arial" w:hAnsi="Arial"/>
          <w:sz w:val="14"/>
          <w:szCs w:val="14"/>
          <w:b w:val="1"/>
          <w:bCs w:val="1"/>
          <w:color w:val="3D3D3D"/>
        </w:rPr>
        <w:t>i</w:t>
      </w:r>
      <w:r>
        <w:rPr>
          <w:rFonts w:ascii="Arial" w:cs="Arial" w:eastAsia="Arial" w:hAnsi="Arial"/>
          <w:sz w:val="14"/>
          <w:szCs w:val="14"/>
          <w:b w:val="1"/>
          <w:bCs w:val="1"/>
          <w:color w:val="2F2F2F"/>
        </w:rPr>
        <w:t>gations</w:t>
      </w:r>
      <w:r>
        <w:rPr>
          <w:rFonts w:ascii="Arial" w:cs="Arial" w:eastAsia="Arial" w:hAnsi="Arial"/>
          <w:sz w:val="14"/>
          <w:szCs w:val="14"/>
          <w:b w:val="1"/>
          <w:bCs w:val="1"/>
          <w:color w:val="3D3D3D"/>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Le</w:t>
      </w:r>
      <w:r>
        <w:rPr>
          <w:rFonts w:ascii="Arial" w:cs="Arial" w:eastAsia="Arial" w:hAnsi="Arial"/>
          <w:sz w:val="14"/>
          <w:szCs w:val="14"/>
          <w:color w:val="2F2F2F"/>
        </w:rPr>
        <w:t>ss</w:t>
      </w:r>
      <w:r>
        <w:rPr>
          <w:rFonts w:ascii="Arial" w:cs="Arial" w:eastAsia="Arial" w:hAnsi="Arial"/>
          <w:sz w:val="14"/>
          <w:szCs w:val="14"/>
          <w:color w:val="3D3D3D"/>
        </w:rPr>
        <w:t>o</w:t>
      </w:r>
      <w:r>
        <w:rPr>
          <w:rFonts w:ascii="Arial" w:cs="Arial" w:eastAsia="Arial" w:hAnsi="Arial"/>
          <w:sz w:val="14"/>
          <w:szCs w:val="14"/>
          <w:color w:val="4F4F4F"/>
        </w:rPr>
        <w:t>r</w:t>
      </w:r>
      <w:r>
        <w:rPr>
          <w:rFonts w:ascii="Arial" w:cs="Arial" w:eastAsia="Arial" w:hAnsi="Arial"/>
          <w:sz w:val="14"/>
          <w:szCs w:val="14"/>
          <w:b w:val="1"/>
          <w:bCs w:val="1"/>
          <w:color w:val="2F2F2F"/>
        </w:rPr>
        <w:t xml:space="preserve"> </w:t>
      </w:r>
      <w:r>
        <w:rPr>
          <w:rFonts w:ascii="Arial" w:cs="Arial" w:eastAsia="Arial" w:hAnsi="Arial"/>
          <w:sz w:val="14"/>
          <w:szCs w:val="14"/>
          <w:color w:val="3D3D3D"/>
        </w:rPr>
        <w:t>will arran</w:t>
      </w:r>
      <w:r>
        <w:rPr>
          <w:rFonts w:ascii="Arial" w:cs="Arial" w:eastAsia="Arial" w:hAnsi="Arial"/>
          <w:sz w:val="14"/>
          <w:szCs w:val="14"/>
          <w:color w:val="2F2F2F"/>
        </w:rPr>
        <w:t>ge</w:t>
      </w:r>
      <w:r>
        <w:rPr>
          <w:rFonts w:ascii="Arial" w:cs="Arial" w:eastAsia="Arial" w:hAnsi="Arial"/>
          <w:sz w:val="14"/>
          <w:szCs w:val="14"/>
          <w:b w:val="1"/>
          <w:bCs w:val="1"/>
          <w:color w:val="2F2F2F"/>
        </w:rPr>
        <w:t xml:space="preserve"> </w:t>
      </w:r>
      <w:r>
        <w:rPr>
          <w:rFonts w:ascii="Arial" w:cs="Arial" w:eastAsia="Arial" w:hAnsi="Arial"/>
          <w:sz w:val="14"/>
          <w:szCs w:val="14"/>
          <w:color w:val="3D3D3D"/>
        </w:rPr>
        <w:t>for the management of the property and arrange and superv</w:t>
      </w:r>
      <w:r>
        <w:rPr>
          <w:rFonts w:ascii="Arial" w:cs="Arial" w:eastAsia="Arial" w:hAnsi="Arial"/>
          <w:sz w:val="14"/>
          <w:szCs w:val="14"/>
          <w:color w:val="4F4F4F"/>
        </w:rPr>
        <w:t>i</w:t>
      </w:r>
      <w:r>
        <w:rPr>
          <w:rFonts w:ascii="Arial" w:cs="Arial" w:eastAsia="Arial" w:hAnsi="Arial"/>
          <w:sz w:val="14"/>
          <w:szCs w:val="14"/>
          <w:color w:val="3D3D3D"/>
        </w:rPr>
        <w:t>se the</w:t>
      </w:r>
    </w:p>
    <w:p>
      <w:pPr>
        <w:spacing w:after="0" w:line="19" w:lineRule="exact"/>
        <w:rPr>
          <w:rFonts w:ascii="Arial" w:cs="Arial" w:eastAsia="Arial" w:hAnsi="Arial"/>
          <w:sz w:val="14"/>
          <w:szCs w:val="14"/>
          <w:color w:val="757575"/>
        </w:rPr>
      </w:pPr>
    </w:p>
    <w:p>
      <w:pPr>
        <w:ind w:left="640" w:right="300"/>
        <w:spacing w:after="0" w:line="258" w:lineRule="auto"/>
        <w:rPr>
          <w:rFonts w:ascii="Arial" w:cs="Arial" w:eastAsia="Arial" w:hAnsi="Arial"/>
          <w:sz w:val="14"/>
          <w:szCs w:val="14"/>
          <w:color w:val="757575"/>
        </w:rPr>
      </w:pPr>
      <w:r>
        <w:rPr>
          <w:rFonts w:ascii="Arial" w:cs="Arial" w:eastAsia="Arial" w:hAnsi="Arial"/>
          <w:sz w:val="14"/>
          <w:szCs w:val="14"/>
          <w:color w:val="3D3D3D"/>
        </w:rPr>
        <w:t>ma</w:t>
      </w:r>
      <w:r>
        <w:rPr>
          <w:rFonts w:ascii="Arial" w:cs="Arial" w:eastAsia="Arial" w:hAnsi="Arial"/>
          <w:sz w:val="14"/>
          <w:szCs w:val="14"/>
          <w:color w:val="4F4F4F"/>
        </w:rPr>
        <w:t>i</w:t>
      </w:r>
      <w:r>
        <w:rPr>
          <w:rFonts w:ascii="Arial" w:cs="Arial" w:eastAsia="Arial" w:hAnsi="Arial"/>
          <w:sz w:val="14"/>
          <w:szCs w:val="14"/>
          <w:color w:val="3D3D3D"/>
        </w:rPr>
        <w:t>ntenance of the landscaping</w:t>
      </w:r>
      <w:r>
        <w:rPr>
          <w:rFonts w:ascii="Arial" w:cs="Arial" w:eastAsia="Arial" w:hAnsi="Arial"/>
          <w:sz w:val="14"/>
          <w:szCs w:val="14"/>
          <w:color w:val="6D6D6D"/>
        </w:rPr>
        <w:t>,</w:t>
      </w:r>
      <w:r>
        <w:rPr>
          <w:rFonts w:ascii="Arial" w:cs="Arial" w:eastAsia="Arial" w:hAnsi="Arial"/>
          <w:sz w:val="14"/>
          <w:szCs w:val="14"/>
          <w:color w:val="3D3D3D"/>
        </w:rPr>
        <w:t xml:space="preserve"> parking lot</w:t>
      </w:r>
      <w:r>
        <w:rPr>
          <w:rFonts w:ascii="Arial" w:cs="Arial" w:eastAsia="Arial" w:hAnsi="Arial"/>
          <w:sz w:val="14"/>
          <w:szCs w:val="14"/>
          <w:color w:val="6D6D6D"/>
        </w:rPr>
        <w:t>,</w:t>
      </w:r>
      <w:r>
        <w:rPr>
          <w:rFonts w:ascii="Arial" w:cs="Arial" w:eastAsia="Arial" w:hAnsi="Arial"/>
          <w:sz w:val="14"/>
          <w:szCs w:val="14"/>
          <w:color w:val="3D3D3D"/>
        </w:rPr>
        <w:t xml:space="preserve"> roof</w:t>
      </w:r>
      <w:r>
        <w:rPr>
          <w:rFonts w:ascii="Arial" w:cs="Arial" w:eastAsia="Arial" w:hAnsi="Arial"/>
          <w:sz w:val="14"/>
          <w:szCs w:val="14"/>
          <w:color w:val="6D6D6D"/>
        </w:rPr>
        <w:t>,</w:t>
      </w:r>
      <w:r>
        <w:rPr>
          <w:rFonts w:ascii="Arial" w:cs="Arial" w:eastAsia="Arial" w:hAnsi="Arial"/>
          <w:sz w:val="14"/>
          <w:szCs w:val="14"/>
          <w:color w:val="3D3D3D"/>
        </w:rPr>
        <w:t xml:space="preserve"> HVAC equ</w:t>
      </w:r>
      <w:r>
        <w:rPr>
          <w:rFonts w:ascii="Arial" w:cs="Arial" w:eastAsia="Arial" w:hAnsi="Arial"/>
          <w:sz w:val="14"/>
          <w:szCs w:val="14"/>
          <w:color w:val="4F4F4F"/>
        </w:rPr>
        <w:t>i</w:t>
      </w:r>
      <w:r>
        <w:rPr>
          <w:rFonts w:ascii="Arial" w:cs="Arial" w:eastAsia="Arial" w:hAnsi="Arial"/>
          <w:sz w:val="14"/>
          <w:szCs w:val="14"/>
          <w:color w:val="3D3D3D"/>
        </w:rPr>
        <w:t>pmen</w:t>
      </w:r>
      <w:r>
        <w:rPr>
          <w:rFonts w:ascii="Arial" w:cs="Arial" w:eastAsia="Arial" w:hAnsi="Arial"/>
          <w:sz w:val="14"/>
          <w:szCs w:val="14"/>
          <w:color w:val="4F4F4F"/>
        </w:rPr>
        <w:t>t.</w:t>
      </w:r>
      <w:r>
        <w:rPr>
          <w:rFonts w:ascii="Arial" w:cs="Arial" w:eastAsia="Arial" w:hAnsi="Arial"/>
          <w:sz w:val="14"/>
          <w:szCs w:val="14"/>
          <w:color w:val="3D3D3D"/>
        </w:rPr>
        <w:t xml:space="preserve"> bu</w:t>
      </w:r>
      <w:r>
        <w:rPr>
          <w:rFonts w:ascii="Arial" w:cs="Arial" w:eastAsia="Arial" w:hAnsi="Arial"/>
          <w:sz w:val="14"/>
          <w:szCs w:val="14"/>
          <w:color w:val="4F4F4F"/>
        </w:rPr>
        <w:t>i</w:t>
      </w:r>
      <w:r>
        <w:rPr>
          <w:rFonts w:ascii="Arial" w:cs="Arial" w:eastAsia="Arial" w:hAnsi="Arial"/>
          <w:sz w:val="14"/>
          <w:szCs w:val="14"/>
          <w:color w:val="3D3D3D"/>
        </w:rPr>
        <w:t>lding ext</w:t>
      </w:r>
      <w:r>
        <w:rPr>
          <w:rFonts w:ascii="Arial" w:cs="Arial" w:eastAsia="Arial" w:hAnsi="Arial"/>
          <w:sz w:val="14"/>
          <w:szCs w:val="14"/>
          <w:color w:val="2F2F2F"/>
        </w:rPr>
        <w:t>e</w:t>
      </w:r>
      <w:r>
        <w:rPr>
          <w:rFonts w:ascii="Arial" w:cs="Arial" w:eastAsia="Arial" w:hAnsi="Arial"/>
          <w:sz w:val="14"/>
          <w:szCs w:val="14"/>
          <w:color w:val="3D3D3D"/>
        </w:rPr>
        <w:t>r</w:t>
      </w:r>
      <w:r>
        <w:rPr>
          <w:rFonts w:ascii="Arial" w:cs="Arial" w:eastAsia="Arial" w:hAnsi="Arial"/>
          <w:sz w:val="14"/>
          <w:szCs w:val="14"/>
          <w:color w:val="4F4F4F"/>
        </w:rPr>
        <w:t>i</w:t>
      </w:r>
      <w:r>
        <w:rPr>
          <w:rFonts w:ascii="Arial" w:cs="Arial" w:eastAsia="Arial" w:hAnsi="Arial"/>
          <w:sz w:val="14"/>
          <w:szCs w:val="14"/>
          <w:color w:val="3D3D3D"/>
        </w:rPr>
        <w:t>or</w:t>
      </w:r>
      <w:r>
        <w:rPr>
          <w:rFonts w:ascii="Arial" w:cs="Arial" w:eastAsia="Arial" w:hAnsi="Arial"/>
          <w:sz w:val="14"/>
          <w:szCs w:val="14"/>
          <w:color w:val="7C7C7C"/>
        </w:rPr>
        <w:t>. L</w:t>
      </w:r>
      <w:r>
        <w:rPr>
          <w:rFonts w:ascii="Arial" w:cs="Arial" w:eastAsia="Arial" w:hAnsi="Arial"/>
          <w:sz w:val="14"/>
          <w:szCs w:val="14"/>
          <w:color w:val="3D3D3D"/>
        </w:rPr>
        <w:t>essee will re</w:t>
      </w:r>
      <w:r>
        <w:rPr>
          <w:rFonts w:ascii="Arial" w:cs="Arial" w:eastAsia="Arial" w:hAnsi="Arial"/>
          <w:sz w:val="14"/>
          <w:szCs w:val="14"/>
          <w:color w:val="4F4F4F"/>
        </w:rPr>
        <w:t>i</w:t>
      </w:r>
      <w:r>
        <w:rPr>
          <w:rFonts w:ascii="Arial" w:cs="Arial" w:eastAsia="Arial" w:hAnsi="Arial"/>
          <w:sz w:val="14"/>
          <w:szCs w:val="14"/>
          <w:color w:val="3D3D3D"/>
        </w:rPr>
        <w:t>mburse Landlord for t</w:t>
      </w:r>
      <w:r>
        <w:rPr>
          <w:rFonts w:ascii="Arial" w:cs="Arial" w:eastAsia="Arial" w:hAnsi="Arial"/>
          <w:sz w:val="14"/>
          <w:szCs w:val="14"/>
          <w:color w:val="4F4F4F"/>
        </w:rPr>
        <w:t>h</w:t>
      </w:r>
      <w:r>
        <w:rPr>
          <w:rFonts w:ascii="Arial" w:cs="Arial" w:eastAsia="Arial" w:hAnsi="Arial"/>
          <w:sz w:val="14"/>
          <w:szCs w:val="14"/>
          <w:color w:val="3D3D3D"/>
        </w:rPr>
        <w:t>e approp</w:t>
      </w:r>
      <w:r>
        <w:rPr>
          <w:rFonts w:ascii="Arial" w:cs="Arial" w:eastAsia="Arial" w:hAnsi="Arial"/>
          <w:sz w:val="14"/>
          <w:szCs w:val="14"/>
          <w:color w:val="4F4F4F"/>
        </w:rPr>
        <w:t>r</w:t>
      </w:r>
      <w:r>
        <w:rPr>
          <w:rFonts w:ascii="Arial" w:cs="Arial" w:eastAsia="Arial" w:hAnsi="Arial"/>
          <w:sz w:val="14"/>
          <w:szCs w:val="14"/>
          <w:color w:val="6D6D6D"/>
        </w:rPr>
        <w:t>i</w:t>
      </w:r>
      <w:r>
        <w:rPr>
          <w:rFonts w:ascii="Arial" w:cs="Arial" w:eastAsia="Arial" w:hAnsi="Arial"/>
          <w:sz w:val="14"/>
          <w:szCs w:val="14"/>
          <w:color w:val="3D3D3D"/>
        </w:rPr>
        <w:t>ate costs and approp</w:t>
      </w:r>
      <w:r>
        <w:rPr>
          <w:rFonts w:ascii="Arial" w:cs="Arial" w:eastAsia="Arial" w:hAnsi="Arial"/>
          <w:sz w:val="14"/>
          <w:szCs w:val="14"/>
          <w:color w:val="4F4F4F"/>
        </w:rPr>
        <w:t>ri</w:t>
      </w:r>
      <w:r>
        <w:rPr>
          <w:rFonts w:ascii="Arial" w:cs="Arial" w:eastAsia="Arial" w:hAnsi="Arial"/>
          <w:sz w:val="14"/>
          <w:szCs w:val="14"/>
          <w:color w:val="3D3D3D"/>
        </w:rPr>
        <w:t>ate reserves</w:t>
      </w:r>
      <w:r>
        <w:rPr>
          <w:rFonts w:ascii="Arial" w:cs="Arial" w:eastAsia="Arial" w:hAnsi="Arial"/>
          <w:sz w:val="14"/>
          <w:szCs w:val="14"/>
          <w:color w:val="6D6D6D"/>
        </w:rPr>
        <w:t>.</w:t>
      </w:r>
    </w:p>
    <w:p>
      <w:pPr>
        <w:spacing w:after="0" w:line="175" w:lineRule="exact"/>
        <w:rPr>
          <w:rFonts w:ascii="Arial" w:cs="Arial" w:eastAsia="Arial" w:hAnsi="Arial"/>
          <w:sz w:val="14"/>
          <w:szCs w:val="14"/>
          <w:color w:val="757575"/>
        </w:rPr>
      </w:pPr>
    </w:p>
    <w:p>
      <w:pPr>
        <w:ind w:left="640" w:right="120" w:hanging="321"/>
        <w:spacing w:after="0" w:line="263" w:lineRule="auto"/>
        <w:tabs>
          <w:tab w:leader="none" w:pos="638" w:val="left"/>
        </w:tabs>
        <w:numPr>
          <w:ilvl w:val="0"/>
          <w:numId w:val="51"/>
        </w:numPr>
        <w:rPr>
          <w:rFonts w:ascii="Arial" w:cs="Arial" w:eastAsia="Arial" w:hAnsi="Arial"/>
          <w:sz w:val="14"/>
          <w:szCs w:val="14"/>
          <w:color w:val="6D6D6D"/>
        </w:rPr>
      </w:pPr>
      <w:r>
        <w:rPr>
          <w:rFonts w:ascii="Arial" w:cs="Arial" w:eastAsia="Arial" w:hAnsi="Arial"/>
          <w:sz w:val="14"/>
          <w:szCs w:val="14"/>
          <w:b w:val="1"/>
          <w:bCs w:val="1"/>
          <w:color w:val="2F2F2F"/>
        </w:rPr>
        <w:t>Governmen</w:t>
      </w:r>
      <w:r>
        <w:rPr>
          <w:rFonts w:ascii="Arial" w:cs="Arial" w:eastAsia="Arial" w:hAnsi="Arial"/>
          <w:sz w:val="14"/>
          <w:szCs w:val="14"/>
          <w:b w:val="1"/>
          <w:bCs w:val="1"/>
          <w:color w:val="3D3D3D"/>
        </w:rPr>
        <w:t>t</w:t>
      </w:r>
      <w:r>
        <w:rPr>
          <w:rFonts w:ascii="Arial" w:cs="Arial" w:eastAsia="Arial" w:hAnsi="Arial"/>
          <w:sz w:val="14"/>
          <w:szCs w:val="14"/>
          <w:b w:val="1"/>
          <w:bCs w:val="1"/>
          <w:color w:val="2F2F2F"/>
        </w:rPr>
        <w:t>a</w:t>
      </w:r>
      <w:r>
        <w:rPr>
          <w:rFonts w:ascii="Arial" w:cs="Arial" w:eastAsia="Arial" w:hAnsi="Arial"/>
          <w:sz w:val="14"/>
          <w:szCs w:val="14"/>
          <w:b w:val="1"/>
          <w:bCs w:val="1"/>
          <w:color w:val="3D3D3D"/>
        </w:rPr>
        <w:t>l</w:t>
      </w:r>
      <w:r>
        <w:rPr>
          <w:rFonts w:ascii="Arial" w:cs="Arial" w:eastAsia="Arial" w:hAnsi="Arial"/>
          <w:sz w:val="14"/>
          <w:szCs w:val="14"/>
          <w:b w:val="1"/>
          <w:bCs w:val="1"/>
          <w:color w:val="2F2F2F"/>
        </w:rPr>
        <w:t xml:space="preserve"> Regu</w:t>
      </w:r>
      <w:r>
        <w:rPr>
          <w:rFonts w:ascii="Arial" w:cs="Arial" w:eastAsia="Arial" w:hAnsi="Arial"/>
          <w:sz w:val="14"/>
          <w:szCs w:val="14"/>
          <w:b w:val="1"/>
          <w:bCs w:val="1"/>
          <w:color w:val="3D3D3D"/>
        </w:rPr>
        <w:t>l</w:t>
      </w:r>
      <w:r>
        <w:rPr>
          <w:rFonts w:ascii="Arial" w:cs="Arial" w:eastAsia="Arial" w:hAnsi="Arial"/>
          <w:sz w:val="14"/>
          <w:szCs w:val="14"/>
          <w:b w:val="1"/>
          <w:bCs w:val="1"/>
          <w:color w:val="2F2F2F"/>
        </w:rPr>
        <w:t>at</w:t>
      </w:r>
      <w:r>
        <w:rPr>
          <w:rFonts w:ascii="Arial" w:cs="Arial" w:eastAsia="Arial" w:hAnsi="Arial"/>
          <w:sz w:val="14"/>
          <w:szCs w:val="14"/>
          <w:b w:val="1"/>
          <w:bCs w:val="1"/>
          <w:color w:val="3D3D3D"/>
        </w:rPr>
        <w:t>i</w:t>
      </w:r>
      <w:r>
        <w:rPr>
          <w:rFonts w:ascii="Arial" w:cs="Arial" w:eastAsia="Arial" w:hAnsi="Arial"/>
          <w:sz w:val="14"/>
          <w:szCs w:val="14"/>
          <w:b w:val="1"/>
          <w:bCs w:val="1"/>
          <w:color w:val="2F2F2F"/>
        </w:rPr>
        <w:t>ons</w:t>
      </w:r>
      <w:r>
        <w:rPr>
          <w:rFonts w:ascii="Arial" w:cs="Arial" w:eastAsia="Arial" w:hAnsi="Arial"/>
          <w:sz w:val="14"/>
          <w:szCs w:val="14"/>
          <w:b w:val="1"/>
          <w:bCs w:val="1"/>
          <w:color w:val="3D3D3D"/>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Lessor will be</w:t>
      </w:r>
      <w:r>
        <w:rPr>
          <w:rFonts w:ascii="Arial" w:cs="Arial" w:eastAsia="Arial" w:hAnsi="Arial"/>
          <w:sz w:val="14"/>
          <w:szCs w:val="14"/>
          <w:b w:val="1"/>
          <w:bCs w:val="1"/>
          <w:color w:val="2F2F2F"/>
        </w:rPr>
        <w:t xml:space="preserve"> </w:t>
      </w:r>
      <w:r>
        <w:rPr>
          <w:rFonts w:ascii="Arial" w:cs="Arial" w:eastAsia="Arial" w:hAnsi="Arial"/>
          <w:sz w:val="14"/>
          <w:szCs w:val="14"/>
          <w:color w:val="4F4F4F"/>
        </w:rPr>
        <w:t>r</w:t>
      </w:r>
      <w:r>
        <w:rPr>
          <w:rFonts w:ascii="Arial" w:cs="Arial" w:eastAsia="Arial" w:hAnsi="Arial"/>
          <w:sz w:val="14"/>
          <w:szCs w:val="14"/>
          <w:color w:val="3D3D3D"/>
        </w:rPr>
        <w:t>esponsible fo</w:t>
      </w:r>
      <w:r>
        <w:rPr>
          <w:rFonts w:ascii="Arial" w:cs="Arial" w:eastAsia="Arial" w:hAnsi="Arial"/>
          <w:sz w:val="14"/>
          <w:szCs w:val="14"/>
          <w:color w:val="4F4F4F"/>
        </w:rPr>
        <w:t>r</w:t>
      </w:r>
      <w:r>
        <w:rPr>
          <w:rFonts w:ascii="Arial" w:cs="Arial" w:eastAsia="Arial" w:hAnsi="Arial"/>
          <w:sz w:val="14"/>
          <w:szCs w:val="14"/>
          <w:b w:val="1"/>
          <w:bCs w:val="1"/>
          <w:color w:val="2F2F2F"/>
        </w:rPr>
        <w:t xml:space="preserve"> </w:t>
      </w:r>
      <w:r>
        <w:rPr>
          <w:rFonts w:ascii="Arial" w:cs="Arial" w:eastAsia="Arial" w:hAnsi="Arial"/>
          <w:sz w:val="14"/>
          <w:szCs w:val="14"/>
          <w:color w:val="3D3D3D"/>
        </w:rPr>
        <w:t>any b</w:t>
      </w:r>
      <w:r>
        <w:rPr>
          <w:rFonts w:ascii="Arial" w:cs="Arial" w:eastAsia="Arial" w:hAnsi="Arial"/>
          <w:sz w:val="14"/>
          <w:szCs w:val="14"/>
          <w:color w:val="4F4F4F"/>
        </w:rPr>
        <w:t>i</w:t>
      </w:r>
      <w:r>
        <w:rPr>
          <w:rFonts w:ascii="Arial" w:cs="Arial" w:eastAsia="Arial" w:hAnsi="Arial"/>
          <w:sz w:val="14"/>
          <w:szCs w:val="14"/>
          <w:color w:val="3D3D3D"/>
        </w:rPr>
        <w:t>nd</w:t>
      </w:r>
      <w:r>
        <w:rPr>
          <w:rFonts w:ascii="Arial" w:cs="Arial" w:eastAsia="Arial" w:hAnsi="Arial"/>
          <w:sz w:val="14"/>
          <w:szCs w:val="14"/>
          <w:color w:val="4F4F4F"/>
        </w:rPr>
        <w:t>i</w:t>
      </w:r>
      <w:r>
        <w:rPr>
          <w:rFonts w:ascii="Arial" w:cs="Arial" w:eastAsia="Arial" w:hAnsi="Arial"/>
          <w:sz w:val="14"/>
          <w:szCs w:val="14"/>
          <w:color w:val="3D3D3D"/>
        </w:rPr>
        <w:t>ng governmen</w:t>
      </w:r>
      <w:r>
        <w:rPr>
          <w:rFonts w:ascii="Arial" w:cs="Arial" w:eastAsia="Arial" w:hAnsi="Arial"/>
          <w:sz w:val="14"/>
          <w:szCs w:val="14"/>
          <w:color w:val="4F4F4F"/>
        </w:rPr>
        <w:t>t</w:t>
      </w:r>
      <w:r>
        <w:rPr>
          <w:rFonts w:ascii="Arial" w:cs="Arial" w:eastAsia="Arial" w:hAnsi="Arial"/>
          <w:sz w:val="14"/>
          <w:szCs w:val="14"/>
          <w:color w:val="3D3D3D"/>
        </w:rPr>
        <w:t>al orde</w:t>
      </w:r>
      <w:r>
        <w:rPr>
          <w:rFonts w:ascii="Arial" w:cs="Arial" w:eastAsia="Arial" w:hAnsi="Arial"/>
          <w:sz w:val="14"/>
          <w:szCs w:val="14"/>
          <w:color w:val="4F4F4F"/>
        </w:rPr>
        <w:t>r</w:t>
      </w:r>
      <w:r>
        <w:rPr>
          <w:rFonts w:ascii="Arial" w:cs="Arial" w:eastAsia="Arial" w:hAnsi="Arial"/>
          <w:sz w:val="14"/>
          <w:szCs w:val="14"/>
          <w:b w:val="1"/>
          <w:bCs w:val="1"/>
          <w:color w:val="2F2F2F"/>
        </w:rPr>
        <w:t xml:space="preserve"> </w:t>
      </w:r>
      <w:r>
        <w:rPr>
          <w:rFonts w:ascii="Arial" w:cs="Arial" w:eastAsia="Arial" w:hAnsi="Arial"/>
          <w:sz w:val="14"/>
          <w:szCs w:val="14"/>
          <w:color w:val="3D3D3D"/>
        </w:rPr>
        <w:t>pe</w:t>
      </w:r>
      <w:r>
        <w:rPr>
          <w:rFonts w:ascii="Arial" w:cs="Arial" w:eastAsia="Arial" w:hAnsi="Arial"/>
          <w:sz w:val="14"/>
          <w:szCs w:val="14"/>
          <w:color w:val="4F4F4F"/>
        </w:rPr>
        <w:t>rt</w:t>
      </w:r>
      <w:r>
        <w:rPr>
          <w:rFonts w:ascii="Arial" w:cs="Arial" w:eastAsia="Arial" w:hAnsi="Arial"/>
          <w:sz w:val="14"/>
          <w:szCs w:val="14"/>
          <w:color w:val="3D3D3D"/>
        </w:rPr>
        <w:t>a</w:t>
      </w:r>
      <w:r>
        <w:rPr>
          <w:rFonts w:ascii="Arial" w:cs="Arial" w:eastAsia="Arial" w:hAnsi="Arial"/>
          <w:sz w:val="14"/>
          <w:szCs w:val="14"/>
          <w:color w:val="4F4F4F"/>
        </w:rPr>
        <w:t>i</w:t>
      </w:r>
      <w:r>
        <w:rPr>
          <w:rFonts w:ascii="Arial" w:cs="Arial" w:eastAsia="Arial" w:hAnsi="Arial"/>
          <w:sz w:val="14"/>
          <w:szCs w:val="14"/>
          <w:color w:val="3D3D3D"/>
        </w:rPr>
        <w:t>n</w:t>
      </w:r>
      <w:r>
        <w:rPr>
          <w:rFonts w:ascii="Arial" w:cs="Arial" w:eastAsia="Arial" w:hAnsi="Arial"/>
          <w:sz w:val="14"/>
          <w:szCs w:val="14"/>
          <w:color w:val="4F4F4F"/>
        </w:rPr>
        <w:t>i</w:t>
      </w:r>
      <w:r>
        <w:rPr>
          <w:rFonts w:ascii="Arial" w:cs="Arial" w:eastAsia="Arial" w:hAnsi="Arial"/>
          <w:sz w:val="14"/>
          <w:szCs w:val="14"/>
          <w:color w:val="3D3D3D"/>
        </w:rPr>
        <w:t>ng</w:t>
      </w:r>
      <w:r>
        <w:rPr>
          <w:rFonts w:ascii="Arial" w:cs="Arial" w:eastAsia="Arial" w:hAnsi="Arial"/>
          <w:sz w:val="14"/>
          <w:szCs w:val="14"/>
          <w:b w:val="1"/>
          <w:bCs w:val="1"/>
          <w:color w:val="2F2F2F"/>
        </w:rPr>
        <w:t xml:space="preserve"> </w:t>
      </w:r>
      <w:r>
        <w:rPr>
          <w:rFonts w:ascii="Arial" w:cs="Arial" w:eastAsia="Arial" w:hAnsi="Arial"/>
          <w:sz w:val="14"/>
          <w:szCs w:val="14"/>
          <w:color w:val="4F4F4F"/>
        </w:rPr>
        <w:t>t</w:t>
      </w:r>
      <w:r>
        <w:rPr>
          <w:rFonts w:ascii="Arial" w:cs="Arial" w:eastAsia="Arial" w:hAnsi="Arial"/>
          <w:sz w:val="14"/>
          <w:szCs w:val="14"/>
          <w:color w:val="3D3D3D"/>
        </w:rPr>
        <w:t>o the property that is not related to Le</w:t>
      </w:r>
      <w:r>
        <w:rPr>
          <w:rFonts w:ascii="Arial" w:cs="Arial" w:eastAsia="Arial" w:hAnsi="Arial"/>
          <w:sz w:val="14"/>
          <w:szCs w:val="14"/>
          <w:color w:val="2F2F2F"/>
        </w:rPr>
        <w:t>s</w:t>
      </w:r>
      <w:r>
        <w:rPr>
          <w:rFonts w:ascii="Arial" w:cs="Arial" w:eastAsia="Arial" w:hAnsi="Arial"/>
          <w:sz w:val="14"/>
          <w:szCs w:val="14"/>
          <w:color w:val="3D3D3D"/>
        </w:rPr>
        <w:t>see</w:t>
      </w:r>
      <w:r>
        <w:rPr>
          <w:rFonts w:ascii="Arial" w:cs="Arial" w:eastAsia="Arial" w:hAnsi="Arial"/>
          <w:sz w:val="14"/>
          <w:szCs w:val="14"/>
          <w:color w:val="6D6D6D"/>
        </w:rPr>
        <w:t>'</w:t>
      </w:r>
      <w:r>
        <w:rPr>
          <w:rFonts w:ascii="Arial" w:cs="Arial" w:eastAsia="Arial" w:hAnsi="Arial"/>
          <w:sz w:val="14"/>
          <w:szCs w:val="14"/>
          <w:color w:val="3D3D3D"/>
        </w:rPr>
        <w:t>s</w:t>
      </w:r>
      <w:r>
        <w:rPr>
          <w:rFonts w:ascii="Arial" w:cs="Arial" w:eastAsia="Arial" w:hAnsi="Arial"/>
          <w:sz w:val="14"/>
          <w:szCs w:val="14"/>
          <w:b w:val="1"/>
          <w:bCs w:val="1"/>
          <w:color w:val="2F2F2F"/>
        </w:rPr>
        <w:t xml:space="preserve"> </w:t>
      </w:r>
      <w:r>
        <w:rPr>
          <w:rFonts w:ascii="Arial" w:cs="Arial" w:eastAsia="Arial" w:hAnsi="Arial"/>
          <w:sz w:val="14"/>
          <w:szCs w:val="14"/>
          <w:color w:val="3D3D3D"/>
        </w:rPr>
        <w:t>use</w:t>
      </w:r>
      <w:r>
        <w:rPr>
          <w:rFonts w:ascii="Arial" w:cs="Arial" w:eastAsia="Arial" w:hAnsi="Arial"/>
          <w:sz w:val="14"/>
          <w:szCs w:val="14"/>
          <w:color w:val="6D6D6D"/>
        </w:rPr>
        <w:t>, o</w:t>
      </w:r>
      <w:r>
        <w:rPr>
          <w:rFonts w:ascii="Arial" w:cs="Arial" w:eastAsia="Arial" w:hAnsi="Arial"/>
          <w:sz w:val="14"/>
          <w:szCs w:val="14"/>
          <w:color w:val="3D3D3D"/>
        </w:rPr>
        <w:t>ccupancy or al</w:t>
      </w:r>
      <w:r>
        <w:rPr>
          <w:rFonts w:ascii="Arial" w:cs="Arial" w:eastAsia="Arial" w:hAnsi="Arial"/>
          <w:sz w:val="14"/>
          <w:szCs w:val="14"/>
          <w:color w:val="4F4F4F"/>
        </w:rPr>
        <w:t>t</w:t>
      </w:r>
      <w:r>
        <w:rPr>
          <w:rFonts w:ascii="Arial" w:cs="Arial" w:eastAsia="Arial" w:hAnsi="Arial"/>
          <w:sz w:val="14"/>
          <w:szCs w:val="14"/>
          <w:color w:val="3D3D3D"/>
        </w:rPr>
        <w:t>erat</w:t>
      </w:r>
      <w:r>
        <w:rPr>
          <w:rFonts w:ascii="Arial" w:cs="Arial" w:eastAsia="Arial" w:hAnsi="Arial"/>
          <w:sz w:val="14"/>
          <w:szCs w:val="14"/>
          <w:color w:val="4F4F4F"/>
        </w:rPr>
        <w:t>i</w:t>
      </w:r>
      <w:r>
        <w:rPr>
          <w:rFonts w:ascii="Arial" w:cs="Arial" w:eastAsia="Arial" w:hAnsi="Arial"/>
          <w:sz w:val="14"/>
          <w:szCs w:val="14"/>
          <w:color w:val="3D3D3D"/>
        </w:rPr>
        <w:t>on o</w:t>
      </w:r>
      <w:r>
        <w:rPr>
          <w:rFonts w:ascii="Arial" w:cs="Arial" w:eastAsia="Arial" w:hAnsi="Arial"/>
          <w:sz w:val="14"/>
          <w:szCs w:val="14"/>
          <w:color w:val="4F4F4F"/>
        </w:rPr>
        <w:t>f</w:t>
      </w:r>
      <w:r>
        <w:rPr>
          <w:rFonts w:ascii="Arial" w:cs="Arial" w:eastAsia="Arial" w:hAnsi="Arial"/>
          <w:sz w:val="14"/>
          <w:szCs w:val="14"/>
          <w:color w:val="3D3D3D"/>
        </w:rPr>
        <w:t xml:space="preserve"> the property</w:t>
      </w:r>
      <w:r>
        <w:rPr>
          <w:rFonts w:ascii="Arial" w:cs="Arial" w:eastAsia="Arial" w:hAnsi="Arial"/>
          <w:sz w:val="14"/>
          <w:szCs w:val="14"/>
          <w:color w:val="7C7C7C"/>
        </w:rPr>
        <w:t>.</w:t>
      </w:r>
      <w:r>
        <w:rPr>
          <w:rFonts w:ascii="Arial" w:cs="Arial" w:eastAsia="Arial" w:hAnsi="Arial"/>
          <w:sz w:val="14"/>
          <w:szCs w:val="14"/>
          <w:color w:val="3D3D3D"/>
        </w:rPr>
        <w:t xml:space="preserve"> Lessee will be </w:t>
      </w:r>
      <w:r>
        <w:rPr>
          <w:rFonts w:ascii="Arial" w:cs="Arial" w:eastAsia="Arial" w:hAnsi="Arial"/>
          <w:sz w:val="14"/>
          <w:szCs w:val="14"/>
          <w:color w:val="4F4F4F"/>
        </w:rPr>
        <w:t>r</w:t>
      </w:r>
      <w:r>
        <w:rPr>
          <w:rFonts w:ascii="Arial" w:cs="Arial" w:eastAsia="Arial" w:hAnsi="Arial"/>
          <w:sz w:val="14"/>
          <w:szCs w:val="14"/>
          <w:color w:val="3D3D3D"/>
        </w:rPr>
        <w:t>espons</w:t>
      </w:r>
      <w:r>
        <w:rPr>
          <w:rFonts w:ascii="Arial" w:cs="Arial" w:eastAsia="Arial" w:hAnsi="Arial"/>
          <w:sz w:val="14"/>
          <w:szCs w:val="14"/>
          <w:color w:val="4F4F4F"/>
        </w:rPr>
        <w:t>i</w:t>
      </w:r>
      <w:r>
        <w:rPr>
          <w:rFonts w:ascii="Arial" w:cs="Arial" w:eastAsia="Arial" w:hAnsi="Arial"/>
          <w:sz w:val="14"/>
          <w:szCs w:val="14"/>
          <w:color w:val="3D3D3D"/>
        </w:rPr>
        <w:t>b</w:t>
      </w:r>
      <w:r>
        <w:rPr>
          <w:rFonts w:ascii="Arial" w:cs="Arial" w:eastAsia="Arial" w:hAnsi="Arial"/>
          <w:sz w:val="14"/>
          <w:szCs w:val="14"/>
          <w:color w:val="2F2F2F"/>
        </w:rPr>
        <w:t>l</w:t>
      </w:r>
      <w:r>
        <w:rPr>
          <w:rFonts w:ascii="Arial" w:cs="Arial" w:eastAsia="Arial" w:hAnsi="Arial"/>
          <w:sz w:val="14"/>
          <w:szCs w:val="14"/>
          <w:color w:val="3D3D3D"/>
        </w:rPr>
        <w:t>e for any governmental orde</w:t>
      </w:r>
      <w:r>
        <w:rPr>
          <w:rFonts w:ascii="Arial" w:cs="Arial" w:eastAsia="Arial" w:hAnsi="Arial"/>
          <w:sz w:val="14"/>
          <w:szCs w:val="14"/>
          <w:color w:val="4F4F4F"/>
        </w:rPr>
        <w:t>r</w:t>
      </w:r>
      <w:r>
        <w:rPr>
          <w:rFonts w:ascii="Arial" w:cs="Arial" w:eastAsia="Arial" w:hAnsi="Arial"/>
          <w:sz w:val="14"/>
          <w:szCs w:val="14"/>
          <w:color w:val="3D3D3D"/>
        </w:rPr>
        <w:t xml:space="preserve"> p</w:t>
      </w:r>
      <w:r>
        <w:rPr>
          <w:rFonts w:ascii="Arial" w:cs="Arial" w:eastAsia="Arial" w:hAnsi="Arial"/>
          <w:sz w:val="14"/>
          <w:szCs w:val="14"/>
          <w:color w:val="2F2F2F"/>
        </w:rPr>
        <w:t>e</w:t>
      </w:r>
      <w:r>
        <w:rPr>
          <w:rFonts w:ascii="Arial" w:cs="Arial" w:eastAsia="Arial" w:hAnsi="Arial"/>
          <w:sz w:val="14"/>
          <w:szCs w:val="14"/>
          <w:color w:val="3D3D3D"/>
        </w:rPr>
        <w:t>rta</w:t>
      </w:r>
      <w:r>
        <w:rPr>
          <w:rFonts w:ascii="Arial" w:cs="Arial" w:eastAsia="Arial" w:hAnsi="Arial"/>
          <w:sz w:val="14"/>
          <w:szCs w:val="14"/>
          <w:color w:val="4F4F4F"/>
        </w:rPr>
        <w:t>i</w:t>
      </w:r>
      <w:r>
        <w:rPr>
          <w:rFonts w:ascii="Arial" w:cs="Arial" w:eastAsia="Arial" w:hAnsi="Arial"/>
          <w:sz w:val="14"/>
          <w:szCs w:val="14"/>
          <w:color w:val="3D3D3D"/>
        </w:rPr>
        <w:t>n</w:t>
      </w:r>
      <w:r>
        <w:rPr>
          <w:rFonts w:ascii="Arial" w:cs="Arial" w:eastAsia="Arial" w:hAnsi="Arial"/>
          <w:sz w:val="14"/>
          <w:szCs w:val="14"/>
          <w:color w:val="4F4F4F"/>
        </w:rPr>
        <w:t>i</w:t>
      </w:r>
      <w:r>
        <w:rPr>
          <w:rFonts w:ascii="Arial" w:cs="Arial" w:eastAsia="Arial" w:hAnsi="Arial"/>
          <w:sz w:val="14"/>
          <w:szCs w:val="14"/>
          <w:color w:val="3D3D3D"/>
        </w:rPr>
        <w:t>ng to the property t</w:t>
      </w:r>
      <w:r>
        <w:rPr>
          <w:rFonts w:ascii="Arial" w:cs="Arial" w:eastAsia="Arial" w:hAnsi="Arial"/>
          <w:sz w:val="14"/>
          <w:szCs w:val="14"/>
          <w:color w:val="4F4F4F"/>
        </w:rPr>
        <w:t>h</w:t>
      </w:r>
      <w:r>
        <w:rPr>
          <w:rFonts w:ascii="Arial" w:cs="Arial" w:eastAsia="Arial" w:hAnsi="Arial"/>
          <w:sz w:val="14"/>
          <w:szCs w:val="14"/>
          <w:color w:val="3D3D3D"/>
        </w:rPr>
        <w:t xml:space="preserve">at </w:t>
      </w:r>
      <w:r>
        <w:rPr>
          <w:rFonts w:ascii="Arial" w:cs="Arial" w:eastAsia="Arial" w:hAnsi="Arial"/>
          <w:sz w:val="14"/>
          <w:szCs w:val="14"/>
          <w:color w:val="4F4F4F"/>
        </w:rPr>
        <w:t>i</w:t>
      </w:r>
      <w:r>
        <w:rPr>
          <w:rFonts w:ascii="Arial" w:cs="Arial" w:eastAsia="Arial" w:hAnsi="Arial"/>
          <w:sz w:val="14"/>
          <w:szCs w:val="14"/>
          <w:color w:val="3D3D3D"/>
        </w:rPr>
        <w:t>s related to its use</w:t>
      </w:r>
      <w:r>
        <w:rPr>
          <w:rFonts w:ascii="Arial" w:cs="Arial" w:eastAsia="Arial" w:hAnsi="Arial"/>
          <w:sz w:val="14"/>
          <w:szCs w:val="14"/>
          <w:color w:val="6D6D6D"/>
        </w:rPr>
        <w:t>,</w:t>
      </w:r>
      <w:r>
        <w:rPr>
          <w:rFonts w:ascii="Arial" w:cs="Arial" w:eastAsia="Arial" w:hAnsi="Arial"/>
          <w:sz w:val="14"/>
          <w:szCs w:val="14"/>
          <w:color w:val="3D3D3D"/>
        </w:rPr>
        <w:t xml:space="preserve"> occupancy or altera</w:t>
      </w:r>
      <w:r>
        <w:rPr>
          <w:rFonts w:ascii="Arial" w:cs="Arial" w:eastAsia="Arial" w:hAnsi="Arial"/>
          <w:sz w:val="14"/>
          <w:szCs w:val="14"/>
          <w:color w:val="4F4F4F"/>
        </w:rPr>
        <w:t>t</w:t>
      </w:r>
      <w:r>
        <w:rPr>
          <w:rFonts w:ascii="Arial" w:cs="Arial" w:eastAsia="Arial" w:hAnsi="Arial"/>
          <w:sz w:val="14"/>
          <w:szCs w:val="14"/>
          <w:color w:val="3D3D3D"/>
        </w:rPr>
        <w:t>ion of the pr</w:t>
      </w:r>
      <w:r>
        <w:rPr>
          <w:rFonts w:ascii="Arial" w:cs="Arial" w:eastAsia="Arial" w:hAnsi="Arial"/>
          <w:sz w:val="14"/>
          <w:szCs w:val="14"/>
          <w:color w:val="2F2F2F"/>
        </w:rPr>
        <w:t>o</w:t>
      </w:r>
      <w:r>
        <w:rPr>
          <w:rFonts w:ascii="Arial" w:cs="Arial" w:eastAsia="Arial" w:hAnsi="Arial"/>
          <w:sz w:val="14"/>
          <w:szCs w:val="14"/>
          <w:color w:val="3D3D3D"/>
        </w:rPr>
        <w:t>perty</w:t>
      </w:r>
      <w:r>
        <w:rPr>
          <w:rFonts w:ascii="Arial" w:cs="Arial" w:eastAsia="Arial" w:hAnsi="Arial"/>
          <w:sz w:val="14"/>
          <w:szCs w:val="14"/>
          <w:color w:val="4F4F4F"/>
        </w:rPr>
        <w:t>.</w:t>
      </w:r>
    </w:p>
    <w:p>
      <w:pPr>
        <w:spacing w:after="0" w:line="172" w:lineRule="exact"/>
        <w:rPr>
          <w:rFonts w:ascii="Arial" w:cs="Arial" w:eastAsia="Arial" w:hAnsi="Arial"/>
          <w:sz w:val="14"/>
          <w:szCs w:val="14"/>
          <w:color w:val="6D6D6D"/>
        </w:rPr>
      </w:pPr>
    </w:p>
    <w:p>
      <w:pPr>
        <w:ind w:left="640" w:hanging="321"/>
        <w:spacing w:after="0" w:line="252" w:lineRule="auto"/>
        <w:tabs>
          <w:tab w:leader="none" w:pos="638" w:val="left"/>
        </w:tabs>
        <w:numPr>
          <w:ilvl w:val="0"/>
          <w:numId w:val="51"/>
        </w:numPr>
        <w:rPr>
          <w:rFonts w:ascii="Arial" w:cs="Arial" w:eastAsia="Arial" w:hAnsi="Arial"/>
          <w:sz w:val="14"/>
          <w:szCs w:val="14"/>
          <w:color w:val="4F4F4F"/>
        </w:rPr>
      </w:pPr>
      <w:r>
        <w:rPr>
          <w:rFonts w:ascii="Arial" w:cs="Arial" w:eastAsia="Arial" w:hAnsi="Arial"/>
          <w:sz w:val="14"/>
          <w:szCs w:val="14"/>
          <w:b w:val="1"/>
          <w:bCs w:val="1"/>
          <w:color w:val="2F2F2F"/>
        </w:rPr>
        <w:t>Op</w:t>
      </w:r>
      <w:r>
        <w:rPr>
          <w:rFonts w:ascii="Arial" w:cs="Arial" w:eastAsia="Arial" w:hAnsi="Arial"/>
          <w:sz w:val="14"/>
          <w:szCs w:val="14"/>
          <w:b w:val="1"/>
          <w:bCs w:val="1"/>
          <w:color w:val="3D3D3D"/>
        </w:rPr>
        <w:t>ti</w:t>
      </w:r>
      <w:r>
        <w:rPr>
          <w:rFonts w:ascii="Arial" w:cs="Arial" w:eastAsia="Arial" w:hAnsi="Arial"/>
          <w:sz w:val="14"/>
          <w:szCs w:val="14"/>
          <w:b w:val="1"/>
          <w:bCs w:val="1"/>
          <w:color w:val="2F2F2F"/>
        </w:rPr>
        <w:t>o</w:t>
      </w:r>
      <w:r>
        <w:rPr>
          <w:rFonts w:ascii="Arial" w:cs="Arial" w:eastAsia="Arial" w:hAnsi="Arial"/>
          <w:sz w:val="14"/>
          <w:szCs w:val="14"/>
          <w:b w:val="1"/>
          <w:bCs w:val="1"/>
          <w:color w:val="3D3D3D"/>
        </w:rPr>
        <w:t>n.</w:t>
      </w:r>
      <w:r>
        <w:rPr>
          <w:rFonts w:ascii="Arial" w:cs="Arial" w:eastAsia="Arial" w:hAnsi="Arial"/>
          <w:sz w:val="14"/>
          <w:szCs w:val="14"/>
          <w:b w:val="1"/>
          <w:bCs w:val="1"/>
          <w:color w:val="2F2F2F"/>
        </w:rPr>
        <w:t xml:space="preserve"> </w:t>
      </w:r>
      <w:r>
        <w:rPr>
          <w:rFonts w:ascii="Arial" w:cs="Arial" w:eastAsia="Arial" w:hAnsi="Arial"/>
          <w:sz w:val="14"/>
          <w:szCs w:val="14"/>
          <w:color w:val="3D3D3D"/>
        </w:rPr>
        <w:t>Lesso</w:t>
      </w:r>
      <w:r>
        <w:rPr>
          <w:rFonts w:ascii="Arial" w:cs="Arial" w:eastAsia="Arial" w:hAnsi="Arial"/>
          <w:sz w:val="14"/>
          <w:szCs w:val="14"/>
          <w:color w:val="4F4F4F"/>
        </w:rPr>
        <w:t>r</w:t>
      </w:r>
      <w:r>
        <w:rPr>
          <w:rFonts w:ascii="Arial" w:cs="Arial" w:eastAsia="Arial" w:hAnsi="Arial"/>
          <w:sz w:val="14"/>
          <w:szCs w:val="14"/>
          <w:b w:val="1"/>
          <w:bCs w:val="1"/>
          <w:color w:val="2F2F2F"/>
        </w:rPr>
        <w:t xml:space="preserve"> </w:t>
      </w:r>
      <w:r>
        <w:rPr>
          <w:rFonts w:ascii="Arial" w:cs="Arial" w:eastAsia="Arial" w:hAnsi="Arial"/>
          <w:sz w:val="14"/>
          <w:szCs w:val="14"/>
          <w:color w:val="3D3D3D"/>
        </w:rPr>
        <w:t>he</w:t>
      </w:r>
      <w:r>
        <w:rPr>
          <w:rFonts w:ascii="Arial" w:cs="Arial" w:eastAsia="Arial" w:hAnsi="Arial"/>
          <w:sz w:val="14"/>
          <w:szCs w:val="14"/>
          <w:color w:val="4F4F4F"/>
        </w:rPr>
        <w:t>r</w:t>
      </w:r>
      <w:r>
        <w:rPr>
          <w:rFonts w:ascii="Arial" w:cs="Arial" w:eastAsia="Arial" w:hAnsi="Arial"/>
          <w:sz w:val="14"/>
          <w:szCs w:val="14"/>
          <w:color w:val="3D3D3D"/>
        </w:rPr>
        <w:t>eby grants to</w:t>
      </w:r>
      <w:r>
        <w:rPr>
          <w:rFonts w:ascii="Arial" w:cs="Arial" w:eastAsia="Arial" w:hAnsi="Arial"/>
          <w:sz w:val="14"/>
          <w:szCs w:val="14"/>
          <w:b w:val="1"/>
          <w:bCs w:val="1"/>
          <w:color w:val="2F2F2F"/>
        </w:rPr>
        <w:t xml:space="preserve"> </w:t>
      </w:r>
      <w:r>
        <w:rPr>
          <w:rFonts w:ascii="Arial" w:cs="Arial" w:eastAsia="Arial" w:hAnsi="Arial"/>
          <w:sz w:val="14"/>
          <w:szCs w:val="14"/>
          <w:color w:val="4F4F4F"/>
        </w:rPr>
        <w:t>L</w:t>
      </w:r>
      <w:r>
        <w:rPr>
          <w:rFonts w:ascii="Arial" w:cs="Arial" w:eastAsia="Arial" w:hAnsi="Arial"/>
          <w:sz w:val="14"/>
          <w:szCs w:val="14"/>
          <w:color w:val="3D3D3D"/>
        </w:rPr>
        <w:t>essee</w:t>
      </w:r>
      <w:r>
        <w:rPr>
          <w:rFonts w:ascii="Arial" w:cs="Arial" w:eastAsia="Arial" w:hAnsi="Arial"/>
          <w:sz w:val="14"/>
          <w:szCs w:val="14"/>
          <w:b w:val="1"/>
          <w:bCs w:val="1"/>
          <w:color w:val="2F2F2F"/>
        </w:rPr>
        <w:t xml:space="preserve"> </w:t>
      </w:r>
      <w:r>
        <w:rPr>
          <w:rFonts w:ascii="Arial" w:cs="Arial" w:eastAsia="Arial" w:hAnsi="Arial"/>
          <w:sz w:val="14"/>
          <w:szCs w:val="14"/>
          <w:color w:val="4F4F4F"/>
        </w:rPr>
        <w:t>t</w:t>
      </w:r>
      <w:r>
        <w:rPr>
          <w:rFonts w:ascii="Arial" w:cs="Arial" w:eastAsia="Arial" w:hAnsi="Arial"/>
          <w:sz w:val="14"/>
          <w:szCs w:val="14"/>
          <w:color w:val="3D3D3D"/>
        </w:rPr>
        <w:t>he op</w:t>
      </w:r>
      <w:r>
        <w:rPr>
          <w:rFonts w:ascii="Arial" w:cs="Arial" w:eastAsia="Arial" w:hAnsi="Arial"/>
          <w:sz w:val="14"/>
          <w:szCs w:val="14"/>
          <w:color w:val="4F4F4F"/>
        </w:rPr>
        <w:t>ti</w:t>
      </w:r>
      <w:r>
        <w:rPr>
          <w:rFonts w:ascii="Arial" w:cs="Arial" w:eastAsia="Arial" w:hAnsi="Arial"/>
          <w:sz w:val="14"/>
          <w:szCs w:val="14"/>
          <w:color w:val="3D3D3D"/>
        </w:rPr>
        <w:t>on to ex</w:t>
      </w:r>
      <w:r>
        <w:rPr>
          <w:rFonts w:ascii="Arial" w:cs="Arial" w:eastAsia="Arial" w:hAnsi="Arial"/>
          <w:sz w:val="14"/>
          <w:szCs w:val="14"/>
          <w:color w:val="4F4F4F"/>
        </w:rPr>
        <w:t>t</w:t>
      </w:r>
      <w:r>
        <w:rPr>
          <w:rFonts w:ascii="Arial" w:cs="Arial" w:eastAsia="Arial" w:hAnsi="Arial"/>
          <w:sz w:val="14"/>
          <w:szCs w:val="14"/>
          <w:color w:val="3D3D3D"/>
        </w:rPr>
        <w:t>end the term of th</w:t>
      </w:r>
      <w:r>
        <w:rPr>
          <w:rFonts w:ascii="Arial" w:cs="Arial" w:eastAsia="Arial" w:hAnsi="Arial"/>
          <w:sz w:val="14"/>
          <w:szCs w:val="14"/>
          <w:color w:val="4F4F4F"/>
        </w:rPr>
        <w:t>i</w:t>
      </w:r>
      <w:r>
        <w:rPr>
          <w:rFonts w:ascii="Arial" w:cs="Arial" w:eastAsia="Arial" w:hAnsi="Arial"/>
          <w:sz w:val="14"/>
          <w:szCs w:val="14"/>
          <w:color w:val="3D3D3D"/>
        </w:rPr>
        <w:t>s Lease for one</w:t>
      </w:r>
      <w:r>
        <w:rPr>
          <w:rFonts w:ascii="Arial" w:cs="Arial" w:eastAsia="Arial" w:hAnsi="Arial"/>
          <w:sz w:val="14"/>
          <w:szCs w:val="14"/>
          <w:b w:val="1"/>
          <w:bCs w:val="1"/>
          <w:color w:val="2F2F2F"/>
        </w:rPr>
        <w:t xml:space="preserve"> </w:t>
      </w:r>
      <w:r>
        <w:rPr>
          <w:rFonts w:ascii="Arial" w:cs="Arial" w:eastAsia="Arial" w:hAnsi="Arial"/>
          <w:sz w:val="14"/>
          <w:szCs w:val="14"/>
          <w:color w:val="4F4F4F"/>
        </w:rPr>
        <w:t>(</w:t>
      </w:r>
      <w:r>
        <w:rPr>
          <w:rFonts w:ascii="Arial" w:cs="Arial" w:eastAsia="Arial" w:hAnsi="Arial"/>
          <w:sz w:val="14"/>
          <w:szCs w:val="14"/>
          <w:color w:val="3D3D3D"/>
        </w:rPr>
        <w:t>1</w:t>
      </w:r>
      <w:r>
        <w:rPr>
          <w:rFonts w:ascii="Arial" w:cs="Arial" w:eastAsia="Arial" w:hAnsi="Arial"/>
          <w:sz w:val="14"/>
          <w:szCs w:val="14"/>
          <w:color w:val="4F4F4F"/>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five</w:t>
      </w:r>
      <w:r>
        <w:rPr>
          <w:rFonts w:ascii="Arial" w:cs="Arial" w:eastAsia="Arial" w:hAnsi="Arial"/>
          <w:sz w:val="14"/>
          <w:szCs w:val="14"/>
          <w:b w:val="1"/>
          <w:bCs w:val="1"/>
          <w:color w:val="2F2F2F"/>
        </w:rPr>
        <w:t xml:space="preserve"> </w:t>
      </w:r>
      <w:r>
        <w:rPr>
          <w:rFonts w:ascii="Arial" w:cs="Arial" w:eastAsia="Arial" w:hAnsi="Arial"/>
          <w:sz w:val="14"/>
          <w:szCs w:val="14"/>
          <w:color w:val="4F4F4F"/>
        </w:rPr>
        <w:t>(</w:t>
      </w:r>
      <w:r>
        <w:rPr>
          <w:rFonts w:ascii="Arial" w:cs="Arial" w:eastAsia="Arial" w:hAnsi="Arial"/>
          <w:sz w:val="14"/>
          <w:szCs w:val="14"/>
          <w:color w:val="3D3D3D"/>
        </w:rPr>
        <w:t>5</w:t>
      </w:r>
      <w:r>
        <w:rPr>
          <w:rFonts w:ascii="Arial" w:cs="Arial" w:eastAsia="Arial" w:hAnsi="Arial"/>
          <w:sz w:val="14"/>
          <w:szCs w:val="14"/>
          <w:color w:val="4F4F4F"/>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year pe</w:t>
      </w:r>
      <w:r>
        <w:rPr>
          <w:rFonts w:ascii="Arial" w:cs="Arial" w:eastAsia="Arial" w:hAnsi="Arial"/>
          <w:sz w:val="14"/>
          <w:szCs w:val="14"/>
          <w:color w:val="4F4F4F"/>
        </w:rPr>
        <w:t>ri</w:t>
      </w:r>
      <w:r>
        <w:rPr>
          <w:rFonts w:ascii="Arial" w:cs="Arial" w:eastAsia="Arial" w:hAnsi="Arial"/>
          <w:sz w:val="14"/>
          <w:szCs w:val="14"/>
          <w:color w:val="3D3D3D"/>
        </w:rPr>
        <w:t>od at Fa</w:t>
      </w:r>
      <w:r>
        <w:rPr>
          <w:rFonts w:ascii="Arial" w:cs="Arial" w:eastAsia="Arial" w:hAnsi="Arial"/>
          <w:sz w:val="14"/>
          <w:szCs w:val="14"/>
          <w:color w:val="4F4F4F"/>
        </w:rPr>
        <w:t>i</w:t>
      </w:r>
      <w:r>
        <w:rPr>
          <w:rFonts w:ascii="Arial" w:cs="Arial" w:eastAsia="Arial" w:hAnsi="Arial"/>
          <w:sz w:val="14"/>
          <w:szCs w:val="14"/>
          <w:color w:val="3D3D3D"/>
        </w:rPr>
        <w:t>r Ma</w:t>
      </w:r>
      <w:r>
        <w:rPr>
          <w:rFonts w:ascii="Arial" w:cs="Arial" w:eastAsia="Arial" w:hAnsi="Arial"/>
          <w:sz w:val="14"/>
          <w:szCs w:val="14"/>
          <w:color w:val="4F4F4F"/>
        </w:rPr>
        <w:t>r</w:t>
      </w:r>
      <w:r>
        <w:rPr>
          <w:rFonts w:ascii="Arial" w:cs="Arial" w:eastAsia="Arial" w:hAnsi="Arial"/>
          <w:sz w:val="14"/>
          <w:szCs w:val="14"/>
          <w:color w:val="3D3D3D"/>
        </w:rPr>
        <w:t>ke</w:t>
      </w:r>
      <w:r>
        <w:rPr>
          <w:rFonts w:ascii="Arial" w:cs="Arial" w:eastAsia="Arial" w:hAnsi="Arial"/>
          <w:sz w:val="14"/>
          <w:szCs w:val="14"/>
          <w:color w:val="4F4F4F"/>
        </w:rPr>
        <w:t>t</w:t>
      </w:r>
      <w:r>
        <w:rPr>
          <w:rFonts w:ascii="Arial" w:cs="Arial" w:eastAsia="Arial" w:hAnsi="Arial"/>
          <w:sz w:val="14"/>
          <w:szCs w:val="14"/>
          <w:b w:val="1"/>
          <w:bCs w:val="1"/>
          <w:color w:val="2F2F2F"/>
        </w:rPr>
        <w:t xml:space="preserve"> </w:t>
      </w:r>
      <w:r>
        <w:rPr>
          <w:rFonts w:ascii="Arial" w:cs="Arial" w:eastAsia="Arial" w:hAnsi="Arial"/>
          <w:sz w:val="14"/>
          <w:szCs w:val="14"/>
          <w:color w:val="3D3D3D"/>
        </w:rPr>
        <w:t>Val</w:t>
      </w:r>
      <w:r>
        <w:rPr>
          <w:rFonts w:ascii="Arial" w:cs="Arial" w:eastAsia="Arial" w:hAnsi="Arial"/>
          <w:sz w:val="14"/>
          <w:szCs w:val="14"/>
          <w:color w:val="4F4F4F"/>
        </w:rPr>
        <w:t>u</w:t>
      </w:r>
      <w:r>
        <w:rPr>
          <w:rFonts w:ascii="Arial" w:cs="Arial" w:eastAsia="Arial" w:hAnsi="Arial"/>
          <w:sz w:val="14"/>
          <w:szCs w:val="14"/>
          <w:color w:val="3D3D3D"/>
        </w:rPr>
        <w:t>e</w:t>
      </w:r>
      <w:r>
        <w:rPr>
          <w:rFonts w:ascii="Arial" w:cs="Arial" w:eastAsia="Arial" w:hAnsi="Arial"/>
          <w:sz w:val="14"/>
          <w:szCs w:val="14"/>
          <w:color w:val="7C7C7C"/>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com</w:t>
      </w:r>
      <w:r>
        <w:rPr>
          <w:rFonts w:ascii="Arial" w:cs="Arial" w:eastAsia="Arial" w:hAnsi="Arial"/>
          <w:sz w:val="14"/>
          <w:szCs w:val="14"/>
          <w:color w:val="4F4F4F"/>
        </w:rPr>
        <w:t>m</w:t>
      </w:r>
      <w:r>
        <w:rPr>
          <w:rFonts w:ascii="Arial" w:cs="Arial" w:eastAsia="Arial" w:hAnsi="Arial"/>
          <w:sz w:val="14"/>
          <w:szCs w:val="14"/>
          <w:color w:val="3D3D3D"/>
        </w:rPr>
        <w:t>enc</w:t>
      </w:r>
      <w:r>
        <w:rPr>
          <w:rFonts w:ascii="Arial" w:cs="Arial" w:eastAsia="Arial" w:hAnsi="Arial"/>
          <w:sz w:val="14"/>
          <w:szCs w:val="14"/>
          <w:color w:val="4F4F4F"/>
        </w:rPr>
        <w:t>i</w:t>
      </w:r>
      <w:r>
        <w:rPr>
          <w:rFonts w:ascii="Arial" w:cs="Arial" w:eastAsia="Arial" w:hAnsi="Arial"/>
          <w:sz w:val="14"/>
          <w:szCs w:val="14"/>
          <w:color w:val="3D3D3D"/>
        </w:rPr>
        <w:t>ng</w:t>
      </w:r>
      <w:r>
        <w:rPr>
          <w:rFonts w:ascii="Arial" w:cs="Arial" w:eastAsia="Arial" w:hAnsi="Arial"/>
          <w:sz w:val="14"/>
          <w:szCs w:val="14"/>
          <w:b w:val="1"/>
          <w:bCs w:val="1"/>
          <w:color w:val="2F2F2F"/>
        </w:rPr>
        <w:t xml:space="preserve"> </w:t>
      </w:r>
      <w:r>
        <w:rPr>
          <w:rFonts w:ascii="Arial" w:cs="Arial" w:eastAsia="Arial" w:hAnsi="Arial"/>
          <w:sz w:val="14"/>
          <w:szCs w:val="14"/>
          <w:color w:val="3D3D3D"/>
        </w:rPr>
        <w:t xml:space="preserve">when </w:t>
      </w:r>
      <w:r>
        <w:rPr>
          <w:rFonts w:ascii="Arial" w:cs="Arial" w:eastAsia="Arial" w:hAnsi="Arial"/>
          <w:sz w:val="14"/>
          <w:szCs w:val="14"/>
          <w:color w:val="4F4F4F"/>
        </w:rPr>
        <w:t>t</w:t>
      </w:r>
      <w:r>
        <w:rPr>
          <w:rFonts w:ascii="Arial" w:cs="Arial" w:eastAsia="Arial" w:hAnsi="Arial"/>
          <w:sz w:val="14"/>
          <w:szCs w:val="14"/>
          <w:color w:val="3D3D3D"/>
        </w:rPr>
        <w:t>he prior term expires</w:t>
      </w:r>
      <w:r>
        <w:rPr>
          <w:rFonts w:ascii="Arial" w:cs="Arial" w:eastAsia="Arial" w:hAnsi="Arial"/>
          <w:sz w:val="14"/>
          <w:szCs w:val="14"/>
          <w:color w:val="7C7C7C"/>
        </w:rPr>
        <w:t>.</w:t>
      </w:r>
      <w:r>
        <w:rPr>
          <w:rFonts w:ascii="Arial" w:cs="Arial" w:eastAsia="Arial" w:hAnsi="Arial"/>
          <w:sz w:val="14"/>
          <w:szCs w:val="14"/>
          <w:color w:val="3D3D3D"/>
        </w:rPr>
        <w:t xml:space="preserve"> In order to exercise an option </w:t>
      </w:r>
      <w:r>
        <w:rPr>
          <w:rFonts w:ascii="Arial" w:cs="Arial" w:eastAsia="Arial" w:hAnsi="Arial"/>
          <w:sz w:val="14"/>
          <w:szCs w:val="14"/>
          <w:color w:val="4F4F4F"/>
        </w:rPr>
        <w:t>t</w:t>
      </w:r>
      <w:r>
        <w:rPr>
          <w:rFonts w:ascii="Arial" w:cs="Arial" w:eastAsia="Arial" w:hAnsi="Arial"/>
          <w:sz w:val="14"/>
          <w:szCs w:val="14"/>
          <w:color w:val="3D3D3D"/>
        </w:rPr>
        <w:t>o extend</w:t>
      </w:r>
      <w:r>
        <w:rPr>
          <w:rFonts w:ascii="Arial" w:cs="Arial" w:eastAsia="Arial" w:hAnsi="Arial"/>
          <w:sz w:val="14"/>
          <w:szCs w:val="14"/>
          <w:color w:val="6D6D6D"/>
        </w:rPr>
        <w:t>,</w:t>
      </w:r>
      <w:r>
        <w:rPr>
          <w:rFonts w:ascii="Arial" w:cs="Arial" w:eastAsia="Arial" w:hAnsi="Arial"/>
          <w:sz w:val="14"/>
          <w:szCs w:val="14"/>
          <w:color w:val="3D3D3D"/>
        </w:rPr>
        <w:t xml:space="preserve"> </w:t>
      </w:r>
      <w:r>
        <w:rPr>
          <w:rFonts w:ascii="Arial" w:cs="Arial" w:eastAsia="Arial" w:hAnsi="Arial"/>
          <w:sz w:val="14"/>
          <w:szCs w:val="14"/>
          <w:color w:val="4F4F4F"/>
        </w:rPr>
        <w:t>L</w:t>
      </w:r>
      <w:r>
        <w:rPr>
          <w:rFonts w:ascii="Arial" w:cs="Arial" w:eastAsia="Arial" w:hAnsi="Arial"/>
          <w:sz w:val="14"/>
          <w:szCs w:val="14"/>
          <w:color w:val="3D3D3D"/>
        </w:rPr>
        <w:t>essee must g</w:t>
      </w:r>
      <w:r>
        <w:rPr>
          <w:rFonts w:ascii="Arial" w:cs="Arial" w:eastAsia="Arial" w:hAnsi="Arial"/>
          <w:sz w:val="14"/>
          <w:szCs w:val="14"/>
          <w:color w:val="4F4F4F"/>
        </w:rPr>
        <w:t>i</w:t>
      </w:r>
      <w:r>
        <w:rPr>
          <w:rFonts w:ascii="Arial" w:cs="Arial" w:eastAsia="Arial" w:hAnsi="Arial"/>
          <w:sz w:val="14"/>
          <w:szCs w:val="14"/>
          <w:color w:val="3D3D3D"/>
        </w:rPr>
        <w:t>ve wr</w:t>
      </w:r>
      <w:r>
        <w:rPr>
          <w:rFonts w:ascii="Arial" w:cs="Arial" w:eastAsia="Arial" w:hAnsi="Arial"/>
          <w:sz w:val="14"/>
          <w:szCs w:val="14"/>
          <w:color w:val="4F4F4F"/>
        </w:rPr>
        <w:t>i</w:t>
      </w:r>
      <w:r>
        <w:rPr>
          <w:rFonts w:ascii="Arial" w:cs="Arial" w:eastAsia="Arial" w:hAnsi="Arial"/>
          <w:sz w:val="14"/>
          <w:szCs w:val="14"/>
          <w:color w:val="3D3D3D"/>
        </w:rPr>
        <w:t>tte</w:t>
      </w:r>
      <w:r>
        <w:rPr>
          <w:rFonts w:ascii="Arial" w:cs="Arial" w:eastAsia="Arial" w:hAnsi="Arial"/>
          <w:sz w:val="14"/>
          <w:szCs w:val="14"/>
          <w:color w:val="4F4F4F"/>
        </w:rPr>
        <w:t>n</w:t>
      </w:r>
      <w:r>
        <w:rPr>
          <w:rFonts w:ascii="Arial" w:cs="Arial" w:eastAsia="Arial" w:hAnsi="Arial"/>
          <w:sz w:val="14"/>
          <w:szCs w:val="14"/>
          <w:color w:val="3D3D3D"/>
        </w:rPr>
        <w:t xml:space="preserve"> notice of suc</w:t>
      </w:r>
      <w:r>
        <w:rPr>
          <w:rFonts w:ascii="Arial" w:cs="Arial" w:eastAsia="Arial" w:hAnsi="Arial"/>
          <w:sz w:val="14"/>
          <w:szCs w:val="14"/>
          <w:color w:val="4F4F4F"/>
        </w:rPr>
        <w:t>h</w:t>
      </w:r>
      <w:r>
        <w:rPr>
          <w:rFonts w:ascii="Arial" w:cs="Arial" w:eastAsia="Arial" w:hAnsi="Arial"/>
          <w:sz w:val="14"/>
          <w:szCs w:val="14"/>
          <w:color w:val="3D3D3D"/>
        </w:rPr>
        <w:t xml:space="preserve"> election to Lesso</w:t>
      </w:r>
      <w:r>
        <w:rPr>
          <w:rFonts w:ascii="Arial" w:cs="Arial" w:eastAsia="Arial" w:hAnsi="Arial"/>
          <w:sz w:val="14"/>
          <w:szCs w:val="14"/>
          <w:color w:val="4F4F4F"/>
        </w:rPr>
        <w:t>r</w:t>
      </w:r>
      <w:r>
        <w:rPr>
          <w:rFonts w:ascii="Arial" w:cs="Arial" w:eastAsia="Arial" w:hAnsi="Arial"/>
          <w:sz w:val="14"/>
          <w:szCs w:val="14"/>
          <w:color w:val="3D3D3D"/>
        </w:rPr>
        <w:t xml:space="preserve"> at least n</w:t>
      </w:r>
      <w:r>
        <w:rPr>
          <w:rFonts w:ascii="Arial" w:cs="Arial" w:eastAsia="Arial" w:hAnsi="Arial"/>
          <w:sz w:val="14"/>
          <w:szCs w:val="14"/>
          <w:color w:val="4F4F4F"/>
        </w:rPr>
        <w:t>i</w:t>
      </w:r>
      <w:r>
        <w:rPr>
          <w:rFonts w:ascii="Arial" w:cs="Arial" w:eastAsia="Arial" w:hAnsi="Arial"/>
          <w:sz w:val="14"/>
          <w:szCs w:val="14"/>
          <w:color w:val="3D3D3D"/>
        </w:rPr>
        <w:t xml:space="preserve">ne </w:t>
      </w:r>
      <w:r>
        <w:rPr>
          <w:rFonts w:ascii="Arial" w:cs="Arial" w:eastAsia="Arial" w:hAnsi="Arial"/>
          <w:sz w:val="14"/>
          <w:szCs w:val="14"/>
          <w:color w:val="4F4F4F"/>
        </w:rPr>
        <w:t>(</w:t>
      </w:r>
      <w:r>
        <w:rPr>
          <w:rFonts w:ascii="Arial" w:cs="Arial" w:eastAsia="Arial" w:hAnsi="Arial"/>
          <w:sz w:val="14"/>
          <w:szCs w:val="14"/>
          <w:color w:val="3D3D3D"/>
        </w:rPr>
        <w:t>9</w:t>
      </w:r>
      <w:r>
        <w:rPr>
          <w:rFonts w:ascii="Arial" w:cs="Arial" w:eastAsia="Arial" w:hAnsi="Arial"/>
          <w:sz w:val="14"/>
          <w:szCs w:val="14"/>
          <w:color w:val="4F4F4F"/>
        </w:rPr>
        <w:t>)</w:t>
      </w:r>
      <w:r>
        <w:rPr>
          <w:rFonts w:ascii="Arial" w:cs="Arial" w:eastAsia="Arial" w:hAnsi="Arial"/>
          <w:sz w:val="14"/>
          <w:szCs w:val="14"/>
          <w:color w:val="3D3D3D"/>
        </w:rPr>
        <w:t xml:space="preserve"> mon</w:t>
      </w:r>
      <w:r>
        <w:rPr>
          <w:rFonts w:ascii="Arial" w:cs="Arial" w:eastAsia="Arial" w:hAnsi="Arial"/>
          <w:sz w:val="14"/>
          <w:szCs w:val="14"/>
          <w:color w:val="4F4F4F"/>
        </w:rPr>
        <w:t>t</w:t>
      </w:r>
      <w:r>
        <w:rPr>
          <w:rFonts w:ascii="Arial" w:cs="Arial" w:eastAsia="Arial" w:hAnsi="Arial"/>
          <w:sz w:val="14"/>
          <w:szCs w:val="14"/>
          <w:color w:val="3D3D3D"/>
        </w:rPr>
        <w:t>hs prior to the date that the option per</w:t>
      </w:r>
      <w:r>
        <w:rPr>
          <w:rFonts w:ascii="Arial" w:cs="Arial" w:eastAsia="Arial" w:hAnsi="Arial"/>
          <w:sz w:val="14"/>
          <w:szCs w:val="14"/>
          <w:color w:val="4F4F4F"/>
        </w:rPr>
        <w:t>i</w:t>
      </w:r>
      <w:r>
        <w:rPr>
          <w:rFonts w:ascii="Arial" w:cs="Arial" w:eastAsia="Arial" w:hAnsi="Arial"/>
          <w:sz w:val="14"/>
          <w:szCs w:val="14"/>
          <w:color w:val="3D3D3D"/>
        </w:rPr>
        <w:t>od would commence</w:t>
      </w:r>
      <w:r>
        <w:rPr>
          <w:rFonts w:ascii="Arial" w:cs="Arial" w:eastAsia="Arial" w:hAnsi="Arial"/>
          <w:sz w:val="14"/>
          <w:szCs w:val="14"/>
          <w:color w:val="6D6D6D"/>
        </w:rPr>
        <w:t>.</w:t>
      </w:r>
      <w:r>
        <w:rPr>
          <w:rFonts w:ascii="Arial" w:cs="Arial" w:eastAsia="Arial" w:hAnsi="Arial"/>
          <w:sz w:val="14"/>
          <w:szCs w:val="14"/>
          <w:color w:val="3D3D3D"/>
        </w:rPr>
        <w:t xml:space="preserve"> The B</w:t>
      </w:r>
      <w:r>
        <w:rPr>
          <w:rFonts w:ascii="Arial" w:cs="Arial" w:eastAsia="Arial" w:hAnsi="Arial"/>
          <w:sz w:val="14"/>
          <w:szCs w:val="14"/>
          <w:color w:val="2F2F2F"/>
        </w:rPr>
        <w:t>a</w:t>
      </w:r>
      <w:r>
        <w:rPr>
          <w:rFonts w:ascii="Arial" w:cs="Arial" w:eastAsia="Arial" w:hAnsi="Arial"/>
          <w:sz w:val="14"/>
          <w:szCs w:val="14"/>
          <w:color w:val="3D3D3D"/>
        </w:rPr>
        <w:t>se Rent dur</w:t>
      </w:r>
      <w:r>
        <w:rPr>
          <w:rFonts w:ascii="Arial" w:cs="Arial" w:eastAsia="Arial" w:hAnsi="Arial"/>
          <w:sz w:val="14"/>
          <w:szCs w:val="14"/>
          <w:color w:val="4F4F4F"/>
        </w:rPr>
        <w:t>i</w:t>
      </w:r>
      <w:r>
        <w:rPr>
          <w:rFonts w:ascii="Arial" w:cs="Arial" w:eastAsia="Arial" w:hAnsi="Arial"/>
          <w:sz w:val="14"/>
          <w:szCs w:val="14"/>
          <w:color w:val="3D3D3D"/>
        </w:rPr>
        <w:t>ng the first year of the op</w:t>
      </w:r>
      <w:r>
        <w:rPr>
          <w:rFonts w:ascii="Arial" w:cs="Arial" w:eastAsia="Arial" w:hAnsi="Arial"/>
          <w:sz w:val="14"/>
          <w:szCs w:val="14"/>
          <w:color w:val="4F4F4F"/>
        </w:rPr>
        <w:t>ti</w:t>
      </w:r>
      <w:r>
        <w:rPr>
          <w:rFonts w:ascii="Arial" w:cs="Arial" w:eastAsia="Arial" w:hAnsi="Arial"/>
          <w:sz w:val="14"/>
          <w:szCs w:val="14"/>
          <w:color w:val="3D3D3D"/>
        </w:rPr>
        <w:t>o</w:t>
      </w:r>
      <w:r>
        <w:rPr>
          <w:rFonts w:ascii="Arial" w:cs="Arial" w:eastAsia="Arial" w:hAnsi="Arial"/>
          <w:sz w:val="14"/>
          <w:szCs w:val="14"/>
          <w:color w:val="4F4F4F"/>
        </w:rPr>
        <w:t>n</w:t>
      </w:r>
      <w:r>
        <w:rPr>
          <w:rFonts w:ascii="Arial" w:cs="Arial" w:eastAsia="Arial" w:hAnsi="Arial"/>
          <w:sz w:val="14"/>
          <w:szCs w:val="14"/>
          <w:color w:val="3D3D3D"/>
        </w:rPr>
        <w:t xml:space="preserve"> per</w:t>
      </w:r>
      <w:r>
        <w:rPr>
          <w:rFonts w:ascii="Arial" w:cs="Arial" w:eastAsia="Arial" w:hAnsi="Arial"/>
          <w:sz w:val="14"/>
          <w:szCs w:val="14"/>
          <w:color w:val="4F4F4F"/>
        </w:rPr>
        <w:t>i</w:t>
      </w:r>
      <w:r>
        <w:rPr>
          <w:rFonts w:ascii="Arial" w:cs="Arial" w:eastAsia="Arial" w:hAnsi="Arial"/>
          <w:sz w:val="14"/>
          <w:szCs w:val="14"/>
          <w:color w:val="3D3D3D"/>
        </w:rPr>
        <w:t>od shall be at the then p</w:t>
      </w:r>
      <w:r>
        <w:rPr>
          <w:rFonts w:ascii="Arial" w:cs="Arial" w:eastAsia="Arial" w:hAnsi="Arial"/>
          <w:sz w:val="14"/>
          <w:szCs w:val="14"/>
          <w:color w:val="4F4F4F"/>
        </w:rPr>
        <w:t>r</w:t>
      </w:r>
      <w:r>
        <w:rPr>
          <w:rFonts w:ascii="Arial" w:cs="Arial" w:eastAsia="Arial" w:hAnsi="Arial"/>
          <w:sz w:val="14"/>
          <w:szCs w:val="14"/>
          <w:color w:val="3D3D3D"/>
        </w:rPr>
        <w:t>evai</w:t>
      </w:r>
      <w:r>
        <w:rPr>
          <w:rFonts w:ascii="Arial" w:cs="Arial" w:eastAsia="Arial" w:hAnsi="Arial"/>
          <w:sz w:val="14"/>
          <w:szCs w:val="14"/>
          <w:color w:val="2F2F2F"/>
        </w:rPr>
        <w:t>l</w:t>
      </w:r>
      <w:r>
        <w:rPr>
          <w:rFonts w:ascii="Arial" w:cs="Arial" w:eastAsia="Arial" w:hAnsi="Arial"/>
          <w:sz w:val="14"/>
          <w:szCs w:val="14"/>
          <w:color w:val="4F4F4F"/>
        </w:rPr>
        <w:t>i</w:t>
      </w:r>
      <w:r>
        <w:rPr>
          <w:rFonts w:ascii="Arial" w:cs="Arial" w:eastAsia="Arial" w:hAnsi="Arial"/>
          <w:sz w:val="14"/>
          <w:szCs w:val="14"/>
          <w:color w:val="3D3D3D"/>
        </w:rPr>
        <w:t>ng fare market rate</w:t>
      </w:r>
      <w:r>
        <w:rPr>
          <w:rFonts w:ascii="Arial" w:cs="Arial" w:eastAsia="Arial" w:hAnsi="Arial"/>
          <w:sz w:val="14"/>
          <w:szCs w:val="14"/>
          <w:color w:val="7C7C7C"/>
        </w:rPr>
        <w:t>,</w:t>
      </w:r>
      <w:r>
        <w:rPr>
          <w:rFonts w:ascii="Arial" w:cs="Arial" w:eastAsia="Arial" w:hAnsi="Arial"/>
          <w:sz w:val="14"/>
          <w:szCs w:val="14"/>
          <w:color w:val="3D3D3D"/>
        </w:rPr>
        <w:t xml:space="preserve"> b</w:t>
      </w:r>
      <w:r>
        <w:rPr>
          <w:rFonts w:ascii="Arial" w:cs="Arial" w:eastAsia="Arial" w:hAnsi="Arial"/>
          <w:sz w:val="14"/>
          <w:szCs w:val="14"/>
          <w:color w:val="4F4F4F"/>
        </w:rPr>
        <w:t>u</w:t>
      </w:r>
      <w:r>
        <w:rPr>
          <w:rFonts w:ascii="Arial" w:cs="Arial" w:eastAsia="Arial" w:hAnsi="Arial"/>
          <w:sz w:val="14"/>
          <w:szCs w:val="14"/>
          <w:color w:val="3D3D3D"/>
        </w:rPr>
        <w:t>t no</w:t>
      </w:r>
      <w:r>
        <w:rPr>
          <w:rFonts w:ascii="Arial" w:cs="Arial" w:eastAsia="Arial" w:hAnsi="Arial"/>
          <w:sz w:val="14"/>
          <w:szCs w:val="14"/>
          <w:color w:val="4F4F4F"/>
        </w:rPr>
        <w:t>t l</w:t>
      </w:r>
      <w:r>
        <w:rPr>
          <w:rFonts w:ascii="Arial" w:cs="Arial" w:eastAsia="Arial" w:hAnsi="Arial"/>
          <w:sz w:val="14"/>
          <w:szCs w:val="14"/>
          <w:color w:val="3D3D3D"/>
        </w:rPr>
        <w:t xml:space="preserve">ess than the Base Rent </w:t>
      </w:r>
      <w:r>
        <w:rPr>
          <w:rFonts w:ascii="Arial" w:cs="Arial" w:eastAsia="Arial" w:hAnsi="Arial"/>
          <w:sz w:val="14"/>
          <w:szCs w:val="14"/>
          <w:color w:val="4F4F4F"/>
        </w:rPr>
        <w:t>i</w:t>
      </w:r>
      <w:r>
        <w:rPr>
          <w:rFonts w:ascii="Arial" w:cs="Arial" w:eastAsia="Arial" w:hAnsi="Arial"/>
          <w:sz w:val="14"/>
          <w:szCs w:val="14"/>
          <w:color w:val="3D3D3D"/>
        </w:rPr>
        <w:t>n effec</w:t>
      </w:r>
      <w:r>
        <w:rPr>
          <w:rFonts w:ascii="Arial" w:cs="Arial" w:eastAsia="Arial" w:hAnsi="Arial"/>
          <w:sz w:val="14"/>
          <w:szCs w:val="14"/>
          <w:color w:val="4F4F4F"/>
        </w:rPr>
        <w:t>t i</w:t>
      </w:r>
      <w:r>
        <w:rPr>
          <w:rFonts w:ascii="Arial" w:cs="Arial" w:eastAsia="Arial" w:hAnsi="Arial"/>
          <w:sz w:val="14"/>
          <w:szCs w:val="14"/>
          <w:color w:val="3D3D3D"/>
        </w:rPr>
        <w:t>mmed</w:t>
      </w:r>
      <w:r>
        <w:rPr>
          <w:rFonts w:ascii="Arial" w:cs="Arial" w:eastAsia="Arial" w:hAnsi="Arial"/>
          <w:sz w:val="14"/>
          <w:szCs w:val="14"/>
          <w:color w:val="4F4F4F"/>
        </w:rPr>
        <w:t>i</w:t>
      </w:r>
      <w:r>
        <w:rPr>
          <w:rFonts w:ascii="Arial" w:cs="Arial" w:eastAsia="Arial" w:hAnsi="Arial"/>
          <w:sz w:val="14"/>
          <w:szCs w:val="14"/>
          <w:color w:val="3D3D3D"/>
        </w:rPr>
        <w:t>a</w:t>
      </w:r>
      <w:r>
        <w:rPr>
          <w:rFonts w:ascii="Arial" w:cs="Arial" w:eastAsia="Arial" w:hAnsi="Arial"/>
          <w:sz w:val="14"/>
          <w:szCs w:val="14"/>
          <w:color w:val="4F4F4F"/>
        </w:rPr>
        <w:t>t</w:t>
      </w:r>
      <w:r>
        <w:rPr>
          <w:rFonts w:ascii="Arial" w:cs="Arial" w:eastAsia="Arial" w:hAnsi="Arial"/>
          <w:sz w:val="14"/>
          <w:szCs w:val="14"/>
          <w:color w:val="3D3D3D"/>
        </w:rPr>
        <w:t>ely pr</w:t>
      </w:r>
      <w:r>
        <w:rPr>
          <w:rFonts w:ascii="Arial" w:cs="Arial" w:eastAsia="Arial" w:hAnsi="Arial"/>
          <w:sz w:val="14"/>
          <w:szCs w:val="14"/>
          <w:color w:val="4F4F4F"/>
        </w:rPr>
        <w:t>i</w:t>
      </w:r>
      <w:r>
        <w:rPr>
          <w:rFonts w:ascii="Arial" w:cs="Arial" w:eastAsia="Arial" w:hAnsi="Arial"/>
          <w:sz w:val="14"/>
          <w:szCs w:val="14"/>
          <w:color w:val="3D3D3D"/>
        </w:rPr>
        <w:t>or to the commencement of the extended te</w:t>
      </w:r>
      <w:r>
        <w:rPr>
          <w:rFonts w:ascii="Arial" w:cs="Arial" w:eastAsia="Arial" w:hAnsi="Arial"/>
          <w:sz w:val="14"/>
          <w:szCs w:val="14"/>
          <w:color w:val="4F4F4F"/>
        </w:rPr>
        <w:t>rm</w:t>
      </w:r>
      <w:r>
        <w:rPr>
          <w:rFonts w:ascii="Arial" w:cs="Arial" w:eastAsia="Arial" w:hAnsi="Arial"/>
          <w:sz w:val="14"/>
          <w:szCs w:val="14"/>
          <w:color w:val="6D6D6D"/>
        </w:rPr>
        <w:t>. T</w:t>
      </w:r>
      <w:r>
        <w:rPr>
          <w:rFonts w:ascii="Arial" w:cs="Arial" w:eastAsia="Arial" w:hAnsi="Arial"/>
          <w:sz w:val="14"/>
          <w:szCs w:val="14"/>
          <w:color w:val="3D3D3D"/>
        </w:rPr>
        <w:t>hereafter</w:t>
      </w:r>
      <w:r>
        <w:rPr>
          <w:rFonts w:ascii="Arial" w:cs="Arial" w:eastAsia="Arial" w:hAnsi="Arial"/>
          <w:sz w:val="14"/>
          <w:szCs w:val="14"/>
          <w:color w:val="6D6D6D"/>
        </w:rPr>
        <w:t>,</w:t>
      </w:r>
      <w:r>
        <w:rPr>
          <w:rFonts w:ascii="Arial" w:cs="Arial" w:eastAsia="Arial" w:hAnsi="Arial"/>
          <w:sz w:val="14"/>
          <w:szCs w:val="14"/>
          <w:color w:val="3D3D3D"/>
        </w:rPr>
        <w:t xml:space="preserve"> o</w:t>
      </w:r>
      <w:r>
        <w:rPr>
          <w:rFonts w:ascii="Arial" w:cs="Arial" w:eastAsia="Arial" w:hAnsi="Arial"/>
          <w:sz w:val="14"/>
          <w:szCs w:val="14"/>
          <w:color w:val="4F4F4F"/>
        </w:rPr>
        <w:t>n e</w:t>
      </w:r>
      <w:r>
        <w:rPr>
          <w:rFonts w:ascii="Arial" w:cs="Arial" w:eastAsia="Arial" w:hAnsi="Arial"/>
          <w:sz w:val="14"/>
          <w:szCs w:val="14"/>
          <w:color w:val="3D3D3D"/>
        </w:rPr>
        <w:t>ach ann</w:t>
      </w:r>
      <w:r>
        <w:rPr>
          <w:rFonts w:ascii="Arial" w:cs="Arial" w:eastAsia="Arial" w:hAnsi="Arial"/>
          <w:sz w:val="14"/>
          <w:szCs w:val="14"/>
          <w:color w:val="4F4F4F"/>
        </w:rPr>
        <w:t>i</w:t>
      </w:r>
      <w:r>
        <w:rPr>
          <w:rFonts w:ascii="Arial" w:cs="Arial" w:eastAsia="Arial" w:hAnsi="Arial"/>
          <w:sz w:val="14"/>
          <w:szCs w:val="14"/>
          <w:color w:val="3D3D3D"/>
        </w:rPr>
        <w:t>ve</w:t>
      </w:r>
      <w:r>
        <w:rPr>
          <w:rFonts w:ascii="Arial" w:cs="Arial" w:eastAsia="Arial" w:hAnsi="Arial"/>
          <w:sz w:val="14"/>
          <w:szCs w:val="14"/>
          <w:color w:val="4F4F4F"/>
        </w:rPr>
        <w:t>r</w:t>
      </w:r>
      <w:r>
        <w:rPr>
          <w:rFonts w:ascii="Arial" w:cs="Arial" w:eastAsia="Arial" w:hAnsi="Arial"/>
          <w:sz w:val="14"/>
          <w:szCs w:val="14"/>
          <w:color w:val="3D3D3D"/>
        </w:rPr>
        <w:t>sary of the commenceme</w:t>
      </w:r>
      <w:r>
        <w:rPr>
          <w:rFonts w:ascii="Arial" w:cs="Arial" w:eastAsia="Arial" w:hAnsi="Arial"/>
          <w:sz w:val="14"/>
          <w:szCs w:val="14"/>
          <w:color w:val="4F4F4F"/>
        </w:rPr>
        <w:t>n</w:t>
      </w:r>
      <w:r>
        <w:rPr>
          <w:rFonts w:ascii="Arial" w:cs="Arial" w:eastAsia="Arial" w:hAnsi="Arial"/>
          <w:sz w:val="14"/>
          <w:szCs w:val="14"/>
          <w:color w:val="3D3D3D"/>
        </w:rPr>
        <w:t>t of the extended term</w:t>
      </w:r>
      <w:r>
        <w:rPr>
          <w:rFonts w:ascii="Arial" w:cs="Arial" w:eastAsia="Arial" w:hAnsi="Arial"/>
          <w:sz w:val="14"/>
          <w:szCs w:val="14"/>
          <w:color w:val="7C7C7C"/>
        </w:rPr>
        <w:t>, t</w:t>
      </w:r>
      <w:r>
        <w:rPr>
          <w:rFonts w:ascii="Arial" w:cs="Arial" w:eastAsia="Arial" w:hAnsi="Arial"/>
          <w:sz w:val="14"/>
          <w:szCs w:val="14"/>
          <w:color w:val="3D3D3D"/>
        </w:rPr>
        <w:t xml:space="preserve">he Base Rent will </w:t>
      </w:r>
      <w:r>
        <w:rPr>
          <w:rFonts w:ascii="Arial" w:cs="Arial" w:eastAsia="Arial" w:hAnsi="Arial"/>
          <w:sz w:val="14"/>
          <w:szCs w:val="14"/>
          <w:color w:val="4F4F4F"/>
        </w:rPr>
        <w:t>i</w:t>
      </w:r>
      <w:r>
        <w:rPr>
          <w:rFonts w:ascii="Arial" w:cs="Arial" w:eastAsia="Arial" w:hAnsi="Arial"/>
          <w:sz w:val="14"/>
          <w:szCs w:val="14"/>
          <w:color w:val="3D3D3D"/>
        </w:rPr>
        <w:t>nc</w:t>
      </w:r>
      <w:r>
        <w:rPr>
          <w:rFonts w:ascii="Arial" w:cs="Arial" w:eastAsia="Arial" w:hAnsi="Arial"/>
          <w:sz w:val="14"/>
          <w:szCs w:val="14"/>
          <w:color w:val="4F4F4F"/>
        </w:rPr>
        <w:t>r</w:t>
      </w:r>
      <w:r>
        <w:rPr>
          <w:rFonts w:ascii="Arial" w:cs="Arial" w:eastAsia="Arial" w:hAnsi="Arial"/>
          <w:sz w:val="14"/>
          <w:szCs w:val="14"/>
          <w:color w:val="3D3D3D"/>
        </w:rPr>
        <w:t>ease by 3</w:t>
      </w:r>
      <w:r>
        <w:rPr>
          <w:rFonts w:ascii="Arial" w:cs="Arial" w:eastAsia="Arial" w:hAnsi="Arial"/>
          <w:sz w:val="14"/>
          <w:szCs w:val="14"/>
          <w:color w:val="4F4F4F"/>
        </w:rPr>
        <w:t>%</w:t>
      </w:r>
      <w:r>
        <w:rPr>
          <w:rFonts w:ascii="Arial" w:cs="Arial" w:eastAsia="Arial" w:hAnsi="Arial"/>
          <w:sz w:val="14"/>
          <w:szCs w:val="14"/>
          <w:color w:val="3D3D3D"/>
        </w:rPr>
        <w:t>.</w:t>
      </w:r>
    </w:p>
    <w:p>
      <w:pPr>
        <w:spacing w:after="0" w:line="180" w:lineRule="exact"/>
        <w:rPr>
          <w:rFonts w:ascii="Arial" w:cs="Arial" w:eastAsia="Arial" w:hAnsi="Arial"/>
          <w:sz w:val="14"/>
          <w:szCs w:val="14"/>
          <w:color w:val="4F4F4F"/>
        </w:rPr>
      </w:pPr>
    </w:p>
    <w:p>
      <w:pPr>
        <w:ind w:left="640" w:hanging="321"/>
        <w:spacing w:after="0"/>
        <w:tabs>
          <w:tab w:leader="none" w:pos="640" w:val="left"/>
        </w:tabs>
        <w:numPr>
          <w:ilvl w:val="0"/>
          <w:numId w:val="51"/>
        </w:numPr>
        <w:rPr>
          <w:rFonts w:ascii="Arial" w:cs="Arial" w:eastAsia="Arial" w:hAnsi="Arial"/>
          <w:sz w:val="14"/>
          <w:szCs w:val="14"/>
          <w:color w:val="3D3D3D"/>
        </w:rPr>
      </w:pPr>
      <w:r>
        <w:rPr>
          <w:rFonts w:ascii="Arial" w:cs="Arial" w:eastAsia="Arial" w:hAnsi="Arial"/>
          <w:sz w:val="14"/>
          <w:szCs w:val="14"/>
          <w:b w:val="1"/>
          <w:bCs w:val="1"/>
          <w:color w:val="2F2F2F"/>
        </w:rPr>
        <w:t>Ut</w:t>
      </w:r>
      <w:r>
        <w:rPr>
          <w:rFonts w:ascii="Arial" w:cs="Arial" w:eastAsia="Arial" w:hAnsi="Arial"/>
          <w:sz w:val="14"/>
          <w:szCs w:val="14"/>
          <w:b w:val="1"/>
          <w:bCs w:val="1"/>
          <w:color w:val="3D3D3D"/>
        </w:rPr>
        <w:t>iliti</w:t>
      </w:r>
      <w:r>
        <w:rPr>
          <w:rFonts w:ascii="Arial" w:cs="Arial" w:eastAsia="Arial" w:hAnsi="Arial"/>
          <w:sz w:val="14"/>
          <w:szCs w:val="14"/>
          <w:b w:val="1"/>
          <w:bCs w:val="1"/>
          <w:color w:val="2F2F2F"/>
        </w:rPr>
        <w:t>es</w:t>
      </w:r>
      <w:r>
        <w:rPr>
          <w:rFonts w:ascii="Arial" w:cs="Arial" w:eastAsia="Arial" w:hAnsi="Arial"/>
          <w:sz w:val="14"/>
          <w:szCs w:val="14"/>
          <w:b w:val="1"/>
          <w:bCs w:val="1"/>
          <w:color w:val="3D3D3D"/>
        </w:rPr>
        <w:t>.</w:t>
      </w:r>
      <w:r>
        <w:rPr>
          <w:rFonts w:ascii="Arial" w:cs="Arial" w:eastAsia="Arial" w:hAnsi="Arial"/>
          <w:sz w:val="14"/>
          <w:szCs w:val="14"/>
          <w:b w:val="1"/>
          <w:bCs w:val="1"/>
          <w:color w:val="2F2F2F"/>
        </w:rPr>
        <w:t xml:space="preserve"> </w:t>
      </w:r>
      <w:r>
        <w:rPr>
          <w:rFonts w:ascii="Arial" w:cs="Arial" w:eastAsia="Arial" w:hAnsi="Arial"/>
          <w:sz w:val="14"/>
          <w:szCs w:val="14"/>
          <w:color w:val="4F4F4F"/>
        </w:rPr>
        <w:t>L</w:t>
      </w:r>
      <w:r>
        <w:rPr>
          <w:rFonts w:ascii="Arial" w:cs="Arial" w:eastAsia="Arial" w:hAnsi="Arial"/>
          <w:sz w:val="14"/>
          <w:szCs w:val="14"/>
          <w:color w:val="3D3D3D"/>
        </w:rPr>
        <w:t>essee will be</w:t>
      </w:r>
      <w:r>
        <w:rPr>
          <w:rFonts w:ascii="Arial" w:cs="Arial" w:eastAsia="Arial" w:hAnsi="Arial"/>
          <w:sz w:val="14"/>
          <w:szCs w:val="14"/>
          <w:b w:val="1"/>
          <w:bCs w:val="1"/>
          <w:color w:val="2F2F2F"/>
        </w:rPr>
        <w:t xml:space="preserve"> </w:t>
      </w:r>
      <w:r>
        <w:rPr>
          <w:rFonts w:ascii="Arial" w:cs="Arial" w:eastAsia="Arial" w:hAnsi="Arial"/>
          <w:sz w:val="14"/>
          <w:szCs w:val="14"/>
          <w:color w:val="4F4F4F"/>
        </w:rPr>
        <w:t>r</w:t>
      </w:r>
      <w:r>
        <w:rPr>
          <w:rFonts w:ascii="Arial" w:cs="Arial" w:eastAsia="Arial" w:hAnsi="Arial"/>
          <w:sz w:val="14"/>
          <w:szCs w:val="14"/>
          <w:color w:val="3D3D3D"/>
        </w:rPr>
        <w:t>espons</w:t>
      </w:r>
      <w:r>
        <w:rPr>
          <w:rFonts w:ascii="Arial" w:cs="Arial" w:eastAsia="Arial" w:hAnsi="Arial"/>
          <w:sz w:val="14"/>
          <w:szCs w:val="14"/>
          <w:color w:val="4F4F4F"/>
        </w:rPr>
        <w:t>i</w:t>
      </w:r>
      <w:r>
        <w:rPr>
          <w:rFonts w:ascii="Arial" w:cs="Arial" w:eastAsia="Arial" w:hAnsi="Arial"/>
          <w:sz w:val="14"/>
          <w:szCs w:val="14"/>
          <w:color w:val="3D3D3D"/>
        </w:rPr>
        <w:t>ble for all ut</w:t>
      </w:r>
      <w:r>
        <w:rPr>
          <w:rFonts w:ascii="Arial" w:cs="Arial" w:eastAsia="Arial" w:hAnsi="Arial"/>
          <w:sz w:val="14"/>
          <w:szCs w:val="14"/>
          <w:color w:val="4F4F4F"/>
        </w:rPr>
        <w:t>i</w:t>
      </w:r>
      <w:r>
        <w:rPr>
          <w:rFonts w:ascii="Arial" w:cs="Arial" w:eastAsia="Arial" w:hAnsi="Arial"/>
          <w:sz w:val="14"/>
          <w:szCs w:val="14"/>
          <w:color w:val="3D3D3D"/>
        </w:rPr>
        <w:t>lities serv</w:t>
      </w:r>
      <w:r>
        <w:rPr>
          <w:rFonts w:ascii="Arial" w:cs="Arial" w:eastAsia="Arial" w:hAnsi="Arial"/>
          <w:sz w:val="14"/>
          <w:szCs w:val="14"/>
          <w:color w:val="4F4F4F"/>
        </w:rPr>
        <w:t>i</w:t>
      </w:r>
      <w:r>
        <w:rPr>
          <w:rFonts w:ascii="Arial" w:cs="Arial" w:eastAsia="Arial" w:hAnsi="Arial"/>
          <w:sz w:val="14"/>
          <w:szCs w:val="14"/>
          <w:color w:val="3D3D3D"/>
        </w:rPr>
        <w:t>ng the property</w:t>
      </w:r>
      <w:r>
        <w:rPr>
          <w:rFonts w:ascii="Arial" w:cs="Arial" w:eastAsia="Arial" w:hAnsi="Arial"/>
          <w:sz w:val="14"/>
          <w:szCs w:val="14"/>
          <w:color w:val="6D6D6D"/>
        </w:rPr>
        <w:t>.</w:t>
      </w:r>
    </w:p>
    <w:p>
      <w:pPr>
        <w:spacing w:after="0" w:line="217" w:lineRule="exact"/>
        <w:rPr>
          <w:rFonts w:ascii="Arial" w:cs="Arial" w:eastAsia="Arial" w:hAnsi="Arial"/>
          <w:sz w:val="14"/>
          <w:szCs w:val="14"/>
          <w:color w:val="3D3D3D"/>
        </w:rPr>
      </w:pPr>
    </w:p>
    <w:p>
      <w:pPr>
        <w:ind w:left="640" w:right="340" w:hanging="321"/>
        <w:spacing w:after="0" w:line="285" w:lineRule="auto"/>
        <w:tabs>
          <w:tab w:leader="none" w:pos="638" w:val="left"/>
        </w:tabs>
        <w:numPr>
          <w:ilvl w:val="0"/>
          <w:numId w:val="51"/>
        </w:numPr>
        <w:rPr>
          <w:rFonts w:ascii="Arial" w:cs="Arial" w:eastAsia="Arial" w:hAnsi="Arial"/>
          <w:sz w:val="14"/>
          <w:szCs w:val="14"/>
          <w:color w:val="6D6D6D"/>
        </w:rPr>
      </w:pPr>
      <w:r>
        <w:rPr>
          <w:rFonts w:ascii="Arial" w:cs="Arial" w:eastAsia="Arial" w:hAnsi="Arial"/>
          <w:sz w:val="14"/>
          <w:szCs w:val="14"/>
          <w:b w:val="1"/>
          <w:bCs w:val="1"/>
          <w:color w:val="3D3D3D"/>
        </w:rPr>
        <w:t>F</w:t>
      </w:r>
      <w:r>
        <w:rPr>
          <w:rFonts w:ascii="Arial" w:cs="Arial" w:eastAsia="Arial" w:hAnsi="Arial"/>
          <w:sz w:val="14"/>
          <w:szCs w:val="14"/>
          <w:b w:val="1"/>
          <w:bCs w:val="1"/>
          <w:color w:val="2F2F2F"/>
        </w:rPr>
        <w:t>F&amp;E</w:t>
      </w:r>
      <w:r>
        <w:rPr>
          <w:rFonts w:ascii="Arial" w:cs="Arial" w:eastAsia="Arial" w:hAnsi="Arial"/>
          <w:sz w:val="14"/>
          <w:szCs w:val="14"/>
          <w:b w:val="1"/>
          <w:bCs w:val="1"/>
          <w:color w:val="3D3D3D"/>
        </w:rPr>
        <w:t xml:space="preserve">. </w:t>
      </w:r>
      <w:r>
        <w:rPr>
          <w:rFonts w:ascii="Arial" w:cs="Arial" w:eastAsia="Arial" w:hAnsi="Arial"/>
          <w:sz w:val="14"/>
          <w:szCs w:val="14"/>
          <w:color w:val="3D3D3D"/>
        </w:rPr>
        <w:t>Lessee has the right</w:t>
      </w:r>
      <w:r>
        <w:rPr>
          <w:rFonts w:ascii="Arial" w:cs="Arial" w:eastAsia="Arial" w:hAnsi="Arial"/>
          <w:sz w:val="14"/>
          <w:szCs w:val="14"/>
          <w:color w:val="6D6D6D"/>
        </w:rPr>
        <w:t>,</w:t>
      </w:r>
      <w:r>
        <w:rPr>
          <w:rFonts w:ascii="Arial" w:cs="Arial" w:eastAsia="Arial" w:hAnsi="Arial"/>
          <w:sz w:val="14"/>
          <w:szCs w:val="14"/>
          <w:b w:val="1"/>
          <w:bCs w:val="1"/>
          <w:color w:val="3D3D3D"/>
        </w:rPr>
        <w:t xml:space="preserve"> </w:t>
      </w:r>
      <w:r>
        <w:rPr>
          <w:rFonts w:ascii="Arial" w:cs="Arial" w:eastAsia="Arial" w:hAnsi="Arial"/>
          <w:sz w:val="14"/>
          <w:szCs w:val="14"/>
          <w:color w:val="3D3D3D"/>
        </w:rPr>
        <w:t>at</w:t>
      </w:r>
      <w:r>
        <w:rPr>
          <w:rFonts w:ascii="Arial" w:cs="Arial" w:eastAsia="Arial" w:hAnsi="Arial"/>
          <w:sz w:val="14"/>
          <w:szCs w:val="14"/>
          <w:b w:val="1"/>
          <w:bCs w:val="1"/>
          <w:color w:val="3D3D3D"/>
        </w:rPr>
        <w:t xml:space="preserve"> </w:t>
      </w:r>
      <w:r>
        <w:rPr>
          <w:rFonts w:ascii="Arial" w:cs="Arial" w:eastAsia="Arial" w:hAnsi="Arial"/>
          <w:sz w:val="14"/>
          <w:szCs w:val="14"/>
          <w:color w:val="4F4F4F"/>
        </w:rPr>
        <w:t>i</w:t>
      </w:r>
      <w:r>
        <w:rPr>
          <w:rFonts w:ascii="Arial" w:cs="Arial" w:eastAsia="Arial" w:hAnsi="Arial"/>
          <w:sz w:val="14"/>
          <w:szCs w:val="14"/>
          <w:color w:val="3D3D3D"/>
        </w:rPr>
        <w:t>ts sole cos</w:t>
      </w:r>
      <w:r>
        <w:rPr>
          <w:rFonts w:ascii="Arial" w:cs="Arial" w:eastAsia="Arial" w:hAnsi="Arial"/>
          <w:sz w:val="14"/>
          <w:szCs w:val="14"/>
          <w:color w:val="4F4F4F"/>
        </w:rPr>
        <w:t>t</w:t>
      </w:r>
      <w:r>
        <w:rPr>
          <w:rFonts w:ascii="Arial" w:cs="Arial" w:eastAsia="Arial" w:hAnsi="Arial"/>
          <w:sz w:val="14"/>
          <w:szCs w:val="14"/>
          <w:b w:val="1"/>
          <w:bCs w:val="1"/>
          <w:color w:val="3D3D3D"/>
        </w:rPr>
        <w:t xml:space="preserve"> </w:t>
      </w:r>
      <w:r>
        <w:rPr>
          <w:rFonts w:ascii="Arial" w:cs="Arial" w:eastAsia="Arial" w:hAnsi="Arial"/>
          <w:sz w:val="14"/>
          <w:szCs w:val="14"/>
          <w:color w:val="3D3D3D"/>
        </w:rPr>
        <w:t>and expense</w:t>
      </w:r>
      <w:r>
        <w:rPr>
          <w:rFonts w:ascii="Arial" w:cs="Arial" w:eastAsia="Arial" w:hAnsi="Arial"/>
          <w:sz w:val="14"/>
          <w:szCs w:val="14"/>
          <w:color w:val="6D6D6D"/>
        </w:rPr>
        <w:t>,</w:t>
      </w:r>
      <w:r>
        <w:rPr>
          <w:rFonts w:ascii="Arial" w:cs="Arial" w:eastAsia="Arial" w:hAnsi="Arial"/>
          <w:sz w:val="14"/>
          <w:szCs w:val="14"/>
          <w:b w:val="1"/>
          <w:bCs w:val="1"/>
          <w:color w:val="3D3D3D"/>
        </w:rPr>
        <w:t xml:space="preserve"> </w:t>
      </w:r>
      <w:r>
        <w:rPr>
          <w:rFonts w:ascii="Arial" w:cs="Arial" w:eastAsia="Arial" w:hAnsi="Arial"/>
          <w:sz w:val="14"/>
          <w:szCs w:val="14"/>
          <w:color w:val="3D3D3D"/>
        </w:rPr>
        <w:t>to repa</w:t>
      </w:r>
      <w:r>
        <w:rPr>
          <w:rFonts w:ascii="Arial" w:cs="Arial" w:eastAsia="Arial" w:hAnsi="Arial"/>
          <w:sz w:val="14"/>
          <w:szCs w:val="14"/>
          <w:color w:val="4F4F4F"/>
        </w:rPr>
        <w:t>ir</w:t>
      </w:r>
      <w:r>
        <w:rPr>
          <w:rFonts w:ascii="Arial" w:cs="Arial" w:eastAsia="Arial" w:hAnsi="Arial"/>
          <w:sz w:val="14"/>
          <w:szCs w:val="14"/>
          <w:color w:val="6D6D6D"/>
        </w:rPr>
        <w:t>,</w:t>
      </w:r>
      <w:r>
        <w:rPr>
          <w:rFonts w:ascii="Arial" w:cs="Arial" w:eastAsia="Arial" w:hAnsi="Arial"/>
          <w:sz w:val="14"/>
          <w:szCs w:val="14"/>
          <w:b w:val="1"/>
          <w:bCs w:val="1"/>
          <w:color w:val="3D3D3D"/>
        </w:rPr>
        <w:t xml:space="preserve"> </w:t>
      </w:r>
      <w:r>
        <w:rPr>
          <w:rFonts w:ascii="Arial" w:cs="Arial" w:eastAsia="Arial" w:hAnsi="Arial"/>
          <w:sz w:val="14"/>
          <w:szCs w:val="14"/>
          <w:color w:val="3D3D3D"/>
        </w:rPr>
        <w:t>replace</w:t>
      </w:r>
      <w:r>
        <w:rPr>
          <w:rFonts w:ascii="Arial" w:cs="Arial" w:eastAsia="Arial" w:hAnsi="Arial"/>
          <w:sz w:val="14"/>
          <w:szCs w:val="14"/>
          <w:color w:val="6D6D6D"/>
        </w:rPr>
        <w:t>, o</w:t>
      </w:r>
      <w:r>
        <w:rPr>
          <w:rFonts w:ascii="Arial" w:cs="Arial" w:eastAsia="Arial" w:hAnsi="Arial"/>
          <w:sz w:val="14"/>
          <w:szCs w:val="14"/>
          <w:color w:val="3D3D3D"/>
        </w:rPr>
        <w:t>r d</w:t>
      </w:r>
      <w:r>
        <w:rPr>
          <w:rFonts w:ascii="Arial" w:cs="Arial" w:eastAsia="Arial" w:hAnsi="Arial"/>
          <w:sz w:val="14"/>
          <w:szCs w:val="14"/>
          <w:color w:val="4F4F4F"/>
        </w:rPr>
        <w:t>i</w:t>
      </w:r>
      <w:r>
        <w:rPr>
          <w:rFonts w:ascii="Arial" w:cs="Arial" w:eastAsia="Arial" w:hAnsi="Arial"/>
          <w:sz w:val="14"/>
          <w:szCs w:val="14"/>
          <w:color w:val="3D3D3D"/>
        </w:rPr>
        <w:t>spose of all ex</w:t>
      </w:r>
      <w:r>
        <w:rPr>
          <w:rFonts w:ascii="Arial" w:cs="Arial" w:eastAsia="Arial" w:hAnsi="Arial"/>
          <w:sz w:val="14"/>
          <w:szCs w:val="14"/>
          <w:color w:val="4F4F4F"/>
        </w:rPr>
        <w:t>i</w:t>
      </w:r>
      <w:r>
        <w:rPr>
          <w:rFonts w:ascii="Arial" w:cs="Arial" w:eastAsia="Arial" w:hAnsi="Arial"/>
          <w:sz w:val="14"/>
          <w:szCs w:val="14"/>
          <w:color w:val="3D3D3D"/>
        </w:rPr>
        <w:t>s</w:t>
      </w:r>
      <w:r>
        <w:rPr>
          <w:rFonts w:ascii="Arial" w:cs="Arial" w:eastAsia="Arial" w:hAnsi="Arial"/>
          <w:sz w:val="14"/>
          <w:szCs w:val="14"/>
          <w:color w:val="4F4F4F"/>
        </w:rPr>
        <w:t>ti</w:t>
      </w:r>
      <w:r>
        <w:rPr>
          <w:rFonts w:ascii="Arial" w:cs="Arial" w:eastAsia="Arial" w:hAnsi="Arial"/>
          <w:sz w:val="14"/>
          <w:szCs w:val="14"/>
          <w:color w:val="3D3D3D"/>
        </w:rPr>
        <w:t>ng furniture in the bu</w:t>
      </w:r>
      <w:r>
        <w:rPr>
          <w:rFonts w:ascii="Arial" w:cs="Arial" w:eastAsia="Arial" w:hAnsi="Arial"/>
          <w:sz w:val="14"/>
          <w:szCs w:val="14"/>
          <w:color w:val="4F4F4F"/>
        </w:rPr>
        <w:t>i</w:t>
      </w:r>
      <w:r>
        <w:rPr>
          <w:rFonts w:ascii="Arial" w:cs="Arial" w:eastAsia="Arial" w:hAnsi="Arial"/>
          <w:sz w:val="14"/>
          <w:szCs w:val="14"/>
          <w:color w:val="3D3D3D"/>
        </w:rPr>
        <w:t>ld</w:t>
      </w:r>
      <w:r>
        <w:rPr>
          <w:rFonts w:ascii="Arial" w:cs="Arial" w:eastAsia="Arial" w:hAnsi="Arial"/>
          <w:sz w:val="14"/>
          <w:szCs w:val="14"/>
          <w:color w:val="4F4F4F"/>
        </w:rPr>
        <w:t>i</w:t>
      </w:r>
      <w:r>
        <w:rPr>
          <w:rFonts w:ascii="Arial" w:cs="Arial" w:eastAsia="Arial" w:hAnsi="Arial"/>
          <w:sz w:val="14"/>
          <w:szCs w:val="14"/>
          <w:color w:val="3D3D3D"/>
        </w:rPr>
        <w:t>ng</w:t>
      </w:r>
      <w:r>
        <w:rPr>
          <w:rFonts w:ascii="Arial" w:cs="Arial" w:eastAsia="Arial" w:hAnsi="Arial"/>
          <w:sz w:val="14"/>
          <w:szCs w:val="14"/>
          <w:color w:val="4F4F4F"/>
        </w:rPr>
        <w:t>.</w:t>
      </w:r>
      <w:r>
        <w:rPr>
          <w:rFonts w:ascii="Arial" w:cs="Arial" w:eastAsia="Arial" w:hAnsi="Arial"/>
          <w:sz w:val="14"/>
          <w:szCs w:val="14"/>
          <w:b w:val="1"/>
          <w:bCs w:val="1"/>
          <w:color w:val="3D3D3D"/>
        </w:rPr>
        <w:t xml:space="preserve"> </w:t>
      </w:r>
      <w:r>
        <w:rPr>
          <w:rFonts w:ascii="Arial" w:cs="Arial" w:eastAsia="Arial" w:hAnsi="Arial"/>
          <w:sz w:val="14"/>
          <w:szCs w:val="14"/>
          <w:color w:val="3D3D3D"/>
        </w:rPr>
        <w:t>Lesso</w:t>
      </w:r>
      <w:r>
        <w:rPr>
          <w:rFonts w:ascii="Arial" w:cs="Arial" w:eastAsia="Arial" w:hAnsi="Arial"/>
          <w:sz w:val="14"/>
          <w:szCs w:val="14"/>
          <w:color w:val="4F4F4F"/>
        </w:rPr>
        <w:t>r</w:t>
      </w:r>
      <w:r>
        <w:rPr>
          <w:rFonts w:ascii="Arial" w:cs="Arial" w:eastAsia="Arial" w:hAnsi="Arial"/>
          <w:sz w:val="14"/>
          <w:szCs w:val="14"/>
          <w:b w:val="1"/>
          <w:bCs w:val="1"/>
          <w:color w:val="3D3D3D"/>
        </w:rPr>
        <w:t xml:space="preserve"> </w:t>
      </w:r>
      <w:r>
        <w:rPr>
          <w:rFonts w:ascii="Arial" w:cs="Arial" w:eastAsia="Arial" w:hAnsi="Arial"/>
          <w:sz w:val="14"/>
          <w:szCs w:val="14"/>
          <w:color w:val="3D3D3D"/>
        </w:rPr>
        <w:t>shall have no</w:t>
      </w:r>
      <w:r>
        <w:rPr>
          <w:rFonts w:ascii="Arial" w:cs="Arial" w:eastAsia="Arial" w:hAnsi="Arial"/>
          <w:sz w:val="14"/>
          <w:szCs w:val="14"/>
          <w:b w:val="1"/>
          <w:bCs w:val="1"/>
          <w:color w:val="3D3D3D"/>
        </w:rPr>
        <w:t xml:space="preserve"> </w:t>
      </w:r>
      <w:r>
        <w:rPr>
          <w:rFonts w:ascii="Arial" w:cs="Arial" w:eastAsia="Arial" w:hAnsi="Arial"/>
          <w:sz w:val="14"/>
          <w:szCs w:val="14"/>
          <w:color w:val="3D3D3D"/>
        </w:rPr>
        <w:t>further r</w:t>
      </w:r>
      <w:r>
        <w:rPr>
          <w:rFonts w:ascii="Arial" w:cs="Arial" w:eastAsia="Arial" w:hAnsi="Arial"/>
          <w:sz w:val="14"/>
          <w:szCs w:val="14"/>
          <w:color w:val="4F4F4F"/>
        </w:rPr>
        <w:t>i</w:t>
      </w:r>
      <w:r>
        <w:rPr>
          <w:rFonts w:ascii="Arial" w:cs="Arial" w:eastAsia="Arial" w:hAnsi="Arial"/>
          <w:sz w:val="14"/>
          <w:szCs w:val="14"/>
          <w:color w:val="3D3D3D"/>
        </w:rPr>
        <w:t>ghts to sa</w:t>
      </w:r>
      <w:r>
        <w:rPr>
          <w:rFonts w:ascii="Arial" w:cs="Arial" w:eastAsia="Arial" w:hAnsi="Arial"/>
          <w:sz w:val="14"/>
          <w:szCs w:val="14"/>
          <w:color w:val="4F4F4F"/>
        </w:rPr>
        <w:t>i</w:t>
      </w:r>
      <w:r>
        <w:rPr>
          <w:rFonts w:ascii="Arial" w:cs="Arial" w:eastAsia="Arial" w:hAnsi="Arial"/>
          <w:sz w:val="14"/>
          <w:szCs w:val="14"/>
          <w:color w:val="3D3D3D"/>
        </w:rPr>
        <w:t>d furni</w:t>
      </w:r>
      <w:r>
        <w:rPr>
          <w:rFonts w:ascii="Arial" w:cs="Arial" w:eastAsia="Arial" w:hAnsi="Arial"/>
          <w:sz w:val="14"/>
          <w:szCs w:val="14"/>
          <w:color w:val="2F2F2F"/>
        </w:rPr>
        <w:t>t</w:t>
      </w:r>
      <w:r>
        <w:rPr>
          <w:rFonts w:ascii="Arial" w:cs="Arial" w:eastAsia="Arial" w:hAnsi="Arial"/>
          <w:sz w:val="14"/>
          <w:szCs w:val="14"/>
          <w:color w:val="3D3D3D"/>
        </w:rPr>
        <w:t>ure</w:t>
      </w:r>
      <w:r>
        <w:rPr>
          <w:rFonts w:ascii="Arial" w:cs="Arial" w:eastAsia="Arial" w:hAnsi="Arial"/>
          <w:sz w:val="14"/>
          <w:szCs w:val="14"/>
          <w:color w:val="7C7C7C"/>
        </w:rPr>
        <w:t>.</w:t>
      </w:r>
    </w:p>
    <w:p>
      <w:pPr>
        <w:spacing w:after="0" w:line="157" w:lineRule="exact"/>
        <w:rPr>
          <w:rFonts w:ascii="Arial" w:cs="Arial" w:eastAsia="Arial" w:hAnsi="Arial"/>
          <w:sz w:val="14"/>
          <w:szCs w:val="14"/>
          <w:color w:val="6D6D6D"/>
        </w:rPr>
      </w:pPr>
    </w:p>
    <w:p>
      <w:pPr>
        <w:ind w:left="640" w:right="240" w:hanging="321"/>
        <w:spacing w:after="0" w:line="285" w:lineRule="auto"/>
        <w:tabs>
          <w:tab w:leader="none" w:pos="638" w:val="left"/>
        </w:tabs>
        <w:numPr>
          <w:ilvl w:val="0"/>
          <w:numId w:val="51"/>
        </w:numPr>
        <w:rPr>
          <w:rFonts w:ascii="Arial" w:cs="Arial" w:eastAsia="Arial" w:hAnsi="Arial"/>
          <w:sz w:val="14"/>
          <w:szCs w:val="14"/>
          <w:color w:val="7C7C7C"/>
        </w:rPr>
      </w:pPr>
      <w:r>
        <w:rPr>
          <w:rFonts w:ascii="Arial" w:cs="Arial" w:eastAsia="Arial" w:hAnsi="Arial"/>
          <w:sz w:val="14"/>
          <w:szCs w:val="14"/>
          <w:b w:val="1"/>
          <w:bCs w:val="1"/>
          <w:color w:val="2F2F2F"/>
        </w:rPr>
        <w:t>Security Depos</w:t>
      </w:r>
      <w:r>
        <w:rPr>
          <w:rFonts w:ascii="Arial" w:cs="Arial" w:eastAsia="Arial" w:hAnsi="Arial"/>
          <w:sz w:val="14"/>
          <w:szCs w:val="14"/>
          <w:b w:val="1"/>
          <w:bCs w:val="1"/>
          <w:color w:val="3D3D3D"/>
        </w:rPr>
        <w:t>i</w:t>
      </w:r>
      <w:r>
        <w:rPr>
          <w:rFonts w:ascii="Arial" w:cs="Arial" w:eastAsia="Arial" w:hAnsi="Arial"/>
          <w:sz w:val="14"/>
          <w:szCs w:val="14"/>
          <w:b w:val="1"/>
          <w:bCs w:val="1"/>
          <w:color w:val="2F2F2F"/>
        </w:rPr>
        <w:t>t</w:t>
      </w:r>
      <w:r>
        <w:rPr>
          <w:rFonts w:ascii="Arial" w:cs="Arial" w:eastAsia="Arial" w:hAnsi="Arial"/>
          <w:sz w:val="14"/>
          <w:szCs w:val="14"/>
          <w:b w:val="1"/>
          <w:bCs w:val="1"/>
          <w:color w:val="3D3D3D"/>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Lessee</w:t>
      </w:r>
      <w:r>
        <w:rPr>
          <w:rFonts w:ascii="Arial" w:cs="Arial" w:eastAsia="Arial" w:hAnsi="Arial"/>
          <w:sz w:val="14"/>
          <w:szCs w:val="14"/>
          <w:color w:val="6D6D6D"/>
        </w:rPr>
        <w:t>'</w:t>
      </w:r>
      <w:r>
        <w:rPr>
          <w:rFonts w:ascii="Arial" w:cs="Arial" w:eastAsia="Arial" w:hAnsi="Arial"/>
          <w:sz w:val="14"/>
          <w:szCs w:val="14"/>
          <w:color w:val="3D3D3D"/>
        </w:rPr>
        <w:t>s Security Depos</w:t>
      </w:r>
      <w:r>
        <w:rPr>
          <w:rFonts w:ascii="Arial" w:cs="Arial" w:eastAsia="Arial" w:hAnsi="Arial"/>
          <w:sz w:val="14"/>
          <w:szCs w:val="14"/>
          <w:color w:val="4F4F4F"/>
        </w:rPr>
        <w:t>i</w:t>
      </w:r>
      <w:r>
        <w:rPr>
          <w:rFonts w:ascii="Arial" w:cs="Arial" w:eastAsia="Arial" w:hAnsi="Arial"/>
          <w:sz w:val="14"/>
          <w:szCs w:val="14"/>
          <w:color w:val="3D3D3D"/>
        </w:rPr>
        <w:t>t shall be $22</w:t>
      </w:r>
      <w:r>
        <w:rPr>
          <w:rFonts w:ascii="Arial" w:cs="Arial" w:eastAsia="Arial" w:hAnsi="Arial"/>
          <w:sz w:val="14"/>
          <w:szCs w:val="14"/>
          <w:color w:val="6D6D6D"/>
        </w:rPr>
        <w:t>,</w:t>
      </w:r>
      <w:r>
        <w:rPr>
          <w:rFonts w:ascii="Arial" w:cs="Arial" w:eastAsia="Arial" w:hAnsi="Arial"/>
          <w:sz w:val="14"/>
          <w:szCs w:val="14"/>
          <w:color w:val="3D3D3D"/>
        </w:rPr>
        <w:t>000</w:t>
      </w:r>
      <w:r>
        <w:rPr>
          <w:rFonts w:ascii="Arial" w:cs="Arial" w:eastAsia="Arial" w:hAnsi="Arial"/>
          <w:sz w:val="14"/>
          <w:szCs w:val="14"/>
          <w:color w:val="6D6D6D"/>
        </w:rPr>
        <w:t>.</w:t>
      </w:r>
      <w:r>
        <w:rPr>
          <w:rFonts w:ascii="Arial" w:cs="Arial" w:eastAsia="Arial" w:hAnsi="Arial"/>
          <w:sz w:val="14"/>
          <w:szCs w:val="14"/>
          <w:color w:val="3D3D3D"/>
        </w:rPr>
        <w:t>00.</w:t>
      </w:r>
      <w:r>
        <w:rPr>
          <w:rFonts w:ascii="Arial" w:cs="Arial" w:eastAsia="Arial" w:hAnsi="Arial"/>
          <w:sz w:val="14"/>
          <w:szCs w:val="14"/>
          <w:b w:val="1"/>
          <w:bCs w:val="1"/>
          <w:color w:val="2F2F2F"/>
        </w:rPr>
        <w:t xml:space="preserve"> </w:t>
      </w:r>
      <w:r>
        <w:rPr>
          <w:rFonts w:ascii="Arial" w:cs="Arial" w:eastAsia="Arial" w:hAnsi="Arial"/>
          <w:sz w:val="14"/>
          <w:szCs w:val="14"/>
          <w:color w:val="4F4F4F"/>
        </w:rPr>
        <w:t>L</w:t>
      </w:r>
      <w:r>
        <w:rPr>
          <w:rFonts w:ascii="Arial" w:cs="Arial" w:eastAsia="Arial" w:hAnsi="Arial"/>
          <w:sz w:val="14"/>
          <w:szCs w:val="14"/>
          <w:color w:val="3D3D3D"/>
        </w:rPr>
        <w:t>essor currently holds a Secu</w:t>
      </w:r>
      <w:r>
        <w:rPr>
          <w:rFonts w:ascii="Arial" w:cs="Arial" w:eastAsia="Arial" w:hAnsi="Arial"/>
          <w:sz w:val="14"/>
          <w:szCs w:val="14"/>
          <w:color w:val="4F4F4F"/>
        </w:rPr>
        <w:t>ri</w:t>
      </w:r>
      <w:r>
        <w:rPr>
          <w:rFonts w:ascii="Arial" w:cs="Arial" w:eastAsia="Arial" w:hAnsi="Arial"/>
          <w:sz w:val="14"/>
          <w:szCs w:val="14"/>
          <w:color w:val="3D3D3D"/>
        </w:rPr>
        <w:t>ty Depos</w:t>
      </w:r>
      <w:r>
        <w:rPr>
          <w:rFonts w:ascii="Arial" w:cs="Arial" w:eastAsia="Arial" w:hAnsi="Arial"/>
          <w:sz w:val="14"/>
          <w:szCs w:val="14"/>
          <w:color w:val="6D6D6D"/>
        </w:rPr>
        <w:t>i</w:t>
      </w:r>
      <w:r>
        <w:rPr>
          <w:rFonts w:ascii="Arial" w:cs="Arial" w:eastAsia="Arial" w:hAnsi="Arial"/>
          <w:sz w:val="14"/>
          <w:szCs w:val="14"/>
          <w:color w:val="3D3D3D"/>
        </w:rPr>
        <w:t>t of $40,412</w:t>
      </w:r>
      <w:r>
        <w:rPr>
          <w:rFonts w:ascii="Arial" w:cs="Arial" w:eastAsia="Arial" w:hAnsi="Arial"/>
          <w:sz w:val="14"/>
          <w:szCs w:val="14"/>
          <w:color w:val="7C7C7C"/>
        </w:rPr>
        <w:t>.</w:t>
      </w:r>
      <w:r>
        <w:rPr>
          <w:rFonts w:ascii="Arial" w:cs="Arial" w:eastAsia="Arial" w:hAnsi="Arial"/>
          <w:sz w:val="14"/>
          <w:szCs w:val="14"/>
          <w:color w:val="3D3D3D"/>
        </w:rPr>
        <w:t>00 and will re</w:t>
      </w:r>
      <w:r>
        <w:rPr>
          <w:rFonts w:ascii="Arial" w:cs="Arial" w:eastAsia="Arial" w:hAnsi="Arial"/>
          <w:sz w:val="14"/>
          <w:szCs w:val="14"/>
          <w:color w:val="4F4F4F"/>
        </w:rPr>
        <w:t>t</w:t>
      </w:r>
      <w:r>
        <w:rPr>
          <w:rFonts w:ascii="Arial" w:cs="Arial" w:eastAsia="Arial" w:hAnsi="Arial"/>
          <w:sz w:val="14"/>
          <w:szCs w:val="14"/>
          <w:color w:val="3D3D3D"/>
        </w:rPr>
        <w:t>urn to</w:t>
      </w:r>
      <w:r>
        <w:rPr>
          <w:rFonts w:ascii="Arial" w:cs="Arial" w:eastAsia="Arial" w:hAnsi="Arial"/>
          <w:sz w:val="14"/>
          <w:szCs w:val="14"/>
          <w:b w:val="1"/>
          <w:bCs w:val="1"/>
          <w:color w:val="2F2F2F"/>
        </w:rPr>
        <w:t xml:space="preserve"> </w:t>
      </w:r>
      <w:r>
        <w:rPr>
          <w:rFonts w:ascii="Arial" w:cs="Arial" w:eastAsia="Arial" w:hAnsi="Arial"/>
          <w:sz w:val="14"/>
          <w:szCs w:val="14"/>
          <w:color w:val="4F4F4F"/>
        </w:rPr>
        <w:t>L</w:t>
      </w:r>
      <w:r>
        <w:rPr>
          <w:rFonts w:ascii="Arial" w:cs="Arial" w:eastAsia="Arial" w:hAnsi="Arial"/>
          <w:sz w:val="14"/>
          <w:szCs w:val="14"/>
          <w:color w:val="3D3D3D"/>
        </w:rPr>
        <w:t>essee</w:t>
      </w:r>
      <w:r>
        <w:rPr>
          <w:rFonts w:ascii="Arial" w:cs="Arial" w:eastAsia="Arial" w:hAnsi="Arial"/>
          <w:sz w:val="14"/>
          <w:szCs w:val="14"/>
          <w:b w:val="1"/>
          <w:bCs w:val="1"/>
          <w:color w:val="2F2F2F"/>
        </w:rPr>
        <w:t xml:space="preserve"> </w:t>
      </w:r>
      <w:r>
        <w:rPr>
          <w:rFonts w:ascii="Arial" w:cs="Arial" w:eastAsia="Arial" w:hAnsi="Arial"/>
          <w:sz w:val="14"/>
          <w:szCs w:val="14"/>
          <w:color w:val="3D3D3D"/>
        </w:rPr>
        <w:t>$18</w:t>
      </w:r>
      <w:r>
        <w:rPr>
          <w:rFonts w:ascii="Arial" w:cs="Arial" w:eastAsia="Arial" w:hAnsi="Arial"/>
          <w:sz w:val="14"/>
          <w:szCs w:val="14"/>
          <w:color w:val="7C7C7C"/>
        </w:rPr>
        <w:t>,</w:t>
      </w:r>
      <w:r>
        <w:rPr>
          <w:rFonts w:ascii="Arial" w:cs="Arial" w:eastAsia="Arial" w:hAnsi="Arial"/>
          <w:sz w:val="14"/>
          <w:szCs w:val="14"/>
          <w:color w:val="3D3D3D"/>
        </w:rPr>
        <w:t>4</w:t>
      </w:r>
      <w:r>
        <w:rPr>
          <w:rFonts w:ascii="Arial" w:cs="Arial" w:eastAsia="Arial" w:hAnsi="Arial"/>
          <w:sz w:val="14"/>
          <w:szCs w:val="14"/>
          <w:color w:val="4F4F4F"/>
        </w:rPr>
        <w:t>1</w:t>
      </w:r>
      <w:r>
        <w:rPr>
          <w:rFonts w:ascii="Arial" w:cs="Arial" w:eastAsia="Arial" w:hAnsi="Arial"/>
          <w:sz w:val="14"/>
          <w:szCs w:val="14"/>
          <w:color w:val="3D3D3D"/>
        </w:rPr>
        <w:t>2</w:t>
      </w:r>
      <w:r>
        <w:rPr>
          <w:rFonts w:ascii="Arial" w:cs="Arial" w:eastAsia="Arial" w:hAnsi="Arial"/>
          <w:sz w:val="14"/>
          <w:szCs w:val="14"/>
          <w:color w:val="6D6D6D"/>
        </w:rPr>
        <w:t>.</w:t>
      </w:r>
      <w:r>
        <w:rPr>
          <w:rFonts w:ascii="Arial" w:cs="Arial" w:eastAsia="Arial" w:hAnsi="Arial"/>
          <w:sz w:val="14"/>
          <w:szCs w:val="14"/>
          <w:color w:val="3D3D3D"/>
        </w:rPr>
        <w:t>00 with</w:t>
      </w:r>
      <w:r>
        <w:rPr>
          <w:rFonts w:ascii="Arial" w:cs="Arial" w:eastAsia="Arial" w:hAnsi="Arial"/>
          <w:sz w:val="14"/>
          <w:szCs w:val="14"/>
          <w:color w:val="4F4F4F"/>
        </w:rPr>
        <w:t>i</w:t>
      </w:r>
      <w:r>
        <w:rPr>
          <w:rFonts w:ascii="Arial" w:cs="Arial" w:eastAsia="Arial" w:hAnsi="Arial"/>
          <w:sz w:val="14"/>
          <w:szCs w:val="14"/>
          <w:color w:val="3D3D3D"/>
        </w:rPr>
        <w:t>n 30 days of execut</w:t>
      </w:r>
      <w:r>
        <w:rPr>
          <w:rFonts w:ascii="Arial" w:cs="Arial" w:eastAsia="Arial" w:hAnsi="Arial"/>
          <w:sz w:val="14"/>
          <w:szCs w:val="14"/>
          <w:color w:val="4F4F4F"/>
        </w:rPr>
        <w:t>i</w:t>
      </w:r>
      <w:r>
        <w:rPr>
          <w:rFonts w:ascii="Arial" w:cs="Arial" w:eastAsia="Arial" w:hAnsi="Arial"/>
          <w:sz w:val="14"/>
          <w:szCs w:val="14"/>
          <w:color w:val="3D3D3D"/>
        </w:rPr>
        <w:t>ng th</w:t>
      </w:r>
      <w:r>
        <w:rPr>
          <w:rFonts w:ascii="Arial" w:cs="Arial" w:eastAsia="Arial" w:hAnsi="Arial"/>
          <w:sz w:val="14"/>
          <w:szCs w:val="14"/>
          <w:color w:val="4F4F4F"/>
        </w:rPr>
        <w:t>i</w:t>
      </w:r>
      <w:r>
        <w:rPr>
          <w:rFonts w:ascii="Arial" w:cs="Arial" w:eastAsia="Arial" w:hAnsi="Arial"/>
          <w:sz w:val="14"/>
          <w:szCs w:val="14"/>
          <w:color w:val="3D3D3D"/>
        </w:rPr>
        <w:t>s Extens</w:t>
      </w:r>
      <w:r>
        <w:rPr>
          <w:rFonts w:ascii="Arial" w:cs="Arial" w:eastAsia="Arial" w:hAnsi="Arial"/>
          <w:sz w:val="14"/>
          <w:szCs w:val="14"/>
          <w:color w:val="4F4F4F"/>
        </w:rPr>
        <w:t>i</w:t>
      </w:r>
      <w:r>
        <w:rPr>
          <w:rFonts w:ascii="Arial" w:cs="Arial" w:eastAsia="Arial" w:hAnsi="Arial"/>
          <w:sz w:val="14"/>
          <w:szCs w:val="14"/>
          <w:color w:val="3D3D3D"/>
        </w:rPr>
        <w:t>o</w:t>
      </w:r>
      <w:r>
        <w:rPr>
          <w:rFonts w:ascii="Arial" w:cs="Arial" w:eastAsia="Arial" w:hAnsi="Arial"/>
          <w:sz w:val="14"/>
          <w:szCs w:val="14"/>
          <w:color w:val="4F4F4F"/>
        </w:rPr>
        <w:t>n</w:t>
      </w:r>
      <w:r>
        <w:rPr>
          <w:rFonts w:ascii="Arial" w:cs="Arial" w:eastAsia="Arial" w:hAnsi="Arial"/>
          <w:sz w:val="14"/>
          <w:szCs w:val="14"/>
          <w:color w:val="6D6D6D"/>
        </w:rPr>
        <w:t>.</w:t>
      </w:r>
    </w:p>
    <w:p>
      <w:pPr>
        <w:spacing w:after="0" w:line="157" w:lineRule="exact"/>
        <w:rPr>
          <w:rFonts w:ascii="Arial" w:cs="Arial" w:eastAsia="Arial" w:hAnsi="Arial"/>
          <w:sz w:val="14"/>
          <w:szCs w:val="14"/>
          <w:color w:val="7C7C7C"/>
        </w:rPr>
      </w:pPr>
    </w:p>
    <w:p>
      <w:pPr>
        <w:ind w:left="640" w:right="160" w:hanging="321"/>
        <w:spacing w:after="0" w:line="285" w:lineRule="auto"/>
        <w:tabs>
          <w:tab w:leader="none" w:pos="638" w:val="left"/>
        </w:tabs>
        <w:numPr>
          <w:ilvl w:val="0"/>
          <w:numId w:val="51"/>
        </w:numPr>
        <w:rPr>
          <w:rFonts w:ascii="Arial" w:cs="Arial" w:eastAsia="Arial" w:hAnsi="Arial"/>
          <w:sz w:val="14"/>
          <w:szCs w:val="14"/>
          <w:color w:val="6D6D6D"/>
        </w:rPr>
      </w:pPr>
      <w:r>
        <w:rPr>
          <w:rFonts w:ascii="Arial" w:cs="Arial" w:eastAsia="Arial" w:hAnsi="Arial"/>
          <w:sz w:val="14"/>
          <w:szCs w:val="14"/>
          <w:b w:val="1"/>
          <w:bCs w:val="1"/>
          <w:color w:val="3D3D3D"/>
        </w:rPr>
        <w:t>L</w:t>
      </w:r>
      <w:r>
        <w:rPr>
          <w:rFonts w:ascii="Arial" w:cs="Arial" w:eastAsia="Arial" w:hAnsi="Arial"/>
          <w:sz w:val="14"/>
          <w:szCs w:val="14"/>
          <w:b w:val="1"/>
          <w:bCs w:val="1"/>
          <w:color w:val="2F2F2F"/>
        </w:rPr>
        <w:t>esso</w:t>
      </w:r>
      <w:r>
        <w:rPr>
          <w:rFonts w:ascii="Arial" w:cs="Arial" w:eastAsia="Arial" w:hAnsi="Arial"/>
          <w:sz w:val="14"/>
          <w:szCs w:val="14"/>
          <w:b w:val="1"/>
          <w:bCs w:val="1"/>
          <w:color w:val="3D3D3D"/>
        </w:rPr>
        <w:t xml:space="preserve">r </w:t>
      </w:r>
      <w:r>
        <w:rPr>
          <w:rFonts w:ascii="Arial" w:cs="Arial" w:eastAsia="Arial" w:hAnsi="Arial"/>
          <w:sz w:val="14"/>
          <w:szCs w:val="14"/>
          <w:b w:val="1"/>
          <w:bCs w:val="1"/>
          <w:color w:val="2F2F2F"/>
        </w:rPr>
        <w:t>Ownersh</w:t>
      </w:r>
      <w:r>
        <w:rPr>
          <w:rFonts w:ascii="Arial" w:cs="Arial" w:eastAsia="Arial" w:hAnsi="Arial"/>
          <w:sz w:val="14"/>
          <w:szCs w:val="14"/>
          <w:b w:val="1"/>
          <w:bCs w:val="1"/>
          <w:color w:val="3D3D3D"/>
        </w:rPr>
        <w:t xml:space="preserve">ip </w:t>
      </w:r>
      <w:r>
        <w:rPr>
          <w:rFonts w:ascii="Arial" w:cs="Arial" w:eastAsia="Arial" w:hAnsi="Arial"/>
          <w:sz w:val="14"/>
          <w:szCs w:val="14"/>
          <w:b w:val="1"/>
          <w:bCs w:val="1"/>
          <w:color w:val="2F2F2F"/>
        </w:rPr>
        <w:t>Ass</w:t>
      </w:r>
      <w:r>
        <w:rPr>
          <w:rFonts w:ascii="Arial" w:cs="Arial" w:eastAsia="Arial" w:hAnsi="Arial"/>
          <w:sz w:val="14"/>
          <w:szCs w:val="14"/>
          <w:b w:val="1"/>
          <w:bCs w:val="1"/>
          <w:color w:val="3D3D3D"/>
        </w:rPr>
        <w:t>i</w:t>
      </w:r>
      <w:r>
        <w:rPr>
          <w:rFonts w:ascii="Arial" w:cs="Arial" w:eastAsia="Arial" w:hAnsi="Arial"/>
          <w:sz w:val="14"/>
          <w:szCs w:val="14"/>
          <w:b w:val="1"/>
          <w:bCs w:val="1"/>
          <w:color w:val="2F2F2F"/>
        </w:rPr>
        <w:t>gnm</w:t>
      </w:r>
      <w:r>
        <w:rPr>
          <w:rFonts w:ascii="Arial" w:cs="Arial" w:eastAsia="Arial" w:hAnsi="Arial"/>
          <w:sz w:val="14"/>
          <w:szCs w:val="14"/>
          <w:b w:val="1"/>
          <w:bCs w:val="1"/>
          <w:color w:val="3D3D3D"/>
        </w:rPr>
        <w:t>en</w:t>
      </w:r>
      <w:r>
        <w:rPr>
          <w:rFonts w:ascii="Arial" w:cs="Arial" w:eastAsia="Arial" w:hAnsi="Arial"/>
          <w:sz w:val="14"/>
          <w:szCs w:val="14"/>
          <w:b w:val="1"/>
          <w:bCs w:val="1"/>
          <w:color w:val="2F2F2F"/>
        </w:rPr>
        <w:t>t.</w:t>
      </w:r>
      <w:r>
        <w:rPr>
          <w:rFonts w:ascii="Arial" w:cs="Arial" w:eastAsia="Arial" w:hAnsi="Arial"/>
          <w:sz w:val="14"/>
          <w:szCs w:val="14"/>
          <w:b w:val="1"/>
          <w:bCs w:val="1"/>
          <w:color w:val="3D3D3D"/>
        </w:rPr>
        <w:t xml:space="preserve"> </w:t>
      </w:r>
      <w:r>
        <w:rPr>
          <w:rFonts w:ascii="Arial" w:cs="Arial" w:eastAsia="Arial" w:hAnsi="Arial"/>
          <w:sz w:val="14"/>
          <w:szCs w:val="14"/>
          <w:color w:val="4F4F4F"/>
        </w:rPr>
        <w:t>T</w:t>
      </w:r>
      <w:r>
        <w:rPr>
          <w:rFonts w:ascii="Arial" w:cs="Arial" w:eastAsia="Arial" w:hAnsi="Arial"/>
          <w:sz w:val="14"/>
          <w:szCs w:val="14"/>
          <w:color w:val="3D3D3D"/>
        </w:rPr>
        <w:t>he Lessor of the p</w:t>
      </w:r>
      <w:r>
        <w:rPr>
          <w:rFonts w:ascii="Arial" w:cs="Arial" w:eastAsia="Arial" w:hAnsi="Arial"/>
          <w:sz w:val="14"/>
          <w:szCs w:val="14"/>
          <w:color w:val="4F4F4F"/>
        </w:rPr>
        <w:t>r</w:t>
      </w:r>
      <w:r>
        <w:rPr>
          <w:rFonts w:ascii="Arial" w:cs="Arial" w:eastAsia="Arial" w:hAnsi="Arial"/>
          <w:sz w:val="14"/>
          <w:szCs w:val="14"/>
          <w:color w:val="3D3D3D"/>
        </w:rPr>
        <w:t>emises was assigned from Oak P</w:t>
      </w:r>
      <w:r>
        <w:rPr>
          <w:rFonts w:ascii="Arial" w:cs="Arial" w:eastAsia="Arial" w:hAnsi="Arial"/>
          <w:sz w:val="14"/>
          <w:szCs w:val="14"/>
          <w:color w:val="4F4F4F"/>
        </w:rPr>
        <w:t>r</w:t>
      </w:r>
      <w:r>
        <w:rPr>
          <w:rFonts w:ascii="Arial" w:cs="Arial" w:eastAsia="Arial" w:hAnsi="Arial"/>
          <w:sz w:val="14"/>
          <w:szCs w:val="14"/>
          <w:color w:val="3D3D3D"/>
        </w:rPr>
        <w:t>opert</w:t>
      </w:r>
      <w:r>
        <w:rPr>
          <w:rFonts w:ascii="Arial" w:cs="Arial" w:eastAsia="Arial" w:hAnsi="Arial"/>
          <w:sz w:val="14"/>
          <w:szCs w:val="14"/>
          <w:color w:val="4F4F4F"/>
        </w:rPr>
        <w:t>i</w:t>
      </w:r>
      <w:r>
        <w:rPr>
          <w:rFonts w:ascii="Arial" w:cs="Arial" w:eastAsia="Arial" w:hAnsi="Arial"/>
          <w:sz w:val="14"/>
          <w:szCs w:val="14"/>
          <w:color w:val="3D3D3D"/>
        </w:rPr>
        <w:t>es</w:t>
      </w:r>
      <w:r>
        <w:rPr>
          <w:rFonts w:ascii="Arial" w:cs="Arial" w:eastAsia="Arial" w:hAnsi="Arial"/>
          <w:sz w:val="14"/>
          <w:szCs w:val="14"/>
          <w:color w:val="7C7C7C"/>
        </w:rPr>
        <w:t>,</w:t>
      </w:r>
      <w:r>
        <w:rPr>
          <w:rFonts w:ascii="Arial" w:cs="Arial" w:eastAsia="Arial" w:hAnsi="Arial"/>
          <w:sz w:val="14"/>
          <w:szCs w:val="14"/>
          <w:b w:val="1"/>
          <w:bCs w:val="1"/>
          <w:color w:val="3D3D3D"/>
        </w:rPr>
        <w:t xml:space="preserve"> </w:t>
      </w:r>
      <w:r>
        <w:rPr>
          <w:rFonts w:ascii="Arial" w:cs="Arial" w:eastAsia="Arial" w:hAnsi="Arial"/>
          <w:sz w:val="14"/>
          <w:szCs w:val="14"/>
          <w:color w:val="3D3D3D"/>
        </w:rPr>
        <w:t>a Cal</w:t>
      </w:r>
      <w:r>
        <w:rPr>
          <w:rFonts w:ascii="Arial" w:cs="Arial" w:eastAsia="Arial" w:hAnsi="Arial"/>
          <w:sz w:val="14"/>
          <w:szCs w:val="14"/>
          <w:color w:val="4F4F4F"/>
        </w:rPr>
        <w:t>i</w:t>
      </w:r>
      <w:r>
        <w:rPr>
          <w:rFonts w:ascii="Arial" w:cs="Arial" w:eastAsia="Arial" w:hAnsi="Arial"/>
          <w:sz w:val="14"/>
          <w:szCs w:val="14"/>
          <w:color w:val="3D3D3D"/>
        </w:rPr>
        <w:t>forn</w:t>
      </w:r>
      <w:r>
        <w:rPr>
          <w:rFonts w:ascii="Arial" w:cs="Arial" w:eastAsia="Arial" w:hAnsi="Arial"/>
          <w:sz w:val="14"/>
          <w:szCs w:val="14"/>
          <w:color w:val="4F4F4F"/>
        </w:rPr>
        <w:t>i</w:t>
      </w:r>
      <w:r>
        <w:rPr>
          <w:rFonts w:ascii="Arial" w:cs="Arial" w:eastAsia="Arial" w:hAnsi="Arial"/>
          <w:sz w:val="14"/>
          <w:szCs w:val="14"/>
          <w:color w:val="3D3D3D"/>
        </w:rPr>
        <w:t>a genera</w:t>
      </w:r>
      <w:r>
        <w:rPr>
          <w:rFonts w:ascii="Arial" w:cs="Arial" w:eastAsia="Arial" w:hAnsi="Arial"/>
          <w:sz w:val="14"/>
          <w:szCs w:val="14"/>
          <w:color w:val="4F4F4F"/>
        </w:rPr>
        <w:t>l</w:t>
      </w:r>
      <w:r>
        <w:rPr>
          <w:rFonts w:ascii="Arial" w:cs="Arial" w:eastAsia="Arial" w:hAnsi="Arial"/>
          <w:sz w:val="14"/>
          <w:szCs w:val="14"/>
          <w:b w:val="1"/>
          <w:bCs w:val="1"/>
          <w:color w:val="3D3D3D"/>
        </w:rPr>
        <w:t xml:space="preserve"> </w:t>
      </w:r>
      <w:r>
        <w:rPr>
          <w:rFonts w:ascii="Arial" w:cs="Arial" w:eastAsia="Arial" w:hAnsi="Arial"/>
          <w:sz w:val="14"/>
          <w:szCs w:val="14"/>
          <w:color w:val="3D3D3D"/>
        </w:rPr>
        <w:t>partne</w:t>
      </w:r>
      <w:r>
        <w:rPr>
          <w:rFonts w:ascii="Arial" w:cs="Arial" w:eastAsia="Arial" w:hAnsi="Arial"/>
          <w:sz w:val="14"/>
          <w:szCs w:val="14"/>
          <w:color w:val="4F4F4F"/>
        </w:rPr>
        <w:t>r</w:t>
      </w:r>
      <w:r>
        <w:rPr>
          <w:rFonts w:ascii="Arial" w:cs="Arial" w:eastAsia="Arial" w:hAnsi="Arial"/>
          <w:sz w:val="14"/>
          <w:szCs w:val="14"/>
          <w:color w:val="3D3D3D"/>
        </w:rPr>
        <w:t>ship</w:t>
      </w:r>
      <w:r>
        <w:rPr>
          <w:rFonts w:ascii="Arial" w:cs="Arial" w:eastAsia="Arial" w:hAnsi="Arial"/>
          <w:sz w:val="14"/>
          <w:szCs w:val="14"/>
          <w:b w:val="1"/>
          <w:bCs w:val="1"/>
          <w:color w:val="3D3D3D"/>
        </w:rPr>
        <w:t xml:space="preserve"> </w:t>
      </w:r>
      <w:r>
        <w:rPr>
          <w:rFonts w:ascii="Arial" w:cs="Arial" w:eastAsia="Arial" w:hAnsi="Arial"/>
          <w:sz w:val="14"/>
          <w:szCs w:val="14"/>
          <w:color w:val="4F4F4F"/>
        </w:rPr>
        <w:t>t</w:t>
      </w:r>
      <w:r>
        <w:rPr>
          <w:rFonts w:ascii="Arial" w:cs="Arial" w:eastAsia="Arial" w:hAnsi="Arial"/>
          <w:sz w:val="14"/>
          <w:szCs w:val="14"/>
          <w:color w:val="3D3D3D"/>
        </w:rPr>
        <w:t>o</w:t>
      </w:r>
      <w:r>
        <w:rPr>
          <w:rFonts w:ascii="Arial" w:cs="Arial" w:eastAsia="Arial" w:hAnsi="Arial"/>
          <w:sz w:val="14"/>
          <w:szCs w:val="14"/>
          <w:color w:val="7C7C7C"/>
        </w:rPr>
        <w:t>:</w:t>
      </w:r>
      <w:r>
        <w:rPr>
          <w:rFonts w:ascii="Arial" w:cs="Arial" w:eastAsia="Arial" w:hAnsi="Arial"/>
          <w:sz w:val="14"/>
          <w:szCs w:val="14"/>
          <w:b w:val="1"/>
          <w:bCs w:val="1"/>
          <w:color w:val="3D3D3D"/>
        </w:rPr>
        <w:t xml:space="preserve"> </w:t>
      </w:r>
      <w:r>
        <w:rPr>
          <w:rFonts w:ascii="Arial" w:cs="Arial" w:eastAsia="Arial" w:hAnsi="Arial"/>
          <w:sz w:val="14"/>
          <w:szCs w:val="14"/>
          <w:color w:val="4F4F4F"/>
        </w:rPr>
        <w:t>Li</w:t>
      </w:r>
      <w:r>
        <w:rPr>
          <w:rFonts w:ascii="Arial" w:cs="Arial" w:eastAsia="Arial" w:hAnsi="Arial"/>
          <w:sz w:val="14"/>
          <w:szCs w:val="14"/>
          <w:color w:val="3D3D3D"/>
        </w:rPr>
        <w:t>berty Vista</w:t>
      </w:r>
      <w:r>
        <w:rPr>
          <w:rFonts w:ascii="Arial" w:cs="Arial" w:eastAsia="Arial" w:hAnsi="Arial"/>
          <w:sz w:val="14"/>
          <w:szCs w:val="14"/>
          <w:color w:val="7C7C7C"/>
        </w:rPr>
        <w:t>,</w:t>
      </w:r>
      <w:r>
        <w:rPr>
          <w:rFonts w:ascii="Arial" w:cs="Arial" w:eastAsia="Arial" w:hAnsi="Arial"/>
          <w:sz w:val="14"/>
          <w:szCs w:val="14"/>
          <w:b w:val="1"/>
          <w:bCs w:val="1"/>
          <w:color w:val="3D3D3D"/>
        </w:rPr>
        <w:t xml:space="preserve"> </w:t>
      </w:r>
      <w:r>
        <w:rPr>
          <w:rFonts w:ascii="Arial" w:cs="Arial" w:eastAsia="Arial" w:hAnsi="Arial"/>
          <w:sz w:val="14"/>
          <w:szCs w:val="14"/>
          <w:color w:val="3D3D3D"/>
        </w:rPr>
        <w:t>a</w:t>
      </w:r>
      <w:r>
        <w:rPr>
          <w:rFonts w:ascii="Arial" w:cs="Arial" w:eastAsia="Arial" w:hAnsi="Arial"/>
          <w:sz w:val="14"/>
          <w:szCs w:val="14"/>
          <w:b w:val="1"/>
          <w:bCs w:val="1"/>
          <w:color w:val="3D3D3D"/>
        </w:rPr>
        <w:t xml:space="preserve"> </w:t>
      </w:r>
      <w:r>
        <w:rPr>
          <w:rFonts w:ascii="Arial" w:cs="Arial" w:eastAsia="Arial" w:hAnsi="Arial"/>
          <w:sz w:val="14"/>
          <w:szCs w:val="14"/>
          <w:color w:val="3D3D3D"/>
        </w:rPr>
        <w:t>Cal</w:t>
      </w:r>
      <w:r>
        <w:rPr>
          <w:rFonts w:ascii="Arial" w:cs="Arial" w:eastAsia="Arial" w:hAnsi="Arial"/>
          <w:sz w:val="14"/>
          <w:szCs w:val="14"/>
          <w:color w:val="4F4F4F"/>
        </w:rPr>
        <w:t>i</w:t>
      </w:r>
      <w:r>
        <w:rPr>
          <w:rFonts w:ascii="Arial" w:cs="Arial" w:eastAsia="Arial" w:hAnsi="Arial"/>
          <w:sz w:val="14"/>
          <w:szCs w:val="14"/>
          <w:color w:val="3D3D3D"/>
        </w:rPr>
        <w:t>forn</w:t>
      </w:r>
      <w:r>
        <w:rPr>
          <w:rFonts w:ascii="Arial" w:cs="Arial" w:eastAsia="Arial" w:hAnsi="Arial"/>
          <w:sz w:val="14"/>
          <w:szCs w:val="14"/>
          <w:color w:val="4F4F4F"/>
        </w:rPr>
        <w:t>i</w:t>
      </w:r>
      <w:r>
        <w:rPr>
          <w:rFonts w:ascii="Arial" w:cs="Arial" w:eastAsia="Arial" w:hAnsi="Arial"/>
          <w:sz w:val="14"/>
          <w:szCs w:val="14"/>
          <w:color w:val="3D3D3D"/>
        </w:rPr>
        <w:t>a l</w:t>
      </w:r>
      <w:r>
        <w:rPr>
          <w:rFonts w:ascii="Arial" w:cs="Arial" w:eastAsia="Arial" w:hAnsi="Arial"/>
          <w:sz w:val="14"/>
          <w:szCs w:val="14"/>
          <w:color w:val="4F4F4F"/>
        </w:rPr>
        <w:t>i</w:t>
      </w:r>
      <w:r>
        <w:rPr>
          <w:rFonts w:ascii="Arial" w:cs="Arial" w:eastAsia="Arial" w:hAnsi="Arial"/>
          <w:sz w:val="14"/>
          <w:szCs w:val="14"/>
          <w:color w:val="3D3D3D"/>
        </w:rPr>
        <w:t>m</w:t>
      </w:r>
      <w:r>
        <w:rPr>
          <w:rFonts w:ascii="Arial" w:cs="Arial" w:eastAsia="Arial" w:hAnsi="Arial"/>
          <w:sz w:val="14"/>
          <w:szCs w:val="14"/>
          <w:color w:val="4F4F4F"/>
        </w:rPr>
        <w:t>i</w:t>
      </w:r>
      <w:r>
        <w:rPr>
          <w:rFonts w:ascii="Arial" w:cs="Arial" w:eastAsia="Arial" w:hAnsi="Arial"/>
          <w:sz w:val="14"/>
          <w:szCs w:val="14"/>
          <w:color w:val="3D3D3D"/>
        </w:rPr>
        <w:t>ted partnersh</w:t>
      </w:r>
      <w:r>
        <w:rPr>
          <w:rFonts w:ascii="Arial" w:cs="Arial" w:eastAsia="Arial" w:hAnsi="Arial"/>
          <w:sz w:val="14"/>
          <w:szCs w:val="14"/>
          <w:color w:val="4F4F4F"/>
        </w:rPr>
        <w:t>i</w:t>
      </w:r>
      <w:r>
        <w:rPr>
          <w:rFonts w:ascii="Arial" w:cs="Arial" w:eastAsia="Arial" w:hAnsi="Arial"/>
          <w:sz w:val="14"/>
          <w:szCs w:val="14"/>
          <w:color w:val="3D3D3D"/>
        </w:rPr>
        <w:t>p</w:t>
      </w:r>
      <w:r>
        <w:rPr>
          <w:rFonts w:ascii="Arial" w:cs="Arial" w:eastAsia="Arial" w:hAnsi="Arial"/>
          <w:sz w:val="14"/>
          <w:szCs w:val="14"/>
          <w:color w:val="7C7C7C"/>
        </w:rPr>
        <w:t>.</w:t>
      </w:r>
    </w:p>
    <w:p>
      <w:pPr>
        <w:spacing w:after="0" w:line="157" w:lineRule="exact"/>
        <w:rPr>
          <w:rFonts w:ascii="Arial" w:cs="Arial" w:eastAsia="Arial" w:hAnsi="Arial"/>
          <w:sz w:val="14"/>
          <w:szCs w:val="14"/>
          <w:color w:val="6D6D6D"/>
        </w:rPr>
      </w:pPr>
    </w:p>
    <w:p>
      <w:pPr>
        <w:ind w:left="640" w:right="280" w:hanging="321"/>
        <w:spacing w:after="0" w:line="285" w:lineRule="auto"/>
        <w:tabs>
          <w:tab w:leader="none" w:pos="638" w:val="left"/>
        </w:tabs>
        <w:numPr>
          <w:ilvl w:val="0"/>
          <w:numId w:val="51"/>
        </w:numPr>
        <w:rPr>
          <w:rFonts w:ascii="Arial" w:cs="Arial" w:eastAsia="Arial" w:hAnsi="Arial"/>
          <w:sz w:val="14"/>
          <w:szCs w:val="14"/>
          <w:color w:val="7C7C7C"/>
        </w:rPr>
      </w:pPr>
      <w:r>
        <w:rPr>
          <w:rFonts w:ascii="Arial" w:cs="Arial" w:eastAsia="Arial" w:hAnsi="Arial"/>
          <w:sz w:val="14"/>
          <w:szCs w:val="14"/>
          <w:b w:val="1"/>
          <w:bCs w:val="1"/>
          <w:color w:val="2F2F2F"/>
        </w:rPr>
        <w:t>E</w:t>
      </w:r>
      <w:r>
        <w:rPr>
          <w:rFonts w:ascii="Arial" w:cs="Arial" w:eastAsia="Arial" w:hAnsi="Arial"/>
          <w:sz w:val="14"/>
          <w:szCs w:val="14"/>
          <w:b w:val="1"/>
          <w:bCs w:val="1"/>
          <w:color w:val="3D3D3D"/>
        </w:rPr>
        <w:t>ff</w:t>
      </w:r>
      <w:r>
        <w:rPr>
          <w:rFonts w:ascii="Arial" w:cs="Arial" w:eastAsia="Arial" w:hAnsi="Arial"/>
          <w:sz w:val="14"/>
          <w:szCs w:val="14"/>
          <w:b w:val="1"/>
          <w:bCs w:val="1"/>
          <w:color w:val="2F2F2F"/>
        </w:rPr>
        <w:t>ective</w:t>
      </w:r>
      <w:r>
        <w:rPr>
          <w:rFonts w:ascii="Arial" w:cs="Arial" w:eastAsia="Arial" w:hAnsi="Arial"/>
          <w:sz w:val="14"/>
          <w:szCs w:val="14"/>
          <w:b w:val="1"/>
          <w:bCs w:val="1"/>
          <w:color w:val="3D3D3D"/>
        </w:rPr>
        <w:t>n</w:t>
      </w:r>
      <w:r>
        <w:rPr>
          <w:rFonts w:ascii="Arial" w:cs="Arial" w:eastAsia="Arial" w:hAnsi="Arial"/>
          <w:sz w:val="14"/>
          <w:szCs w:val="14"/>
          <w:b w:val="1"/>
          <w:bCs w:val="1"/>
          <w:color w:val="2F2F2F"/>
        </w:rPr>
        <w:t>ess o</w:t>
      </w:r>
      <w:r>
        <w:rPr>
          <w:rFonts w:ascii="Arial" w:cs="Arial" w:eastAsia="Arial" w:hAnsi="Arial"/>
          <w:sz w:val="14"/>
          <w:szCs w:val="14"/>
          <w:b w:val="1"/>
          <w:bCs w:val="1"/>
          <w:color w:val="3D3D3D"/>
        </w:rPr>
        <w:t>f L</w:t>
      </w:r>
      <w:r>
        <w:rPr>
          <w:rFonts w:ascii="Arial" w:cs="Arial" w:eastAsia="Arial" w:hAnsi="Arial"/>
          <w:sz w:val="14"/>
          <w:szCs w:val="14"/>
          <w:b w:val="1"/>
          <w:bCs w:val="1"/>
          <w:color w:val="2F2F2F"/>
        </w:rPr>
        <w:t>ease</w:t>
      </w:r>
      <w:r>
        <w:rPr>
          <w:rFonts w:ascii="Arial" w:cs="Arial" w:eastAsia="Arial" w:hAnsi="Arial"/>
          <w:sz w:val="14"/>
          <w:szCs w:val="14"/>
          <w:b w:val="1"/>
          <w:bCs w:val="1"/>
          <w:color w:val="3D3D3D"/>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Except as set forth</w:t>
      </w:r>
      <w:r>
        <w:rPr>
          <w:rFonts w:ascii="Arial" w:cs="Arial" w:eastAsia="Arial" w:hAnsi="Arial"/>
          <w:sz w:val="14"/>
          <w:szCs w:val="14"/>
          <w:b w:val="1"/>
          <w:bCs w:val="1"/>
          <w:color w:val="2F2F2F"/>
        </w:rPr>
        <w:t xml:space="preserve"> </w:t>
      </w:r>
      <w:r>
        <w:rPr>
          <w:rFonts w:ascii="Arial" w:cs="Arial" w:eastAsia="Arial" w:hAnsi="Arial"/>
          <w:sz w:val="14"/>
          <w:szCs w:val="14"/>
          <w:color w:val="4F4F4F"/>
        </w:rPr>
        <w:t>i</w:t>
      </w:r>
      <w:r>
        <w:rPr>
          <w:rFonts w:ascii="Arial" w:cs="Arial" w:eastAsia="Arial" w:hAnsi="Arial"/>
          <w:sz w:val="14"/>
          <w:szCs w:val="14"/>
          <w:color w:val="3D3D3D"/>
        </w:rPr>
        <w:t>n th</w:t>
      </w:r>
      <w:r>
        <w:rPr>
          <w:rFonts w:ascii="Arial" w:cs="Arial" w:eastAsia="Arial" w:hAnsi="Arial"/>
          <w:sz w:val="14"/>
          <w:szCs w:val="14"/>
          <w:color w:val="4F4F4F"/>
        </w:rPr>
        <w:t>i</w:t>
      </w:r>
      <w:r>
        <w:rPr>
          <w:rFonts w:ascii="Arial" w:cs="Arial" w:eastAsia="Arial" w:hAnsi="Arial"/>
          <w:sz w:val="14"/>
          <w:szCs w:val="14"/>
          <w:color w:val="3D3D3D"/>
        </w:rPr>
        <w:t>s Extens</w:t>
      </w:r>
      <w:r>
        <w:rPr>
          <w:rFonts w:ascii="Arial" w:cs="Arial" w:eastAsia="Arial" w:hAnsi="Arial"/>
          <w:sz w:val="14"/>
          <w:szCs w:val="14"/>
          <w:color w:val="4F4F4F"/>
        </w:rPr>
        <w:t>i</w:t>
      </w:r>
      <w:r>
        <w:rPr>
          <w:rFonts w:ascii="Arial" w:cs="Arial" w:eastAsia="Arial" w:hAnsi="Arial"/>
          <w:sz w:val="14"/>
          <w:szCs w:val="14"/>
          <w:color w:val="3D3D3D"/>
        </w:rPr>
        <w:t>on o</w:t>
      </w:r>
      <w:r>
        <w:rPr>
          <w:rFonts w:ascii="Arial" w:cs="Arial" w:eastAsia="Arial" w:hAnsi="Arial"/>
          <w:sz w:val="14"/>
          <w:szCs w:val="14"/>
          <w:color w:val="4F4F4F"/>
        </w:rPr>
        <w:t>f</w:t>
      </w:r>
      <w:r>
        <w:rPr>
          <w:rFonts w:ascii="Arial" w:cs="Arial" w:eastAsia="Arial" w:hAnsi="Arial"/>
          <w:sz w:val="14"/>
          <w:szCs w:val="14"/>
          <w:b w:val="1"/>
          <w:bCs w:val="1"/>
          <w:color w:val="2F2F2F"/>
        </w:rPr>
        <w:t xml:space="preserve"> </w:t>
      </w:r>
      <w:r>
        <w:rPr>
          <w:rFonts w:ascii="Arial" w:cs="Arial" w:eastAsia="Arial" w:hAnsi="Arial"/>
          <w:sz w:val="14"/>
          <w:szCs w:val="14"/>
          <w:color w:val="3D3D3D"/>
        </w:rPr>
        <w:t>Lease</w:t>
      </w:r>
      <w:r>
        <w:rPr>
          <w:rFonts w:ascii="Arial" w:cs="Arial" w:eastAsia="Arial" w:hAnsi="Arial"/>
          <w:sz w:val="14"/>
          <w:szCs w:val="14"/>
          <w:color w:val="7C7C7C"/>
        </w:rPr>
        <w:t>,</w:t>
      </w:r>
      <w:r>
        <w:rPr>
          <w:rFonts w:ascii="Arial" w:cs="Arial" w:eastAsia="Arial" w:hAnsi="Arial"/>
          <w:sz w:val="14"/>
          <w:szCs w:val="14"/>
          <w:b w:val="1"/>
          <w:bCs w:val="1"/>
          <w:color w:val="2F2F2F"/>
        </w:rPr>
        <w:t xml:space="preserve"> </w:t>
      </w:r>
      <w:r>
        <w:rPr>
          <w:rFonts w:ascii="Arial" w:cs="Arial" w:eastAsia="Arial" w:hAnsi="Arial"/>
          <w:sz w:val="14"/>
          <w:szCs w:val="14"/>
          <w:color w:val="3D3D3D"/>
        </w:rPr>
        <w:t>all the prov</w:t>
      </w:r>
      <w:r>
        <w:rPr>
          <w:rFonts w:ascii="Arial" w:cs="Arial" w:eastAsia="Arial" w:hAnsi="Arial"/>
          <w:sz w:val="14"/>
          <w:szCs w:val="14"/>
          <w:color w:val="4F4F4F"/>
        </w:rPr>
        <w:t>i</w:t>
      </w:r>
      <w:r>
        <w:rPr>
          <w:rFonts w:ascii="Arial" w:cs="Arial" w:eastAsia="Arial" w:hAnsi="Arial"/>
          <w:sz w:val="14"/>
          <w:szCs w:val="14"/>
          <w:color w:val="3D3D3D"/>
        </w:rPr>
        <w:t>sions of the</w:t>
      </w:r>
      <w:r>
        <w:rPr>
          <w:rFonts w:ascii="Arial" w:cs="Arial" w:eastAsia="Arial" w:hAnsi="Arial"/>
          <w:sz w:val="14"/>
          <w:szCs w:val="14"/>
          <w:b w:val="1"/>
          <w:bCs w:val="1"/>
          <w:color w:val="2F2F2F"/>
        </w:rPr>
        <w:t xml:space="preserve"> </w:t>
      </w:r>
      <w:r>
        <w:rPr>
          <w:rFonts w:ascii="Arial" w:cs="Arial" w:eastAsia="Arial" w:hAnsi="Arial"/>
          <w:sz w:val="14"/>
          <w:szCs w:val="14"/>
          <w:color w:val="4F4F4F"/>
        </w:rPr>
        <w:t>L</w:t>
      </w:r>
      <w:r>
        <w:rPr>
          <w:rFonts w:ascii="Arial" w:cs="Arial" w:eastAsia="Arial" w:hAnsi="Arial"/>
          <w:sz w:val="14"/>
          <w:szCs w:val="14"/>
          <w:color w:val="3D3D3D"/>
        </w:rPr>
        <w:t>ease shall</w:t>
      </w:r>
      <w:r>
        <w:rPr>
          <w:rFonts w:ascii="Arial" w:cs="Arial" w:eastAsia="Arial" w:hAnsi="Arial"/>
          <w:sz w:val="14"/>
          <w:szCs w:val="14"/>
          <w:b w:val="1"/>
          <w:bCs w:val="1"/>
          <w:color w:val="2F2F2F"/>
        </w:rPr>
        <w:t xml:space="preserve"> </w:t>
      </w:r>
      <w:r>
        <w:rPr>
          <w:rFonts w:ascii="Arial" w:cs="Arial" w:eastAsia="Arial" w:hAnsi="Arial"/>
          <w:sz w:val="14"/>
          <w:szCs w:val="14"/>
          <w:color w:val="4F4F4F"/>
        </w:rPr>
        <w:t>r</w:t>
      </w:r>
      <w:r>
        <w:rPr>
          <w:rFonts w:ascii="Arial" w:cs="Arial" w:eastAsia="Arial" w:hAnsi="Arial"/>
          <w:sz w:val="14"/>
          <w:szCs w:val="14"/>
          <w:color w:val="3D3D3D"/>
        </w:rPr>
        <w:t>ema</w:t>
      </w:r>
      <w:r>
        <w:rPr>
          <w:rFonts w:ascii="Arial" w:cs="Arial" w:eastAsia="Arial" w:hAnsi="Arial"/>
          <w:sz w:val="14"/>
          <w:szCs w:val="14"/>
          <w:color w:val="4F4F4F"/>
        </w:rPr>
        <w:t>i</w:t>
      </w:r>
      <w:r>
        <w:rPr>
          <w:rFonts w:ascii="Arial" w:cs="Arial" w:eastAsia="Arial" w:hAnsi="Arial"/>
          <w:sz w:val="14"/>
          <w:szCs w:val="14"/>
          <w:color w:val="3D3D3D"/>
        </w:rPr>
        <w:t>n</w:t>
      </w:r>
      <w:r>
        <w:rPr>
          <w:rFonts w:ascii="Arial" w:cs="Arial" w:eastAsia="Arial" w:hAnsi="Arial"/>
          <w:sz w:val="14"/>
          <w:szCs w:val="14"/>
          <w:b w:val="1"/>
          <w:bCs w:val="1"/>
          <w:color w:val="2F2F2F"/>
        </w:rPr>
        <w:t xml:space="preserve"> </w:t>
      </w:r>
      <w:r>
        <w:rPr>
          <w:rFonts w:ascii="Arial" w:cs="Arial" w:eastAsia="Arial" w:hAnsi="Arial"/>
          <w:sz w:val="14"/>
          <w:szCs w:val="14"/>
          <w:color w:val="4F4F4F"/>
        </w:rPr>
        <w:t>u</w:t>
      </w:r>
      <w:r>
        <w:rPr>
          <w:rFonts w:ascii="Arial" w:cs="Arial" w:eastAsia="Arial" w:hAnsi="Arial"/>
          <w:sz w:val="14"/>
          <w:szCs w:val="14"/>
          <w:color w:val="3D3D3D"/>
        </w:rPr>
        <w:t>nchanged and</w:t>
      </w:r>
      <w:r>
        <w:rPr>
          <w:rFonts w:ascii="Arial" w:cs="Arial" w:eastAsia="Arial" w:hAnsi="Arial"/>
          <w:sz w:val="14"/>
          <w:szCs w:val="14"/>
          <w:b w:val="1"/>
          <w:bCs w:val="1"/>
          <w:color w:val="2F2F2F"/>
        </w:rPr>
        <w:t xml:space="preserve"> </w:t>
      </w:r>
      <w:r>
        <w:rPr>
          <w:rFonts w:ascii="Arial" w:cs="Arial" w:eastAsia="Arial" w:hAnsi="Arial"/>
          <w:sz w:val="14"/>
          <w:szCs w:val="14"/>
          <w:color w:val="4F4F4F"/>
        </w:rPr>
        <w:t>in f</w:t>
      </w:r>
      <w:r>
        <w:rPr>
          <w:rFonts w:ascii="Arial" w:cs="Arial" w:eastAsia="Arial" w:hAnsi="Arial"/>
          <w:sz w:val="14"/>
          <w:szCs w:val="14"/>
          <w:color w:val="3D3D3D"/>
        </w:rPr>
        <w:t>ull force and</w:t>
      </w:r>
      <w:r>
        <w:rPr>
          <w:rFonts w:ascii="Arial" w:cs="Arial" w:eastAsia="Arial" w:hAnsi="Arial"/>
          <w:sz w:val="14"/>
          <w:szCs w:val="14"/>
          <w:b w:val="1"/>
          <w:bCs w:val="1"/>
          <w:color w:val="2F2F2F"/>
        </w:rPr>
        <w:t xml:space="preserve"> </w:t>
      </w:r>
      <w:r>
        <w:rPr>
          <w:rFonts w:ascii="Arial" w:cs="Arial" w:eastAsia="Arial" w:hAnsi="Arial"/>
          <w:sz w:val="14"/>
          <w:szCs w:val="14"/>
          <w:color w:val="3D3D3D"/>
        </w:rPr>
        <w:t>effec</w:t>
      </w:r>
      <w:r>
        <w:rPr>
          <w:rFonts w:ascii="Arial" w:cs="Arial" w:eastAsia="Arial" w:hAnsi="Arial"/>
          <w:sz w:val="14"/>
          <w:szCs w:val="14"/>
          <w:color w:val="4F4F4F"/>
        </w:rPr>
        <w:t>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LESSOR:</w:t>
            </w:r>
          </w:p>
        </w:tc>
        <w:tc>
          <w:tcPr>
            <w:tcW w:w="3320" w:type="dxa"/>
            <w:vAlign w:val="bottom"/>
          </w:tcPr>
          <w:p>
            <w:pPr>
              <w:ind w:left="20"/>
              <w:spacing w:after="0"/>
              <w:rPr>
                <w:sz w:val="20"/>
                <w:szCs w:val="20"/>
                <w:color w:val="auto"/>
              </w:rPr>
            </w:pPr>
            <w:r>
              <w:rPr>
                <w:rFonts w:ascii="Arial" w:cs="Arial" w:eastAsia="Arial" w:hAnsi="Arial"/>
                <w:sz w:val="14"/>
                <w:szCs w:val="14"/>
                <w:color w:val="auto"/>
              </w:rPr>
              <w:t>LESSEE:</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Liberty Vista</w:t>
            </w:r>
          </w:p>
        </w:tc>
        <w:tc>
          <w:tcPr>
            <w:tcW w:w="3320" w:type="dxa"/>
            <w:vAlign w:val="bottom"/>
          </w:tcPr>
          <w:p>
            <w:pPr>
              <w:ind w:left="20"/>
              <w:spacing w:after="0"/>
              <w:rPr>
                <w:sz w:val="20"/>
                <w:szCs w:val="20"/>
                <w:color w:val="auto"/>
              </w:rPr>
            </w:pPr>
            <w:r>
              <w:rPr>
                <w:rFonts w:ascii="Arial" w:cs="Arial" w:eastAsia="Arial" w:hAnsi="Arial"/>
                <w:sz w:val="14"/>
                <w:szCs w:val="14"/>
                <w:color w:val="auto"/>
              </w:rPr>
              <w:t>Exagen Diagnostics, Inc.</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A California Limited Partnership</w:t>
            </w:r>
          </w:p>
        </w:tc>
        <w:tc>
          <w:tcPr>
            <w:tcW w:w="3320" w:type="dxa"/>
            <w:vAlign w:val="bottom"/>
          </w:tcPr>
          <w:p>
            <w:pPr>
              <w:spacing w:after="0"/>
              <w:rPr>
                <w:sz w:val="18"/>
                <w:szCs w:val="18"/>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By: Hamann Property Management, Inc.</w:t>
            </w:r>
          </w:p>
        </w:tc>
        <w:tc>
          <w:tcPr>
            <w:tcW w:w="3320" w:type="dxa"/>
            <w:vAlign w:val="bottom"/>
          </w:tcPr>
          <w:p>
            <w:pPr>
              <w:spacing w:after="0"/>
              <w:rPr>
                <w:sz w:val="18"/>
                <w:szCs w:val="18"/>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Authorized Agent</w:t>
            </w:r>
          </w:p>
        </w:tc>
        <w:tc>
          <w:tcPr>
            <w:tcW w:w="3320" w:type="dxa"/>
            <w:vAlign w:val="bottom"/>
          </w:tcPr>
          <w:p>
            <w:pPr>
              <w:spacing w:after="0"/>
              <w:rPr>
                <w:sz w:val="18"/>
                <w:szCs w:val="18"/>
                <w:color w:val="auto"/>
              </w:rPr>
            </w:pPr>
          </w:p>
        </w:tc>
      </w:tr>
      <w:tr>
        <w:trPr>
          <w:trHeight w:val="49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By: /s/ Brendan Thiessen</w:t>
            </w:r>
          </w:p>
        </w:tc>
        <w:tc>
          <w:tcPr>
            <w:tcW w:w="3320" w:type="dxa"/>
            <w:vAlign w:val="bottom"/>
          </w:tcPr>
          <w:p>
            <w:pPr>
              <w:ind w:left="20"/>
              <w:spacing w:after="0"/>
              <w:rPr>
                <w:sz w:val="20"/>
                <w:szCs w:val="20"/>
                <w:color w:val="auto"/>
              </w:rPr>
            </w:pPr>
            <w:r>
              <w:rPr>
                <w:rFonts w:ascii="Arial" w:cs="Arial" w:eastAsia="Arial" w:hAnsi="Arial"/>
                <w:sz w:val="14"/>
                <w:szCs w:val="14"/>
                <w:color w:val="auto"/>
              </w:rPr>
              <w:t>By: /s/ Fortunato Ron Rocca</w:t>
            </w:r>
          </w:p>
        </w:tc>
      </w:tr>
      <w:tr>
        <w:trPr>
          <w:trHeight w:val="204"/>
        </w:trPr>
        <w:tc>
          <w:tcPr>
            <w:tcW w:w="374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3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Fortunato Ron Rocca, President &amp; CEO</w:t>
            </w:r>
          </w:p>
        </w:tc>
      </w:tr>
      <w:tr>
        <w:trPr>
          <w:trHeight w:val="222"/>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 3/12/2020</w:t>
            </w:r>
          </w:p>
        </w:tc>
        <w:tc>
          <w:tcPr>
            <w:tcW w:w="1080" w:type="dxa"/>
            <w:vAlign w:val="bottom"/>
          </w:tcPr>
          <w:p>
            <w:pPr>
              <w:spacing w:after="0"/>
              <w:rPr>
                <w:sz w:val="19"/>
                <w:szCs w:val="19"/>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 3/06/2020</w:t>
            </w:r>
          </w:p>
        </w:tc>
      </w:tr>
    </w:tbl>
    <w:p>
      <w:pPr>
        <w:sectPr>
          <w:pgSz w:w="11900" w:h="16838" w:orient="portrait"/>
          <w:cols w:equalWidth="0" w:num="1">
            <w:col w:w="10260"/>
          </w:cols>
          <w:pgMar w:left="1260" w:top="1008" w:right="37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62230</wp:posOffset>
            </wp:positionV>
            <wp:extent cx="1602740"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16027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4"/>
        <w:spacing w:after="0"/>
        <w:rPr>
          <w:sz w:val="20"/>
          <w:szCs w:val="20"/>
          <w:color w:val="auto"/>
        </w:rPr>
      </w:pPr>
      <w:r>
        <w:rPr>
          <w:rFonts w:ascii="Arial" w:cs="Arial" w:eastAsia="Arial" w:hAnsi="Arial"/>
          <w:sz w:val="25"/>
          <w:szCs w:val="25"/>
          <w:b w:val="1"/>
          <w:bCs w:val="1"/>
          <w:color w:val="auto"/>
        </w:rPr>
        <w:t>STANDARD INDUSTRIAL/COMMERCIAL MULTI-TENANT LEASE-NET</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1. Basic Provisions ("Basic Provisions").</w:t>
      </w:r>
    </w:p>
    <w:p>
      <w:pPr>
        <w:spacing w:after="0" w:line="12" w:lineRule="exact"/>
        <w:rPr>
          <w:sz w:val="20"/>
          <w:szCs w:val="20"/>
          <w:color w:val="auto"/>
        </w:rPr>
      </w:pPr>
    </w:p>
    <w:p>
      <w:pPr>
        <w:ind w:left="4" w:right="3540" w:firstLine="324"/>
        <w:spacing w:after="0" w:line="29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This Lease ("</w:t>
      </w:r>
      <w:r>
        <w:rPr>
          <w:rFonts w:ascii="Arial" w:cs="Arial" w:eastAsia="Arial" w:hAnsi="Arial"/>
          <w:sz w:val="13"/>
          <w:szCs w:val="13"/>
          <w:b w:val="1"/>
          <w:bCs w:val="1"/>
          <w:color w:val="auto"/>
        </w:rPr>
        <w:t>Lease</w:t>
      </w:r>
      <w:r>
        <w:rPr>
          <w:rFonts w:ascii="Arial" w:cs="Arial" w:eastAsia="Arial" w:hAnsi="Arial"/>
          <w:sz w:val="13"/>
          <w:szCs w:val="13"/>
          <w:color w:val="auto"/>
        </w:rPr>
        <w:t xml:space="preserve">"), dated for reference purposes </w:t>
      </w:r>
      <w:r>
        <w:rPr>
          <w:rFonts w:ascii="Arial" w:cs="Arial" w:eastAsia="Arial" w:hAnsi="Arial"/>
          <w:sz w:val="15"/>
          <w:szCs w:val="15"/>
          <w:u w:val="single" w:color="auto"/>
          <w:color w:val="auto"/>
        </w:rPr>
        <w:t>only February 27, 2020</w:t>
      </w:r>
      <w:r>
        <w:rPr>
          <w:rFonts w:ascii="Arial" w:cs="Arial" w:eastAsia="Arial" w:hAnsi="Arial"/>
          <w:sz w:val="13"/>
          <w:szCs w:val="13"/>
          <w:color w:val="auto"/>
        </w:rPr>
        <w:t xml:space="preserve"> , is made by and between </w:t>
      </w:r>
      <w:r>
        <w:rPr>
          <w:rFonts w:ascii="Arial" w:cs="Arial" w:eastAsia="Arial" w:hAnsi="Arial"/>
          <w:sz w:val="15"/>
          <w:szCs w:val="15"/>
          <w:u w:val="single" w:color="auto"/>
          <w:color w:val="auto"/>
        </w:rPr>
        <w:t>RGS</w:t>
      </w:r>
      <w:r>
        <w:rPr>
          <w:rFonts w:ascii="Arial" w:cs="Arial" w:eastAsia="Arial" w:hAnsi="Arial"/>
          <w:sz w:val="13"/>
          <w:szCs w:val="13"/>
          <w:color w:val="auto"/>
        </w:rPr>
        <w:t xml:space="preserve"> </w:t>
      </w:r>
      <w:r>
        <w:rPr>
          <w:rFonts w:ascii="Arial" w:cs="Arial" w:eastAsia="Arial" w:hAnsi="Arial"/>
          <w:sz w:val="15"/>
          <w:szCs w:val="15"/>
          <w:u w:val="single" w:color="auto"/>
          <w:color w:val="auto"/>
        </w:rPr>
        <w:t>Properties</w:t>
      </w:r>
      <w:r>
        <w:rPr>
          <w:rFonts w:ascii="Arial" w:cs="Arial" w:eastAsia="Arial" w:hAnsi="Arial"/>
          <w:sz w:val="15"/>
          <w:szCs w:val="15"/>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Lessor</w:t>
      </w:r>
      <w:r>
        <w:rPr>
          <w:rFonts w:ascii="Arial" w:cs="Arial" w:eastAsia="Arial" w:hAnsi="Arial"/>
          <w:sz w:val="12"/>
          <w:szCs w:val="12"/>
          <w:color w:val="auto"/>
        </w:rPr>
        <w:t>") and</w:t>
      </w:r>
      <w:r>
        <w:rPr>
          <w:rFonts w:ascii="Arial" w:cs="Arial" w:eastAsia="Arial" w:hAnsi="Arial"/>
          <w:sz w:val="15"/>
          <w:szCs w:val="15"/>
          <w:color w:val="auto"/>
        </w:rPr>
        <w:t xml:space="preserve"> </w:t>
      </w:r>
      <w:r>
        <w:rPr>
          <w:rFonts w:ascii="Arial" w:cs="Arial" w:eastAsia="Arial" w:hAnsi="Arial"/>
          <w:sz w:val="15"/>
          <w:szCs w:val="15"/>
          <w:u w:val="single" w:color="auto"/>
          <w:color w:val="auto"/>
        </w:rPr>
        <w:t>Exagen Diagnostics, Inc</w:t>
      </w:r>
      <w:r>
        <w:rPr>
          <w:rFonts w:ascii="Arial" w:cs="Arial" w:eastAsia="Arial" w:hAnsi="Arial"/>
          <w:sz w:val="15"/>
          <w:szCs w:val="15"/>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Lessee</w:t>
      </w:r>
      <w:r>
        <w:rPr>
          <w:rFonts w:ascii="Arial" w:cs="Arial" w:eastAsia="Arial" w:hAnsi="Arial"/>
          <w:sz w:val="12"/>
          <w:szCs w:val="12"/>
          <w:color w:val="auto"/>
        </w:rPr>
        <w:t>"), (collectively the "</w:t>
      </w:r>
      <w:r>
        <w:rPr>
          <w:rFonts w:ascii="Arial" w:cs="Arial" w:eastAsia="Arial" w:hAnsi="Arial"/>
          <w:sz w:val="12"/>
          <w:szCs w:val="12"/>
          <w:b w:val="1"/>
          <w:bCs w:val="1"/>
          <w:color w:val="auto"/>
        </w:rPr>
        <w:t>Parties</w:t>
      </w:r>
      <w:r>
        <w:rPr>
          <w:rFonts w:ascii="Arial" w:cs="Arial" w:eastAsia="Arial" w:hAnsi="Arial"/>
          <w:sz w:val="12"/>
          <w:szCs w:val="12"/>
          <w:color w:val="auto"/>
        </w:rPr>
        <w:t>", or individually a "</w:t>
      </w:r>
      <w:r>
        <w:rPr>
          <w:rFonts w:ascii="Arial" w:cs="Arial" w:eastAsia="Arial" w:hAnsi="Arial"/>
          <w:sz w:val="12"/>
          <w:szCs w:val="12"/>
          <w:b w:val="1"/>
          <w:bCs w:val="1"/>
          <w:color w:val="auto"/>
        </w:rPr>
        <w:t>Party</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-155575</wp:posOffset>
            </wp:positionV>
            <wp:extent cx="285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324"/>
        <w:spacing w:after="0"/>
        <w:rPr>
          <w:sz w:val="20"/>
          <w:szCs w:val="20"/>
          <w:color w:val="auto"/>
        </w:rPr>
      </w:pPr>
      <w:r>
        <w:rPr>
          <w:rFonts w:ascii="Arial" w:cs="Arial" w:eastAsia="Arial" w:hAnsi="Arial"/>
          <w:sz w:val="13"/>
          <w:szCs w:val="13"/>
          <w:color w:val="auto"/>
        </w:rPr>
        <w:t xml:space="preserve">1.2(a) </w:t>
      </w:r>
      <w:r>
        <w:rPr>
          <w:rFonts w:ascii="Arial" w:cs="Arial" w:eastAsia="Arial" w:hAnsi="Arial"/>
          <w:sz w:val="13"/>
          <w:szCs w:val="13"/>
          <w:b w:val="1"/>
          <w:bCs w:val="1"/>
          <w:color w:val="auto"/>
        </w:rPr>
        <w:t>Premises:</w:t>
      </w:r>
      <w:r>
        <w:rPr>
          <w:rFonts w:ascii="Arial" w:cs="Arial" w:eastAsia="Arial" w:hAnsi="Arial"/>
          <w:sz w:val="13"/>
          <w:szCs w:val="13"/>
          <w:color w:val="auto"/>
        </w:rPr>
        <w:t xml:space="preserve"> That certain real property, including all improvements therein or to be provided by Lessor under the terms of this Lease, commonly known as (street address, unit/suite,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3"/>
          <w:szCs w:val="13"/>
          <w:color w:val="auto"/>
        </w:rPr>
        <w:t xml:space="preserve">city, state): </w:t>
      </w:r>
      <w:r>
        <w:rPr>
          <w:rFonts w:ascii="Arial" w:cs="Arial" w:eastAsia="Arial" w:hAnsi="Arial"/>
          <w:sz w:val="15"/>
          <w:szCs w:val="15"/>
          <w:u w:val="single" w:color="auto"/>
          <w:color w:val="auto"/>
        </w:rPr>
        <w:t>1261 Liberty Way, Ste A, Vista, CA 92081</w:t>
      </w:r>
      <w:r>
        <w:rPr>
          <w:rFonts w:ascii="Arial" w:cs="Arial" w:eastAsia="Arial" w:hAnsi="Arial"/>
          <w:sz w:val="13"/>
          <w:szCs w:val="13"/>
          <w:color w:val="auto"/>
        </w:rPr>
        <w:t xml:space="preserve"> ("</w:t>
      </w:r>
      <w:r>
        <w:rPr>
          <w:rFonts w:ascii="Arial" w:cs="Arial" w:eastAsia="Arial" w:hAnsi="Arial"/>
          <w:sz w:val="13"/>
          <w:szCs w:val="13"/>
          <w:b w:val="1"/>
          <w:bCs w:val="1"/>
          <w:color w:val="auto"/>
        </w:rPr>
        <w:t>Premises</w:t>
      </w:r>
      <w:r>
        <w:rPr>
          <w:rFonts w:ascii="Arial" w:cs="Arial" w:eastAsia="Arial" w:hAnsi="Arial"/>
          <w:sz w:val="13"/>
          <w:szCs w:val="13"/>
          <w:color w:val="auto"/>
        </w:rPr>
        <w:t xml:space="preserve">"). The Premises are located in the County of </w:t>
      </w:r>
      <w:r>
        <w:rPr>
          <w:rFonts w:ascii="Arial" w:cs="Arial" w:eastAsia="Arial" w:hAnsi="Arial"/>
          <w:sz w:val="15"/>
          <w:szCs w:val="15"/>
          <w:u w:val="single" w:color="auto"/>
          <w:color w:val="auto"/>
        </w:rPr>
        <w:t>San Diego</w:t>
      </w:r>
      <w:r>
        <w:rPr>
          <w:rFonts w:ascii="Arial" w:cs="Arial" w:eastAsia="Arial" w:hAnsi="Arial"/>
          <w:sz w:val="13"/>
          <w:szCs w:val="13"/>
          <w:color w:val="auto"/>
        </w:rPr>
        <w:t xml:space="preserve"> , and are generally described as (describe briefly the</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nature of the Premises and the "Project"): </w:t>
      </w:r>
      <w:r>
        <w:rPr>
          <w:rFonts w:ascii="Arial" w:cs="Arial" w:eastAsia="Arial" w:hAnsi="Arial"/>
          <w:sz w:val="17"/>
          <w:szCs w:val="17"/>
          <w:u w:val="single" w:color="auto"/>
          <w:color w:val="auto"/>
        </w:rPr>
        <w:t>approximately</w:t>
      </w:r>
    </w:p>
    <w:p>
      <w:pPr>
        <w:spacing w:after="0" w:line="7" w:lineRule="exact"/>
        <w:rPr>
          <w:sz w:val="20"/>
          <w:szCs w:val="20"/>
          <w:color w:val="auto"/>
        </w:rPr>
      </w:pPr>
    </w:p>
    <w:p>
      <w:pPr>
        <w:ind w:left="4" w:right="260"/>
        <w:spacing w:after="0" w:line="226" w:lineRule="auto"/>
        <w:rPr>
          <w:sz w:val="20"/>
          <w:szCs w:val="20"/>
          <w:color w:val="auto"/>
        </w:rPr>
      </w:pPr>
      <w:r>
        <w:rPr>
          <w:rFonts w:ascii="Arial" w:cs="Arial" w:eastAsia="Arial" w:hAnsi="Arial"/>
          <w:sz w:val="18"/>
          <w:szCs w:val="18"/>
          <w:u w:val="single" w:color="auto"/>
          <w:color w:val="auto"/>
        </w:rPr>
        <w:t>13,254 SF of a larger industrial building</w:t>
      </w:r>
      <w:r>
        <w:rPr>
          <w:rFonts w:ascii="Arial" w:cs="Arial" w:eastAsia="Arial" w:hAnsi="Arial"/>
          <w:sz w:val="18"/>
          <w:szCs w:val="18"/>
          <w:color w:val="auto"/>
        </w:rPr>
        <w:t xml:space="preserve"> </w:t>
      </w:r>
      <w:r>
        <w:rPr>
          <w:rFonts w:ascii="Arial" w:cs="Arial" w:eastAsia="Arial" w:hAnsi="Arial"/>
          <w:sz w:val="14"/>
          <w:szCs w:val="14"/>
          <w:color w:val="auto"/>
        </w:rPr>
        <w:t>. In addition to Lessee's rights to use and occupy the Premises as hereinafter specified, Lessee shall have nonexclusive rights to any utility</w:t>
      </w:r>
      <w:r>
        <w:rPr>
          <w:rFonts w:ascii="Arial" w:cs="Arial" w:eastAsia="Arial" w:hAnsi="Arial"/>
          <w:sz w:val="18"/>
          <w:szCs w:val="18"/>
          <w:color w:val="auto"/>
        </w:rPr>
        <w:t xml:space="preserve"> </w:t>
      </w:r>
      <w:r>
        <w:rPr>
          <w:rFonts w:ascii="Arial" w:cs="Arial" w:eastAsia="Arial" w:hAnsi="Arial"/>
          <w:sz w:val="14"/>
          <w:szCs w:val="14"/>
          <w:color w:val="auto"/>
        </w:rPr>
        <w:t>raceways of the building containing the Premises (</w:t>
      </w:r>
      <w:r>
        <w:rPr>
          <w:rFonts w:ascii="Arial" w:cs="Arial" w:eastAsia="Arial" w:hAnsi="Arial"/>
          <w:sz w:val="14"/>
          <w:szCs w:val="14"/>
          <w:b w:val="1"/>
          <w:bCs w:val="1"/>
          <w:color w:val="auto"/>
        </w:rPr>
        <w:t>"Building</w:t>
      </w:r>
      <w:r>
        <w:rPr>
          <w:rFonts w:ascii="Arial" w:cs="Arial" w:eastAsia="Arial" w:hAnsi="Arial"/>
          <w:sz w:val="14"/>
          <w:szCs w:val="14"/>
          <w:color w:val="auto"/>
        </w:rPr>
        <w:t>") and to the Common Areas (as defined in Paragraph</w:t>
      </w:r>
    </w:p>
    <w:p>
      <w:pPr>
        <w:spacing w:after="0" w:line="2" w:lineRule="exact"/>
        <w:rPr>
          <w:sz w:val="20"/>
          <w:szCs w:val="20"/>
          <w:color w:val="auto"/>
        </w:rPr>
      </w:pPr>
    </w:p>
    <w:p>
      <w:pPr>
        <w:ind w:left="4"/>
        <w:spacing w:after="0"/>
        <w:rPr>
          <w:sz w:val="20"/>
          <w:szCs w:val="20"/>
          <w:color w:val="auto"/>
        </w:rPr>
      </w:pPr>
      <w:r>
        <w:rPr>
          <w:rFonts w:ascii="Arial" w:cs="Arial" w:eastAsia="Arial" w:hAnsi="Arial"/>
          <w:sz w:val="13"/>
          <w:szCs w:val="13"/>
          <w:color w:val="auto"/>
        </w:rPr>
        <w:t>2.7 below), but shall not have any rights to the roof, or exterior walls of the Building or to any other buildings in the Project. The Premises, the Building, the Common Areas, the land upon</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4"/>
          <w:szCs w:val="14"/>
          <w:color w:val="auto"/>
        </w:rPr>
        <w:t>which they are located, along with all other buildings and improvements thereon, are herein collectively referred to as the "</w:t>
      </w:r>
      <w:r>
        <w:rPr>
          <w:rFonts w:ascii="Arial" w:cs="Arial" w:eastAsia="Arial" w:hAnsi="Arial"/>
          <w:sz w:val="14"/>
          <w:szCs w:val="14"/>
          <w:b w:val="1"/>
          <w:bCs w:val="1"/>
          <w:color w:val="auto"/>
        </w:rPr>
        <w:t>Project</w:t>
      </w:r>
      <w:r>
        <w:rPr>
          <w:rFonts w:ascii="Arial" w:cs="Arial" w:eastAsia="Arial" w:hAnsi="Arial"/>
          <w:sz w:val="14"/>
          <w:szCs w:val="14"/>
          <w:color w:val="auto"/>
        </w:rPr>
        <w:t>." (See also Paragraph 2)</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1.2(b) </w:t>
      </w:r>
      <w:r>
        <w:rPr>
          <w:rFonts w:ascii="Arial" w:cs="Arial" w:eastAsia="Arial" w:hAnsi="Arial"/>
          <w:sz w:val="14"/>
          <w:szCs w:val="14"/>
          <w:b w:val="1"/>
          <w:bCs w:val="1"/>
          <w:color w:val="auto"/>
        </w:rPr>
        <w:t>Parking:</w:t>
      </w:r>
      <w:r>
        <w:rPr>
          <w:rFonts w:ascii="Arial" w:cs="Arial" w:eastAsia="Arial" w:hAnsi="Arial"/>
          <w:sz w:val="14"/>
          <w:szCs w:val="14"/>
          <w:color w:val="auto"/>
        </w:rPr>
        <w:t xml:space="preserve"> </w:t>
      </w:r>
      <w:r>
        <w:rPr>
          <w:rFonts w:ascii="Arial" w:cs="Arial" w:eastAsia="Arial" w:hAnsi="Arial"/>
          <w:sz w:val="17"/>
          <w:szCs w:val="17"/>
          <w:u w:val="single" w:color="auto"/>
          <w:color w:val="auto"/>
        </w:rPr>
        <w:t>Twenty-six (26)</w:t>
      </w:r>
      <w:r>
        <w:rPr>
          <w:rFonts w:ascii="Arial" w:cs="Arial" w:eastAsia="Arial" w:hAnsi="Arial"/>
          <w:sz w:val="14"/>
          <w:szCs w:val="14"/>
          <w:color w:val="auto"/>
        </w:rPr>
        <w:t xml:space="preserve"> unreserved vehicle parking spaces. (See also Paragraph 2.6)</w:t>
      </w:r>
    </w:p>
    <w:p>
      <w:pPr>
        <w:spacing w:after="0" w:line="7" w:lineRule="exact"/>
        <w:rPr>
          <w:sz w:val="20"/>
          <w:szCs w:val="20"/>
          <w:color w:val="auto"/>
        </w:rPr>
      </w:pPr>
    </w:p>
    <w:p>
      <w:pPr>
        <w:ind w:left="4" w:right="220" w:firstLine="324"/>
        <w:spacing w:after="0" w:line="263"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b w:val="1"/>
          <w:bCs w:val="1"/>
          <w:color w:val="auto"/>
        </w:rPr>
        <w:t>Term:</w:t>
      </w:r>
      <w:r>
        <w:rPr>
          <w:rFonts w:ascii="Arial" w:cs="Arial" w:eastAsia="Arial" w:hAnsi="Arial"/>
          <w:sz w:val="14"/>
          <w:szCs w:val="14"/>
          <w:color w:val="auto"/>
        </w:rPr>
        <w:t xml:space="preserve"> </w:t>
      </w:r>
      <w:r>
        <w:rPr>
          <w:rFonts w:ascii="Arial" w:cs="Arial" w:eastAsia="Arial" w:hAnsi="Arial"/>
          <w:sz w:val="17"/>
          <w:szCs w:val="17"/>
          <w:u w:val="single" w:color="auto"/>
          <w:color w:val="auto"/>
        </w:rPr>
        <w:t>Five (5)</w:t>
      </w:r>
      <w:r>
        <w:rPr>
          <w:rFonts w:ascii="Arial" w:cs="Arial" w:eastAsia="Arial" w:hAnsi="Arial"/>
          <w:sz w:val="14"/>
          <w:szCs w:val="14"/>
          <w:color w:val="auto"/>
        </w:rPr>
        <w:t xml:space="preserve"> years and </w:t>
      </w:r>
      <w:r>
        <w:rPr>
          <w:rFonts w:ascii="Arial" w:cs="Arial" w:eastAsia="Arial" w:hAnsi="Arial"/>
          <w:sz w:val="17"/>
          <w:szCs w:val="17"/>
          <w:u w:val="single" w:color="auto"/>
          <w:color w:val="auto"/>
        </w:rPr>
        <w:t>Nine (9)</w:t>
      </w:r>
      <w:r>
        <w:rPr>
          <w:rFonts w:ascii="Arial" w:cs="Arial" w:eastAsia="Arial" w:hAnsi="Arial"/>
          <w:sz w:val="14"/>
          <w:szCs w:val="14"/>
          <w:color w:val="auto"/>
        </w:rPr>
        <w:t xml:space="preserve"> months ("</w:t>
      </w:r>
      <w:r>
        <w:rPr>
          <w:rFonts w:ascii="Arial" w:cs="Arial" w:eastAsia="Arial" w:hAnsi="Arial"/>
          <w:sz w:val="14"/>
          <w:szCs w:val="14"/>
          <w:b w:val="1"/>
          <w:bCs w:val="1"/>
          <w:color w:val="auto"/>
        </w:rPr>
        <w:t>Original Term</w:t>
      </w:r>
      <w:r>
        <w:rPr>
          <w:rFonts w:ascii="Arial" w:cs="Arial" w:eastAsia="Arial" w:hAnsi="Arial"/>
          <w:sz w:val="14"/>
          <w:szCs w:val="14"/>
          <w:color w:val="auto"/>
        </w:rPr>
        <w:t xml:space="preserve">") commencing </w:t>
      </w:r>
      <w:r>
        <w:rPr>
          <w:rFonts w:ascii="Arial" w:cs="Arial" w:eastAsia="Arial" w:hAnsi="Arial"/>
          <w:sz w:val="17"/>
          <w:szCs w:val="17"/>
          <w:u w:val="single" w:color="auto"/>
          <w:color w:val="auto"/>
        </w:rPr>
        <w:t>May 1, 2020</w:t>
      </w:r>
      <w:r>
        <w:rPr>
          <w:rFonts w:ascii="Arial" w:cs="Arial" w:eastAsia="Arial" w:hAnsi="Arial"/>
          <w:sz w:val="14"/>
          <w:szCs w:val="14"/>
          <w:color w:val="auto"/>
        </w:rPr>
        <w:t xml:space="preserve"> ("</w:t>
      </w:r>
      <w:r>
        <w:rPr>
          <w:rFonts w:ascii="Arial" w:cs="Arial" w:eastAsia="Arial" w:hAnsi="Arial"/>
          <w:sz w:val="14"/>
          <w:szCs w:val="14"/>
          <w:b w:val="1"/>
          <w:bCs w:val="1"/>
          <w:color w:val="auto"/>
        </w:rPr>
        <w:t>Commencement Date</w:t>
      </w:r>
      <w:r>
        <w:rPr>
          <w:rFonts w:ascii="Arial" w:cs="Arial" w:eastAsia="Arial" w:hAnsi="Arial"/>
          <w:sz w:val="14"/>
          <w:szCs w:val="14"/>
          <w:color w:val="auto"/>
        </w:rPr>
        <w:t xml:space="preserve">") and ending </w:t>
      </w:r>
      <w:r>
        <w:rPr>
          <w:rFonts w:ascii="Arial" w:cs="Arial" w:eastAsia="Arial" w:hAnsi="Arial"/>
          <w:sz w:val="17"/>
          <w:szCs w:val="17"/>
          <w:u w:val="single" w:color="auto"/>
          <w:color w:val="auto"/>
        </w:rPr>
        <w:t>January 31, 2026</w:t>
      </w:r>
      <w:r>
        <w:rPr>
          <w:rFonts w:ascii="Arial" w:cs="Arial" w:eastAsia="Arial" w:hAnsi="Arial"/>
          <w:sz w:val="14"/>
          <w:szCs w:val="14"/>
          <w:color w:val="auto"/>
        </w:rPr>
        <w:t xml:space="preserve"> ("</w:t>
      </w:r>
      <w:r>
        <w:rPr>
          <w:rFonts w:ascii="Arial" w:cs="Arial" w:eastAsia="Arial" w:hAnsi="Arial"/>
          <w:sz w:val="14"/>
          <w:szCs w:val="14"/>
          <w:b w:val="1"/>
          <w:bCs w:val="1"/>
          <w:color w:val="auto"/>
        </w:rPr>
        <w:t>Expiration Date</w:t>
      </w:r>
      <w:r>
        <w:rPr>
          <w:rFonts w:ascii="Arial" w:cs="Arial" w:eastAsia="Arial" w:hAnsi="Arial"/>
          <w:sz w:val="14"/>
          <w:szCs w:val="14"/>
          <w:color w:val="auto"/>
        </w:rPr>
        <w:t>"). (See also Paragraph 3)</w:t>
      </w:r>
    </w:p>
    <w:p>
      <w:pPr>
        <w:spacing w:after="0" w:line="1" w:lineRule="exact"/>
        <w:rPr>
          <w:sz w:val="20"/>
          <w:szCs w:val="20"/>
          <w:color w:val="auto"/>
        </w:rPr>
      </w:pPr>
    </w:p>
    <w:p>
      <w:pPr>
        <w:ind w:left="4" w:right="2220" w:firstLine="324"/>
        <w:spacing w:after="0" w:line="254"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b w:val="1"/>
          <w:bCs w:val="1"/>
          <w:color w:val="auto"/>
        </w:rPr>
        <w:t>Early Possession:</w:t>
      </w:r>
      <w:r>
        <w:rPr>
          <w:rFonts w:ascii="Arial" w:cs="Arial" w:eastAsia="Arial" w:hAnsi="Arial"/>
          <w:sz w:val="14"/>
          <w:szCs w:val="14"/>
          <w:color w:val="auto"/>
        </w:rPr>
        <w:t xml:space="preserve"> If the Premises are available Lessee may have nonexclusive possession of the Premises commencing </w:t>
      </w:r>
      <w:r>
        <w:rPr>
          <w:rFonts w:ascii="Arial" w:cs="Arial" w:eastAsia="Arial" w:hAnsi="Arial"/>
          <w:sz w:val="17"/>
          <w:szCs w:val="17"/>
          <w:u w:val="single" w:color="auto"/>
          <w:color w:val="auto"/>
        </w:rPr>
        <w:t>NA</w:t>
      </w:r>
      <w:r>
        <w:rPr>
          <w:rFonts w:ascii="Arial" w:cs="Arial" w:eastAsia="Arial" w:hAnsi="Arial"/>
          <w:sz w:val="14"/>
          <w:szCs w:val="14"/>
          <w:color w:val="auto"/>
        </w:rPr>
        <w:t xml:space="preserve"> ("</w:t>
      </w:r>
      <w:r>
        <w:rPr>
          <w:rFonts w:ascii="Arial" w:cs="Arial" w:eastAsia="Arial" w:hAnsi="Arial"/>
          <w:sz w:val="14"/>
          <w:szCs w:val="14"/>
          <w:b w:val="1"/>
          <w:bCs w:val="1"/>
          <w:color w:val="auto"/>
        </w:rPr>
        <w:t>Early Possession</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 (See also Paragraphs 3.2 and 3.3)</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1.5 </w:t>
      </w:r>
      <w:r>
        <w:rPr>
          <w:rFonts w:ascii="Arial" w:cs="Arial" w:eastAsia="Arial" w:hAnsi="Arial"/>
          <w:sz w:val="14"/>
          <w:szCs w:val="14"/>
          <w:b w:val="1"/>
          <w:bCs w:val="1"/>
          <w:color w:val="auto"/>
        </w:rPr>
        <w:t>Base Rent:</w:t>
      </w:r>
      <w:r>
        <w:rPr>
          <w:rFonts w:ascii="Arial" w:cs="Arial" w:eastAsia="Arial" w:hAnsi="Arial"/>
          <w:sz w:val="14"/>
          <w:szCs w:val="14"/>
          <w:color w:val="auto"/>
        </w:rPr>
        <w:t xml:space="preserve"> </w:t>
      </w:r>
      <w:r>
        <w:rPr>
          <w:rFonts w:ascii="Arial" w:cs="Arial" w:eastAsia="Arial" w:hAnsi="Arial"/>
          <w:sz w:val="17"/>
          <w:szCs w:val="17"/>
          <w:u w:val="single" w:color="auto"/>
          <w:color w:val="auto"/>
        </w:rPr>
        <w:t>$12,724.00</w:t>
      </w:r>
      <w:r>
        <w:rPr>
          <w:rFonts w:ascii="Arial" w:cs="Arial" w:eastAsia="Arial" w:hAnsi="Arial"/>
          <w:sz w:val="14"/>
          <w:szCs w:val="14"/>
          <w:color w:val="auto"/>
        </w:rPr>
        <w:t xml:space="preserve"> per month ("</w:t>
      </w:r>
      <w:r>
        <w:rPr>
          <w:rFonts w:ascii="Arial" w:cs="Arial" w:eastAsia="Arial" w:hAnsi="Arial"/>
          <w:sz w:val="14"/>
          <w:szCs w:val="14"/>
          <w:b w:val="1"/>
          <w:bCs w:val="1"/>
          <w:color w:val="auto"/>
        </w:rPr>
        <w:t>Base Rent</w:t>
      </w:r>
      <w:r>
        <w:rPr>
          <w:rFonts w:ascii="Arial" w:cs="Arial" w:eastAsia="Arial" w:hAnsi="Arial"/>
          <w:sz w:val="14"/>
          <w:szCs w:val="14"/>
          <w:color w:val="auto"/>
        </w:rPr>
        <w:t xml:space="preserve">"), payable on the </w:t>
      </w:r>
      <w:r>
        <w:rPr>
          <w:rFonts w:ascii="Arial" w:cs="Arial" w:eastAsia="Arial" w:hAnsi="Arial"/>
          <w:sz w:val="17"/>
          <w:szCs w:val="17"/>
          <w:u w:val="single" w:color="auto"/>
          <w:color w:val="auto"/>
        </w:rPr>
        <w:t>First (1st)</w:t>
      </w:r>
      <w:r>
        <w:rPr>
          <w:rFonts w:ascii="Arial" w:cs="Arial" w:eastAsia="Arial" w:hAnsi="Arial"/>
          <w:sz w:val="14"/>
          <w:szCs w:val="14"/>
          <w:color w:val="auto"/>
        </w:rPr>
        <w:t xml:space="preserve"> day of each month commencing </w:t>
      </w:r>
      <w:r>
        <w:rPr>
          <w:rFonts w:ascii="Arial" w:cs="Arial" w:eastAsia="Arial" w:hAnsi="Arial"/>
          <w:sz w:val="17"/>
          <w:szCs w:val="17"/>
          <w:u w:val="single" w:color="auto"/>
          <w:color w:val="auto"/>
        </w:rPr>
        <w:t>May 1,</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2020</w:t>
      </w:r>
      <w:r>
        <w:rPr>
          <w:rFonts w:ascii="Arial" w:cs="Arial" w:eastAsia="Arial" w:hAnsi="Arial"/>
          <w:sz w:val="18"/>
          <w:szCs w:val="18"/>
          <w:color w:val="auto"/>
        </w:rPr>
        <w:t xml:space="preserve"> </w:t>
      </w:r>
      <w:r>
        <w:rPr>
          <w:rFonts w:ascii="Arial" w:cs="Arial" w:eastAsia="Arial" w:hAnsi="Arial"/>
          <w:sz w:val="14"/>
          <w:szCs w:val="14"/>
          <w:color w:val="auto"/>
        </w:rPr>
        <w:t>. (See also Paragraph 4)</w:t>
      </w:r>
    </w:p>
    <w:p>
      <w:pPr>
        <w:spacing w:after="0" w:line="53" w:lineRule="exact"/>
        <w:rPr>
          <w:sz w:val="20"/>
          <w:szCs w:val="20"/>
          <w:color w:val="auto"/>
        </w:rPr>
      </w:pPr>
    </w:p>
    <w:p>
      <w:pPr>
        <w:ind w:left="464" w:hanging="167"/>
        <w:spacing w:after="0"/>
        <w:tabs>
          <w:tab w:leader="none" w:pos="464" w:val="left"/>
        </w:tabs>
        <w:numPr>
          <w:ilvl w:val="0"/>
          <w:numId w:val="52"/>
        </w:numPr>
        <w:rPr>
          <w:rFonts w:ascii="MS PGothic" w:cs="MS PGothic" w:eastAsia="MS PGothic" w:hAnsi="MS PGothic"/>
          <w:sz w:val="14"/>
          <w:szCs w:val="14"/>
          <w:color w:val="auto"/>
        </w:rPr>
      </w:pPr>
      <w:r>
        <w:rPr>
          <w:rFonts w:ascii="Arial" w:cs="Arial" w:eastAsia="Arial" w:hAnsi="Arial"/>
          <w:sz w:val="14"/>
          <w:szCs w:val="14"/>
          <w:color w:val="auto"/>
        </w:rPr>
        <w:t xml:space="preserve">If this box is checked, there are provisions in this Lease for the Base Rent to be adjusted. See Paragraph </w:t>
      </w:r>
      <w:r>
        <w:rPr>
          <w:rFonts w:ascii="Arial" w:cs="Arial" w:eastAsia="Arial" w:hAnsi="Arial"/>
          <w:sz w:val="17"/>
          <w:szCs w:val="17"/>
          <w:u w:val="single" w:color="auto"/>
          <w:color w:val="auto"/>
        </w:rPr>
        <w:t>54</w:t>
      </w:r>
      <w:r>
        <w:rPr>
          <w:rFonts w:ascii="Arial" w:cs="Arial" w:eastAsia="Arial" w:hAnsi="Arial"/>
          <w:sz w:val="14"/>
          <w:szCs w:val="14"/>
          <w:color w:val="auto"/>
        </w:rPr>
        <w:t xml:space="preserve"> .</w:t>
      </w:r>
    </w:p>
    <w:p>
      <w:pPr>
        <w:spacing w:after="0" w:line="37" w:lineRule="exact"/>
        <w:rPr>
          <w:sz w:val="20"/>
          <w:szCs w:val="20"/>
          <w:color w:val="auto"/>
        </w:rPr>
      </w:pPr>
    </w:p>
    <w:p>
      <w:pPr>
        <w:ind w:left="4" w:right="360" w:firstLine="324"/>
        <w:spacing w:after="0" w:line="230" w:lineRule="auto"/>
        <w:rPr>
          <w:sz w:val="20"/>
          <w:szCs w:val="20"/>
          <w:color w:val="auto"/>
        </w:rPr>
      </w:pPr>
      <w:r>
        <w:rPr>
          <w:rFonts w:ascii="Arial" w:cs="Arial" w:eastAsia="Arial" w:hAnsi="Arial"/>
          <w:sz w:val="14"/>
          <w:szCs w:val="14"/>
          <w:color w:val="auto"/>
        </w:rPr>
        <w:t xml:space="preserve">1.6 </w:t>
      </w:r>
      <w:r>
        <w:rPr>
          <w:rFonts w:ascii="Arial" w:cs="Arial" w:eastAsia="Arial" w:hAnsi="Arial"/>
          <w:sz w:val="14"/>
          <w:szCs w:val="14"/>
          <w:b w:val="1"/>
          <w:bCs w:val="1"/>
          <w:color w:val="auto"/>
        </w:rPr>
        <w:t>Lessee's Share of Common Area Operating Expenses:</w:t>
      </w:r>
      <w:r>
        <w:rPr>
          <w:rFonts w:ascii="Arial" w:cs="Arial" w:eastAsia="Arial" w:hAnsi="Arial"/>
          <w:sz w:val="14"/>
          <w:szCs w:val="14"/>
          <w:color w:val="auto"/>
        </w:rPr>
        <w:t xml:space="preserve"> </w:t>
      </w:r>
      <w:r>
        <w:rPr>
          <w:rFonts w:ascii="Arial" w:cs="Arial" w:eastAsia="Arial" w:hAnsi="Arial"/>
          <w:sz w:val="17"/>
          <w:szCs w:val="17"/>
          <w:u w:val="single" w:color="auto"/>
          <w:color w:val="auto"/>
        </w:rPr>
        <w:t>Forty-seven point nine</w:t>
      </w:r>
      <w:r>
        <w:rPr>
          <w:rFonts w:ascii="Arial" w:cs="Arial" w:eastAsia="Arial" w:hAnsi="Arial"/>
          <w:sz w:val="14"/>
          <w:szCs w:val="14"/>
          <w:color w:val="auto"/>
        </w:rPr>
        <w:t xml:space="preserve"> percent ( </w:t>
      </w:r>
      <w:r>
        <w:rPr>
          <w:rFonts w:ascii="Arial" w:cs="Arial" w:eastAsia="Arial" w:hAnsi="Arial"/>
          <w:sz w:val="17"/>
          <w:szCs w:val="17"/>
          <w:u w:val="single" w:color="auto"/>
          <w:color w:val="auto"/>
        </w:rPr>
        <w:t>47.9</w:t>
      </w:r>
      <w:r>
        <w:rPr>
          <w:rFonts w:ascii="Arial" w:cs="Arial" w:eastAsia="Arial" w:hAnsi="Arial"/>
          <w:sz w:val="14"/>
          <w:szCs w:val="14"/>
          <w:color w:val="auto"/>
        </w:rPr>
        <w:t xml:space="preserve"> %) ("</w:t>
      </w:r>
      <w:r>
        <w:rPr>
          <w:rFonts w:ascii="Arial" w:cs="Arial" w:eastAsia="Arial" w:hAnsi="Arial"/>
          <w:sz w:val="14"/>
          <w:szCs w:val="14"/>
          <w:b w:val="1"/>
          <w:bCs w:val="1"/>
          <w:color w:val="auto"/>
        </w:rPr>
        <w:t>Lessee's Share</w:t>
      </w:r>
      <w:r>
        <w:rPr>
          <w:rFonts w:ascii="Arial" w:cs="Arial" w:eastAsia="Arial" w:hAnsi="Arial"/>
          <w:sz w:val="14"/>
          <w:szCs w:val="14"/>
          <w:color w:val="auto"/>
        </w:rPr>
        <w:t>"). In the event that the size of the Premises and/or the Project are modified during the term of this Lease, Lessor shall recalculate Lessee's Share to reflect such modification.</w:t>
      </w:r>
    </w:p>
    <w:p>
      <w:pPr>
        <w:ind w:left="324"/>
        <w:spacing w:after="0" w:line="235" w:lineRule="auto"/>
        <w:rPr>
          <w:sz w:val="20"/>
          <w:szCs w:val="20"/>
          <w:color w:val="auto"/>
        </w:rPr>
      </w:pPr>
      <w:r>
        <w:rPr>
          <w:rFonts w:ascii="Arial" w:cs="Arial" w:eastAsia="Arial" w:hAnsi="Arial"/>
          <w:sz w:val="14"/>
          <w:szCs w:val="14"/>
          <w:color w:val="auto"/>
        </w:rPr>
        <w:t xml:space="preserve">1.7 </w:t>
      </w:r>
      <w:r>
        <w:rPr>
          <w:rFonts w:ascii="Arial" w:cs="Arial" w:eastAsia="Arial" w:hAnsi="Arial"/>
          <w:sz w:val="14"/>
          <w:szCs w:val="14"/>
          <w:b w:val="1"/>
          <w:bCs w:val="1"/>
          <w:color w:val="auto"/>
        </w:rPr>
        <w:t>Base Rent and Other Monies Paid Upon Execution:</w:t>
      </w:r>
    </w:p>
    <w:p>
      <w:pPr>
        <w:ind w:left="844" w:hanging="196"/>
        <w:spacing w:after="0"/>
        <w:tabs>
          <w:tab w:leader="none" w:pos="844"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Base Rent: </w:t>
      </w:r>
      <w:r>
        <w:rPr>
          <w:rFonts w:ascii="Arial" w:cs="Arial" w:eastAsia="Arial" w:hAnsi="Arial"/>
          <w:sz w:val="17"/>
          <w:szCs w:val="17"/>
          <w:u w:val="single" w:color="auto"/>
          <w:color w:val="auto"/>
        </w:rPr>
        <w:t>$12,724.00</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period</w:t>
      </w:r>
      <w:r>
        <w:rPr>
          <w:rFonts w:ascii="Arial" w:cs="Arial" w:eastAsia="Arial" w:hAnsi="Arial"/>
          <w:sz w:val="14"/>
          <w:szCs w:val="14"/>
          <w:b w:val="1"/>
          <w:bCs w:val="1"/>
          <w:color w:val="auto"/>
        </w:rPr>
        <w:t xml:space="preserve"> </w:t>
      </w:r>
      <w:r>
        <w:rPr>
          <w:rFonts w:ascii="Arial" w:cs="Arial" w:eastAsia="Arial" w:hAnsi="Arial"/>
          <w:sz w:val="17"/>
          <w:szCs w:val="17"/>
          <w:u w:val="single" w:color="auto"/>
          <w:color w:val="auto"/>
        </w:rPr>
        <w:t>July 1 - 31, 2020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left="844" w:hanging="196"/>
        <w:spacing w:after="0"/>
        <w:tabs>
          <w:tab w:leader="none" w:pos="844"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Common Area Operating Expenses: </w:t>
      </w:r>
      <w:r>
        <w:rPr>
          <w:rFonts w:ascii="Arial" w:cs="Arial" w:eastAsia="Arial" w:hAnsi="Arial"/>
          <w:sz w:val="17"/>
          <w:szCs w:val="17"/>
          <w:u w:val="single" w:color="auto"/>
          <w:color w:val="auto"/>
        </w:rPr>
        <w:t>$4,234.80</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period</w:t>
      </w:r>
      <w:r>
        <w:rPr>
          <w:rFonts w:ascii="Arial" w:cs="Arial" w:eastAsia="Arial" w:hAnsi="Arial"/>
          <w:sz w:val="14"/>
          <w:szCs w:val="14"/>
          <w:b w:val="1"/>
          <w:bCs w:val="1"/>
          <w:color w:val="auto"/>
        </w:rPr>
        <w:t xml:space="preserve"> </w:t>
      </w:r>
      <w:r>
        <w:rPr>
          <w:rFonts w:ascii="Arial" w:cs="Arial" w:eastAsia="Arial" w:hAnsi="Arial"/>
          <w:sz w:val="17"/>
          <w:szCs w:val="17"/>
          <w:u w:val="single" w:color="auto"/>
          <w:color w:val="auto"/>
        </w:rPr>
        <w:t>May 1 - 31, 2020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p>
      <w:pPr>
        <w:spacing w:after="0" w:line="20" w:lineRule="exact"/>
        <w:rPr>
          <w:rFonts w:ascii="Arial" w:cs="Arial" w:eastAsia="Arial" w:hAnsi="Arial"/>
          <w:sz w:val="14"/>
          <w:szCs w:val="14"/>
          <w:color w:val="auto"/>
        </w:rPr>
      </w:pPr>
    </w:p>
    <w:p>
      <w:pPr>
        <w:ind w:left="844" w:hanging="196"/>
        <w:spacing w:after="0"/>
        <w:tabs>
          <w:tab w:leader="none" w:pos="844"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Security Deposit: </w:t>
      </w:r>
      <w:r>
        <w:rPr>
          <w:rFonts w:ascii="Arial" w:cs="Arial" w:eastAsia="Arial" w:hAnsi="Arial"/>
          <w:sz w:val="17"/>
          <w:szCs w:val="17"/>
          <w:u w:val="single" w:color="auto"/>
          <w:color w:val="auto"/>
        </w:rPr>
        <w:t>$14,321.00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Security Deposit</w:t>
      </w:r>
      <w:r>
        <w:rPr>
          <w:rFonts w:ascii="Arial" w:cs="Arial" w:eastAsia="Arial" w:hAnsi="Arial"/>
          <w:sz w:val="14"/>
          <w:szCs w:val="14"/>
          <w:color w:val="auto"/>
        </w:rPr>
        <w:t>"). (See also Paragraph 5)</w:t>
      </w:r>
    </w:p>
    <w:p>
      <w:pPr>
        <w:spacing w:after="0" w:line="34" w:lineRule="exact"/>
        <w:rPr>
          <w:sz w:val="20"/>
          <w:szCs w:val="20"/>
          <w:color w:val="auto"/>
        </w:rPr>
      </w:pPr>
    </w:p>
    <w:p>
      <w:pPr>
        <w:ind w:left="844" w:hanging="196"/>
        <w:spacing w:after="0"/>
        <w:tabs>
          <w:tab w:leader="none" w:pos="844"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Total Due Upon Execution of this Lease: </w:t>
      </w:r>
      <w:r>
        <w:rPr>
          <w:rFonts w:ascii="Arial" w:cs="Arial" w:eastAsia="Arial" w:hAnsi="Arial"/>
          <w:sz w:val="17"/>
          <w:szCs w:val="17"/>
          <w:u w:val="single" w:color="auto"/>
          <w:color w:val="auto"/>
        </w:rPr>
        <w:t>$31,279.80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p>
      <w:pPr>
        <w:spacing w:after="0" w:line="2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1.8 </w:t>
      </w:r>
      <w:r>
        <w:rPr>
          <w:rFonts w:ascii="Arial" w:cs="Arial" w:eastAsia="Arial" w:hAnsi="Arial"/>
          <w:sz w:val="14"/>
          <w:szCs w:val="14"/>
          <w:b w:val="1"/>
          <w:bCs w:val="1"/>
          <w:color w:val="auto"/>
        </w:rPr>
        <w:t>Agreed Use</w:t>
      </w:r>
      <w:r>
        <w:rPr>
          <w:rFonts w:ascii="Arial" w:cs="Arial" w:eastAsia="Arial" w:hAnsi="Arial"/>
          <w:sz w:val="14"/>
          <w:szCs w:val="14"/>
          <w:color w:val="auto"/>
        </w:rPr>
        <w:t xml:space="preserve">: </w:t>
      </w:r>
      <w:r>
        <w:rPr>
          <w:rFonts w:ascii="Arial" w:cs="Arial" w:eastAsia="Arial" w:hAnsi="Arial"/>
          <w:sz w:val="17"/>
          <w:szCs w:val="17"/>
          <w:u w:val="single" w:color="auto"/>
          <w:color w:val="auto"/>
        </w:rPr>
        <w:t>General office and warehouse storage for a diagnostic company</w:t>
      </w:r>
      <w:r>
        <w:rPr>
          <w:rFonts w:ascii="Arial" w:cs="Arial" w:eastAsia="Arial" w:hAnsi="Arial"/>
          <w:sz w:val="14"/>
          <w:szCs w:val="14"/>
          <w:color w:val="auto"/>
        </w:rPr>
        <w:t xml:space="preserve"> . (See also Paragraph 6)</w:t>
      </w:r>
    </w:p>
    <w:p>
      <w:pPr>
        <w:spacing w:after="0" w:line="25"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1.9 </w:t>
      </w:r>
      <w:r>
        <w:rPr>
          <w:rFonts w:ascii="Arial" w:cs="Arial" w:eastAsia="Arial" w:hAnsi="Arial"/>
          <w:sz w:val="14"/>
          <w:szCs w:val="14"/>
          <w:b w:val="1"/>
          <w:bCs w:val="1"/>
          <w:color w:val="auto"/>
        </w:rPr>
        <w:t>Insuring Party.</w:t>
      </w:r>
      <w:r>
        <w:rPr>
          <w:rFonts w:ascii="Arial" w:cs="Arial" w:eastAsia="Arial" w:hAnsi="Arial"/>
          <w:sz w:val="14"/>
          <w:szCs w:val="14"/>
          <w:color w:val="auto"/>
        </w:rPr>
        <w:t xml:space="preserve"> Lessor is the "</w:t>
      </w:r>
      <w:r>
        <w:rPr>
          <w:rFonts w:ascii="Arial" w:cs="Arial" w:eastAsia="Arial" w:hAnsi="Arial"/>
          <w:sz w:val="14"/>
          <w:szCs w:val="14"/>
          <w:b w:val="1"/>
          <w:bCs w:val="1"/>
          <w:color w:val="auto"/>
        </w:rPr>
        <w:t>Insuring Party</w:t>
      </w:r>
      <w:r>
        <w:rPr>
          <w:rFonts w:ascii="Arial" w:cs="Arial" w:eastAsia="Arial" w:hAnsi="Arial"/>
          <w:sz w:val="14"/>
          <w:szCs w:val="14"/>
          <w:color w:val="auto"/>
        </w:rPr>
        <w:t>". (See also Paragraph 8)</w:t>
      </w:r>
    </w:p>
    <w:p>
      <w:pPr>
        <w:spacing w:after="0" w:line="17"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1.10 </w:t>
      </w:r>
      <w:r>
        <w:rPr>
          <w:rFonts w:ascii="Arial" w:cs="Arial" w:eastAsia="Arial" w:hAnsi="Arial"/>
          <w:sz w:val="14"/>
          <w:szCs w:val="14"/>
          <w:b w:val="1"/>
          <w:bCs w:val="1"/>
          <w:color w:val="auto"/>
        </w:rPr>
        <w:t>Real Estate Brokers.</w:t>
      </w:r>
      <w:r>
        <w:rPr>
          <w:rFonts w:ascii="Arial" w:cs="Arial" w:eastAsia="Arial" w:hAnsi="Arial"/>
          <w:sz w:val="14"/>
          <w:szCs w:val="14"/>
          <w:color w:val="auto"/>
        </w:rPr>
        <w:t xml:space="preserve"> (See also Paragraph 15 and 25)</w:t>
      </w:r>
    </w:p>
    <w:p>
      <w:pPr>
        <w:spacing w:after="0" w:line="12" w:lineRule="exact"/>
        <w:rPr>
          <w:sz w:val="20"/>
          <w:szCs w:val="20"/>
          <w:color w:val="auto"/>
        </w:rPr>
      </w:pPr>
    </w:p>
    <w:p>
      <w:pPr>
        <w:ind w:left="4" w:right="220" w:firstLine="644"/>
        <w:spacing w:after="0" w:line="259" w:lineRule="auto"/>
        <w:tabs>
          <w:tab w:leader="none" w:pos="848"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Representation</w:t>
      </w:r>
      <w:r>
        <w:rPr>
          <w:rFonts w:ascii="Arial" w:cs="Arial" w:eastAsia="Arial" w:hAnsi="Arial"/>
          <w:sz w:val="14"/>
          <w:szCs w:val="14"/>
          <w:color w:val="auto"/>
        </w:rPr>
        <w:t>: Each Party acknowledges receiving a Disclosure Regarding Real Estate Agency Relationship, confirms and consents to the following agency relationships in</w:t>
      </w:r>
      <w:r>
        <w:rPr>
          <w:rFonts w:ascii="Arial" w:cs="Arial" w:eastAsia="Arial" w:hAnsi="Arial"/>
          <w:sz w:val="14"/>
          <w:szCs w:val="14"/>
          <w:b w:val="1"/>
          <w:bCs w:val="1"/>
          <w:color w:val="auto"/>
        </w:rPr>
        <w:t xml:space="preserve"> </w:t>
      </w:r>
      <w:r>
        <w:rPr>
          <w:rFonts w:ascii="Arial" w:cs="Arial" w:eastAsia="Arial" w:hAnsi="Arial"/>
          <w:sz w:val="14"/>
          <w:szCs w:val="14"/>
          <w:color w:val="auto"/>
        </w:rPr>
        <w:t>this Lease with the following real estate brokers ("</w:t>
      </w:r>
      <w:r>
        <w:rPr>
          <w:rFonts w:ascii="Arial" w:cs="Arial" w:eastAsia="Arial" w:hAnsi="Arial"/>
          <w:sz w:val="14"/>
          <w:szCs w:val="14"/>
          <w:b w:val="1"/>
          <w:bCs w:val="1"/>
          <w:color w:val="auto"/>
        </w:rPr>
        <w:t>Broker(s)</w:t>
      </w:r>
      <w:r>
        <w:rPr>
          <w:rFonts w:ascii="Arial" w:cs="Arial" w:eastAsia="Arial" w:hAnsi="Arial"/>
          <w:sz w:val="14"/>
          <w:szCs w:val="14"/>
          <w:color w:val="auto"/>
        </w:rPr>
        <w:t>") and/or their agents ("Agent(s)"):</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Lessor’s Brokerage Firm </w:t>
      </w:r>
      <w:r>
        <w:rPr>
          <w:rFonts w:ascii="Arial" w:cs="Arial" w:eastAsia="Arial" w:hAnsi="Arial"/>
          <w:sz w:val="17"/>
          <w:szCs w:val="17"/>
          <w:u w:val="single" w:color="auto"/>
          <w:color w:val="auto"/>
        </w:rPr>
        <w:t>Lee &amp; Associates Commercial Real Estate Services, Inc - NSDC</w:t>
      </w:r>
      <w:r>
        <w:rPr>
          <w:rFonts w:ascii="Arial" w:cs="Arial" w:eastAsia="Arial" w:hAnsi="Arial"/>
          <w:sz w:val="14"/>
          <w:szCs w:val="14"/>
          <w:color w:val="auto"/>
        </w:rPr>
        <w:t xml:space="preserve"> License No.</w:t>
      </w:r>
    </w:p>
    <w:p>
      <w:pPr>
        <w:spacing w:after="0" w:line="45" w:lineRule="exact"/>
        <w:rPr>
          <w:sz w:val="20"/>
          <w:szCs w:val="20"/>
          <w:color w:val="auto"/>
        </w:rPr>
      </w:pPr>
    </w:p>
    <w:p>
      <w:pPr>
        <w:ind w:left="4"/>
        <w:spacing w:after="0" w:line="207" w:lineRule="exact"/>
        <w:rPr>
          <w:sz w:val="20"/>
          <w:szCs w:val="20"/>
          <w:color w:val="auto"/>
        </w:rPr>
      </w:pPr>
      <w:r>
        <w:rPr>
          <w:rFonts w:ascii="Arial" w:cs="Arial" w:eastAsia="Arial" w:hAnsi="Arial"/>
          <w:sz w:val="18"/>
          <w:szCs w:val="18"/>
          <w:u w:val="single" w:color="auto"/>
          <w:color w:val="auto"/>
        </w:rPr>
        <w:t>01096996</w:t>
      </w:r>
      <w:r>
        <w:rPr>
          <w:rFonts w:ascii="Arial" w:cs="Arial" w:eastAsia="Arial" w:hAnsi="Arial"/>
          <w:sz w:val="18"/>
          <w:szCs w:val="18"/>
          <w:color w:val="auto"/>
        </w:rPr>
        <w:t xml:space="preserve"> </w:t>
      </w:r>
      <w:r>
        <w:rPr>
          <w:rFonts w:ascii="Arial" w:cs="Arial" w:eastAsia="Arial" w:hAnsi="Arial"/>
          <w:sz w:val="14"/>
          <w:szCs w:val="14"/>
          <w:color w:val="auto"/>
        </w:rPr>
        <w:t>Is the broker of (check one):</w:t>
      </w:r>
      <w:r>
        <w:rPr>
          <w:rFonts w:ascii="Arial" w:cs="Arial" w:eastAsia="Arial" w:hAnsi="Arial"/>
          <w:sz w:val="18"/>
          <w:szCs w:val="18"/>
          <w:color w:val="auto"/>
        </w:rPr>
        <w:t xml:space="preserve"> </w:t>
      </w:r>
      <w:r>
        <w:rPr>
          <w:rFonts w:ascii="MS PGothic" w:cs="MS PGothic" w:eastAsia="MS PGothic" w:hAnsi="MS PGothic"/>
          <w:sz w:val="14"/>
          <w:szCs w:val="14"/>
          <w:color w:val="auto"/>
        </w:rPr>
        <w:t>☑</w:t>
      </w:r>
      <w:r>
        <w:rPr>
          <w:rFonts w:ascii="Arial" w:cs="Arial" w:eastAsia="Arial" w:hAnsi="Arial"/>
          <w:sz w:val="18"/>
          <w:szCs w:val="18"/>
          <w:color w:val="auto"/>
        </w:rPr>
        <w:t xml:space="preserve"> </w:t>
      </w:r>
      <w:r>
        <w:rPr>
          <w:rFonts w:ascii="Arial" w:cs="Arial" w:eastAsia="Arial" w:hAnsi="Arial"/>
          <w:sz w:val="14"/>
          <w:szCs w:val="14"/>
          <w:color w:val="auto"/>
        </w:rPr>
        <w:t>the Lessor; or</w:t>
      </w:r>
      <w:r>
        <w:rPr>
          <w:rFonts w:ascii="Arial" w:cs="Arial" w:eastAsia="Arial" w:hAnsi="Arial"/>
          <w:sz w:val="18"/>
          <w:szCs w:val="18"/>
          <w:color w:val="auto"/>
        </w:rPr>
        <w:t xml:space="preserve"> </w:t>
      </w:r>
      <w:r>
        <w:rPr>
          <w:rFonts w:ascii="MS PGothic" w:cs="MS PGothic" w:eastAsia="MS PGothic" w:hAnsi="MS PGothic"/>
          <w:sz w:val="14"/>
          <w:szCs w:val="14"/>
          <w:color w:val="auto"/>
        </w:rPr>
        <w:t>☐</w:t>
      </w:r>
      <w:r>
        <w:rPr>
          <w:rFonts w:ascii="Arial" w:cs="Arial" w:eastAsia="Arial" w:hAnsi="Arial"/>
          <w:sz w:val="18"/>
          <w:szCs w:val="18"/>
          <w:color w:val="auto"/>
        </w:rPr>
        <w:t xml:space="preserve"> </w:t>
      </w:r>
      <w:r>
        <w:rPr>
          <w:rFonts w:ascii="Arial" w:cs="Arial" w:eastAsia="Arial" w:hAnsi="Arial"/>
          <w:sz w:val="14"/>
          <w:szCs w:val="14"/>
          <w:color w:val="auto"/>
        </w:rPr>
        <w:t>both the Lessee and Lessor (dual agent).</w:t>
      </w:r>
    </w:p>
    <w:p>
      <w:pPr>
        <w:spacing w:after="0" w:line="77" w:lineRule="exact"/>
        <w:rPr>
          <w:sz w:val="20"/>
          <w:szCs w:val="20"/>
          <w:color w:val="auto"/>
        </w:rPr>
      </w:pPr>
    </w:p>
    <w:p>
      <w:pPr>
        <w:ind w:left="324" w:right="20"/>
        <w:spacing w:after="0" w:line="197" w:lineRule="exact"/>
        <w:rPr>
          <w:sz w:val="20"/>
          <w:szCs w:val="20"/>
          <w:color w:val="auto"/>
        </w:rPr>
      </w:pPr>
      <w:r>
        <w:rPr>
          <w:rFonts w:ascii="Arial" w:cs="Arial" w:eastAsia="Arial" w:hAnsi="Arial"/>
          <w:sz w:val="14"/>
          <w:szCs w:val="14"/>
          <w:color w:val="auto"/>
        </w:rPr>
        <w:t xml:space="preserve">Lessor’s Agent </w:t>
      </w:r>
      <w:r>
        <w:rPr>
          <w:rFonts w:ascii="Arial" w:cs="Arial" w:eastAsia="Arial" w:hAnsi="Arial"/>
          <w:sz w:val="17"/>
          <w:szCs w:val="17"/>
          <w:u w:val="single" w:color="auto"/>
          <w:color w:val="auto"/>
        </w:rPr>
        <w:t>Peter Merz &amp; Daniel Knoke</w:t>
      </w:r>
      <w:r>
        <w:rPr>
          <w:rFonts w:ascii="Arial" w:cs="Arial" w:eastAsia="Arial" w:hAnsi="Arial"/>
          <w:sz w:val="14"/>
          <w:szCs w:val="14"/>
          <w:color w:val="auto"/>
        </w:rPr>
        <w:t xml:space="preserve"> License No. </w:t>
      </w:r>
      <w:r>
        <w:rPr>
          <w:rFonts w:ascii="Arial" w:cs="Arial" w:eastAsia="Arial" w:hAnsi="Arial"/>
          <w:sz w:val="17"/>
          <w:szCs w:val="17"/>
          <w:u w:val="single" w:color="auto"/>
          <w:color w:val="auto"/>
        </w:rPr>
        <w:t>01269042 | 01215373</w:t>
      </w:r>
      <w:r>
        <w:rPr>
          <w:rFonts w:ascii="Arial" w:cs="Arial" w:eastAsia="Arial" w:hAnsi="Arial"/>
          <w:sz w:val="14"/>
          <w:szCs w:val="14"/>
          <w:color w:val="auto"/>
        </w:rPr>
        <w:t xml:space="preserve"> is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Lessor’s Agent (salesperson or broker associate);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Lessee’s Agent and the Lessor’s Agent (dual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-128905</wp:posOffset>
            </wp:positionV>
            <wp:extent cx="28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 w:lineRule="exact"/>
        <w:rPr>
          <w:sz w:val="20"/>
          <w:szCs w:val="20"/>
          <w:color w:val="auto"/>
        </w:rPr>
      </w:pPr>
    </w:p>
    <w:p>
      <w:pPr>
        <w:ind w:left="324"/>
        <w:spacing w:after="0" w:line="196" w:lineRule="exact"/>
        <w:rPr>
          <w:sz w:val="20"/>
          <w:szCs w:val="20"/>
          <w:color w:val="auto"/>
        </w:rPr>
      </w:pPr>
      <w:r>
        <w:rPr>
          <w:rFonts w:ascii="Arial" w:cs="Arial" w:eastAsia="Arial" w:hAnsi="Arial"/>
          <w:sz w:val="14"/>
          <w:szCs w:val="14"/>
          <w:color w:val="auto"/>
        </w:rPr>
        <w:t xml:space="preserve">Lessee’s Brokerage Firm </w:t>
      </w:r>
      <w:r>
        <w:rPr>
          <w:rFonts w:ascii="Arial" w:cs="Arial" w:eastAsia="Arial" w:hAnsi="Arial"/>
          <w:sz w:val="17"/>
          <w:szCs w:val="17"/>
          <w:u w:val="single" w:color="auto"/>
          <w:color w:val="auto"/>
        </w:rPr>
        <w:t>CBRE</w:t>
      </w:r>
      <w:r>
        <w:rPr>
          <w:rFonts w:ascii="Arial" w:cs="Arial" w:eastAsia="Arial" w:hAnsi="Arial"/>
          <w:sz w:val="14"/>
          <w:szCs w:val="14"/>
          <w:color w:val="auto"/>
        </w:rPr>
        <w:t xml:space="preserve"> License No. </w:t>
      </w:r>
      <w:r>
        <w:rPr>
          <w:rFonts w:ascii="Arial" w:cs="Arial" w:eastAsia="Arial" w:hAnsi="Arial"/>
          <w:sz w:val="17"/>
          <w:szCs w:val="17"/>
          <w:u w:val="single" w:color="auto"/>
          <w:color w:val="auto"/>
        </w:rPr>
        <w:t>00409987</w:t>
      </w:r>
      <w:r>
        <w:rPr>
          <w:rFonts w:ascii="Arial" w:cs="Arial" w:eastAsia="Arial" w:hAnsi="Arial"/>
          <w:sz w:val="14"/>
          <w:szCs w:val="14"/>
          <w:color w:val="auto"/>
        </w:rPr>
        <w:t xml:space="preserve"> Is the broker of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Lessee;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Lessee and Lessor (dual agent).</w:t>
      </w:r>
    </w:p>
    <w:p>
      <w:pPr>
        <w:spacing w:after="0" w:line="61" w:lineRule="exact"/>
        <w:rPr>
          <w:sz w:val="20"/>
          <w:szCs w:val="20"/>
          <w:color w:val="auto"/>
        </w:rPr>
      </w:pPr>
    </w:p>
    <w:p>
      <w:pPr>
        <w:ind w:left="324" w:right="280"/>
        <w:spacing w:after="0" w:line="197" w:lineRule="exact"/>
        <w:rPr>
          <w:sz w:val="20"/>
          <w:szCs w:val="20"/>
          <w:color w:val="auto"/>
        </w:rPr>
      </w:pPr>
      <w:r>
        <w:rPr>
          <w:rFonts w:ascii="Arial" w:cs="Arial" w:eastAsia="Arial" w:hAnsi="Arial"/>
          <w:sz w:val="14"/>
          <w:szCs w:val="14"/>
          <w:color w:val="auto"/>
        </w:rPr>
        <w:t xml:space="preserve">Lessee’s Agent </w:t>
      </w:r>
      <w:r>
        <w:rPr>
          <w:rFonts w:ascii="Arial" w:cs="Arial" w:eastAsia="Arial" w:hAnsi="Arial"/>
          <w:sz w:val="17"/>
          <w:szCs w:val="17"/>
          <w:u w:val="single" w:color="auto"/>
          <w:color w:val="auto"/>
        </w:rPr>
        <w:t>Andrew Ewald &amp; Blake Wilson</w:t>
      </w:r>
      <w:r>
        <w:rPr>
          <w:rFonts w:ascii="Arial" w:cs="Arial" w:eastAsia="Arial" w:hAnsi="Arial"/>
          <w:sz w:val="14"/>
          <w:szCs w:val="14"/>
          <w:color w:val="auto"/>
        </w:rPr>
        <w:t xml:space="preserve"> License No. </w:t>
      </w:r>
      <w:r>
        <w:rPr>
          <w:rFonts w:ascii="Arial" w:cs="Arial" w:eastAsia="Arial" w:hAnsi="Arial"/>
          <w:sz w:val="17"/>
          <w:szCs w:val="17"/>
          <w:u w:val="single" w:color="auto"/>
          <w:color w:val="auto"/>
        </w:rPr>
        <w:t>01308891 | 02001878</w:t>
      </w:r>
      <w:r>
        <w:rPr>
          <w:rFonts w:ascii="Arial" w:cs="Arial" w:eastAsia="Arial" w:hAnsi="Arial"/>
          <w:sz w:val="14"/>
          <w:szCs w:val="14"/>
          <w:color w:val="auto"/>
        </w:rPr>
        <w:t xml:space="preserve"> is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Lessee’s Agent (salesperson or broker associate);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Lessee’s Agent and the Lessor’s Agent (dual agent).</w:t>
      </w:r>
    </w:p>
    <w:p>
      <w:pPr>
        <w:ind w:left="4" w:right="140" w:firstLine="644"/>
        <w:spacing w:after="0" w:line="262" w:lineRule="auto"/>
        <w:tabs>
          <w:tab w:leader="none" w:pos="856" w:val="left"/>
        </w:tabs>
        <w:numPr>
          <w:ilvl w:val="1"/>
          <w:numId w:val="56"/>
        </w:numPr>
        <w:rPr>
          <w:rFonts w:ascii="Arial" w:cs="Arial" w:eastAsia="Arial" w:hAnsi="Arial"/>
          <w:sz w:val="14"/>
          <w:szCs w:val="14"/>
          <w:color w:val="auto"/>
        </w:rPr>
      </w:pPr>
      <w:r>
        <w:rPr>
          <w:rFonts w:ascii="Arial" w:cs="Arial" w:eastAsia="Arial" w:hAnsi="Arial"/>
          <w:sz w:val="14"/>
          <w:szCs w:val="14"/>
          <w:b w:val="1"/>
          <w:bCs w:val="1"/>
          <w:color w:val="auto"/>
        </w:rPr>
        <w:t xml:space="preserve">Payment to Brokers. </w:t>
      </w:r>
      <w:r>
        <w:rPr>
          <w:rFonts w:ascii="Arial" w:cs="Arial" w:eastAsia="Arial" w:hAnsi="Arial"/>
          <w:sz w:val="14"/>
          <w:szCs w:val="14"/>
          <w:color w:val="auto"/>
        </w:rPr>
        <w:t>Upon execution and delivery of this Lease by both Parties, Lessor shall pay to the Brokers the brokerage fee agreed to in a separate written agreement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if there is no such agreement, the sum of </w:t>
      </w:r>
      <w:r>
        <w:rPr>
          <w:rFonts w:ascii="Arial" w:cs="Arial" w:eastAsia="Arial" w:hAnsi="Arial"/>
          <w:sz w:val="17"/>
          <w:szCs w:val="17"/>
          <w:u w:val="single" w:color="auto"/>
          <w:color w:val="auto"/>
        </w:rPr>
        <w:t>3</w:t>
      </w:r>
      <w:r>
        <w:rPr>
          <w:rFonts w:ascii="Arial" w:cs="Arial" w:eastAsia="Arial" w:hAnsi="Arial"/>
          <w:sz w:val="14"/>
          <w:szCs w:val="14"/>
          <w:color w:val="auto"/>
        </w:rPr>
        <w:t xml:space="preserve"> % of the total Base Rent) for the brokerage services rendered by the Brokers.</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1.11 </w:t>
      </w:r>
      <w:r>
        <w:rPr>
          <w:rFonts w:ascii="Arial" w:cs="Arial" w:eastAsia="Arial" w:hAnsi="Arial"/>
          <w:sz w:val="14"/>
          <w:szCs w:val="14"/>
          <w:b w:val="1"/>
          <w:bCs w:val="1"/>
          <w:color w:val="auto"/>
        </w:rPr>
        <w:t>Guarantor.</w:t>
      </w:r>
      <w:r>
        <w:rPr>
          <w:rFonts w:ascii="Arial" w:cs="Arial" w:eastAsia="Arial" w:hAnsi="Arial"/>
          <w:sz w:val="14"/>
          <w:szCs w:val="14"/>
          <w:color w:val="auto"/>
        </w:rPr>
        <w:t xml:space="preserve"> The obligations of the Lessee under this Lease are to be guaranteed by </w:t>
      </w:r>
      <w:r>
        <w:rPr>
          <w:rFonts w:ascii="Arial" w:cs="Arial" w:eastAsia="Arial" w:hAnsi="Arial"/>
          <w:sz w:val="17"/>
          <w:szCs w:val="17"/>
          <w:u w:val="single" w:color="auto"/>
          <w:color w:val="auto"/>
        </w:rPr>
        <w:t>NA</w:t>
      </w:r>
      <w:r>
        <w:rPr>
          <w:rFonts w:ascii="Arial" w:cs="Arial" w:eastAsia="Arial" w:hAnsi="Arial"/>
          <w:sz w:val="14"/>
          <w:szCs w:val="14"/>
          <w:color w:val="auto"/>
        </w:rPr>
        <w:t xml:space="preserve"> ("</w:t>
      </w:r>
      <w:r>
        <w:rPr>
          <w:rFonts w:ascii="Arial" w:cs="Arial" w:eastAsia="Arial" w:hAnsi="Arial"/>
          <w:sz w:val="14"/>
          <w:szCs w:val="14"/>
          <w:b w:val="1"/>
          <w:bCs w:val="1"/>
          <w:color w:val="auto"/>
        </w:rPr>
        <w:t>Guarantor</w:t>
      </w:r>
      <w:r>
        <w:rPr>
          <w:rFonts w:ascii="Arial" w:cs="Arial" w:eastAsia="Arial" w:hAnsi="Arial"/>
          <w:sz w:val="14"/>
          <w:szCs w:val="14"/>
          <w:color w:val="auto"/>
        </w:rPr>
        <w:t>"). (See also Paragraph 37)</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1.12 </w:t>
      </w:r>
      <w:r>
        <w:rPr>
          <w:rFonts w:ascii="Arial" w:cs="Arial" w:eastAsia="Arial" w:hAnsi="Arial"/>
          <w:sz w:val="14"/>
          <w:szCs w:val="14"/>
          <w:b w:val="1"/>
          <w:bCs w:val="1"/>
          <w:color w:val="auto"/>
        </w:rPr>
        <w:t>Attachments.</w:t>
      </w:r>
      <w:r>
        <w:rPr>
          <w:rFonts w:ascii="Arial" w:cs="Arial" w:eastAsia="Arial" w:hAnsi="Arial"/>
          <w:sz w:val="14"/>
          <w:szCs w:val="14"/>
          <w:color w:val="auto"/>
        </w:rPr>
        <w:t xml:space="preserve"> Attached hereto are the following, all of which constitute a part of this Lease:</w:t>
      </w:r>
    </w:p>
    <w:p>
      <w:pPr>
        <w:spacing w:after="0" w:line="60" w:lineRule="exact"/>
        <w:rPr>
          <w:rFonts w:ascii="Arial" w:cs="Arial" w:eastAsia="Arial" w:hAnsi="Arial"/>
          <w:sz w:val="14"/>
          <w:szCs w:val="14"/>
          <w:color w:val="auto"/>
        </w:rPr>
      </w:pPr>
    </w:p>
    <w:p>
      <w:pPr>
        <w:ind w:left="784" w:hanging="178"/>
        <w:spacing w:after="0"/>
        <w:tabs>
          <w:tab w:leader="none" w:pos="784" w:val="left"/>
        </w:tabs>
        <w:numPr>
          <w:ilvl w:val="0"/>
          <w:numId w:val="56"/>
        </w:numPr>
        <w:rPr>
          <w:rFonts w:ascii="MS PGothic" w:cs="MS PGothic" w:eastAsia="MS PGothic" w:hAnsi="MS PGothic"/>
          <w:sz w:val="14"/>
          <w:szCs w:val="14"/>
          <w:color w:val="auto"/>
        </w:rPr>
      </w:pPr>
      <w:r>
        <w:rPr>
          <w:rFonts w:ascii="Arial" w:cs="Arial" w:eastAsia="Arial" w:hAnsi="Arial"/>
          <w:sz w:val="14"/>
          <w:szCs w:val="14"/>
          <w:color w:val="auto"/>
        </w:rPr>
        <w:t xml:space="preserve">an Addendum consisting of Paragraphs </w:t>
      </w:r>
      <w:r>
        <w:rPr>
          <w:rFonts w:ascii="Arial" w:cs="Arial" w:eastAsia="Arial" w:hAnsi="Arial"/>
          <w:sz w:val="17"/>
          <w:szCs w:val="17"/>
          <w:u w:val="single" w:color="auto"/>
          <w:color w:val="auto"/>
        </w:rPr>
        <w:t>50</w:t>
      </w:r>
      <w:r>
        <w:rPr>
          <w:rFonts w:ascii="Arial" w:cs="Arial" w:eastAsia="Arial" w:hAnsi="Arial"/>
          <w:sz w:val="14"/>
          <w:szCs w:val="14"/>
          <w:color w:val="auto"/>
        </w:rPr>
        <w:t xml:space="preserve"> through </w:t>
      </w:r>
      <w:r>
        <w:rPr>
          <w:rFonts w:ascii="Arial" w:cs="Arial" w:eastAsia="Arial" w:hAnsi="Arial"/>
          <w:sz w:val="17"/>
          <w:szCs w:val="17"/>
          <w:u w:val="single" w:color="auto"/>
          <w:color w:val="auto"/>
        </w:rPr>
        <w:t>53</w:t>
      </w:r>
      <w:r>
        <w:rPr>
          <w:rFonts w:ascii="Arial" w:cs="Arial" w:eastAsia="Arial" w:hAnsi="Arial"/>
          <w:sz w:val="14"/>
          <w:szCs w:val="14"/>
          <w:color w:val="auto"/>
        </w:rPr>
        <w:t xml:space="preserve"> ;</w:t>
      </w:r>
    </w:p>
    <w:p>
      <w:pPr>
        <w:spacing w:after="0" w:line="88" w:lineRule="exact"/>
        <w:rPr>
          <w:rFonts w:ascii="MS PGothic" w:cs="MS PGothic" w:eastAsia="MS PGothic" w:hAnsi="MS PGothic"/>
          <w:sz w:val="14"/>
          <w:szCs w:val="14"/>
          <w:color w:val="auto"/>
        </w:rPr>
      </w:pPr>
    </w:p>
    <w:p>
      <w:pPr>
        <w:ind w:left="784" w:hanging="178"/>
        <w:spacing w:after="0"/>
        <w:tabs>
          <w:tab w:leader="none" w:pos="784" w:val="left"/>
        </w:tabs>
        <w:numPr>
          <w:ilvl w:val="0"/>
          <w:numId w:val="56"/>
        </w:numPr>
        <w:rPr>
          <w:rFonts w:ascii="MS PGothic" w:cs="MS PGothic" w:eastAsia="MS PGothic" w:hAnsi="MS PGothic"/>
          <w:sz w:val="14"/>
          <w:szCs w:val="14"/>
          <w:color w:val="auto"/>
        </w:rPr>
      </w:pPr>
      <w:r>
        <w:rPr>
          <w:rFonts w:ascii="Arial" w:cs="Arial" w:eastAsia="Arial" w:hAnsi="Arial"/>
          <w:sz w:val="14"/>
          <w:szCs w:val="14"/>
          <w:color w:val="auto"/>
        </w:rPr>
        <w:t xml:space="preserve">a site plan depicting the Premises; </w:t>
      </w:r>
      <w:r>
        <w:rPr>
          <w:rFonts w:ascii="Arial" w:cs="Arial" w:eastAsia="Arial" w:hAnsi="Arial"/>
          <w:sz w:val="16"/>
          <w:szCs w:val="16"/>
          <w:b w:val="1"/>
          <w:bCs w:val="1"/>
          <w:color w:val="auto"/>
        </w:rPr>
        <w:t>Exhibit A</w:t>
      </w:r>
    </w:p>
    <w:p>
      <w:pPr>
        <w:spacing w:after="0" w:line="95" w:lineRule="exact"/>
        <w:rPr>
          <w:sz w:val="20"/>
          <w:szCs w:val="20"/>
          <w:color w:val="auto"/>
        </w:rPr>
      </w:pPr>
    </w:p>
    <w:p>
      <w:pPr>
        <w:ind w:left="784" w:hanging="178"/>
        <w:spacing w:after="0"/>
        <w:tabs>
          <w:tab w:leader="none" w:pos="784" w:val="left"/>
        </w:tabs>
        <w:numPr>
          <w:ilvl w:val="0"/>
          <w:numId w:val="57"/>
        </w:numPr>
        <w:rPr>
          <w:rFonts w:ascii="MS PGothic" w:cs="MS PGothic" w:eastAsia="MS PGothic" w:hAnsi="MS PGothic"/>
          <w:sz w:val="14"/>
          <w:szCs w:val="14"/>
          <w:color w:val="auto"/>
        </w:rPr>
      </w:pPr>
      <w:r>
        <w:rPr>
          <w:rFonts w:ascii="Arial" w:cs="Arial" w:eastAsia="Arial" w:hAnsi="Arial"/>
          <w:sz w:val="14"/>
          <w:szCs w:val="14"/>
          <w:color w:val="auto"/>
        </w:rPr>
        <w:t>a site plan depicting the Project;</w:t>
      </w:r>
    </w:p>
    <w:p>
      <w:pPr>
        <w:spacing w:after="0" w:line="82" w:lineRule="exact"/>
        <w:rPr>
          <w:rFonts w:ascii="MS PGothic" w:cs="MS PGothic" w:eastAsia="MS PGothic" w:hAnsi="MS PGothic"/>
          <w:sz w:val="14"/>
          <w:szCs w:val="14"/>
          <w:color w:val="auto"/>
        </w:rPr>
      </w:pPr>
    </w:p>
    <w:p>
      <w:pPr>
        <w:ind w:left="784" w:hanging="178"/>
        <w:spacing w:after="0"/>
        <w:tabs>
          <w:tab w:leader="none" w:pos="784" w:val="left"/>
        </w:tabs>
        <w:numPr>
          <w:ilvl w:val="0"/>
          <w:numId w:val="57"/>
        </w:numPr>
        <w:rPr>
          <w:rFonts w:ascii="MS PGothic" w:cs="MS PGothic" w:eastAsia="MS PGothic" w:hAnsi="MS PGothic"/>
          <w:sz w:val="14"/>
          <w:szCs w:val="14"/>
          <w:color w:val="auto"/>
        </w:rPr>
      </w:pPr>
      <w:r>
        <w:rPr>
          <w:rFonts w:ascii="Arial" w:cs="Arial" w:eastAsia="Arial" w:hAnsi="Arial"/>
          <w:sz w:val="14"/>
          <w:szCs w:val="14"/>
          <w:color w:val="auto"/>
        </w:rPr>
        <w:t>a current set of the Rules and Regulations for the Project;</w:t>
      </w:r>
    </w:p>
    <w:p>
      <w:pPr>
        <w:spacing w:after="0" w:line="95" w:lineRule="exact"/>
        <w:rPr>
          <w:rFonts w:ascii="MS PGothic" w:cs="MS PGothic" w:eastAsia="MS PGothic" w:hAnsi="MS PGothic"/>
          <w:sz w:val="14"/>
          <w:szCs w:val="14"/>
          <w:color w:val="auto"/>
        </w:rPr>
      </w:pPr>
    </w:p>
    <w:p>
      <w:pPr>
        <w:ind w:left="784" w:hanging="178"/>
        <w:spacing w:after="0"/>
        <w:tabs>
          <w:tab w:leader="none" w:pos="784" w:val="left"/>
        </w:tabs>
        <w:numPr>
          <w:ilvl w:val="0"/>
          <w:numId w:val="57"/>
        </w:numPr>
        <w:rPr>
          <w:rFonts w:ascii="MS PGothic" w:cs="MS PGothic" w:eastAsia="MS PGothic" w:hAnsi="MS PGothic"/>
          <w:sz w:val="14"/>
          <w:szCs w:val="14"/>
          <w:color w:val="auto"/>
        </w:rPr>
      </w:pPr>
      <w:r>
        <w:rPr>
          <w:rFonts w:ascii="Arial" w:cs="Arial" w:eastAsia="Arial" w:hAnsi="Arial"/>
          <w:sz w:val="14"/>
          <w:szCs w:val="14"/>
          <w:color w:val="auto"/>
        </w:rPr>
        <w:t>a current set of the Rules and Regulations adopted by the owners' association;</w:t>
      </w:r>
    </w:p>
    <w:p>
      <w:pPr>
        <w:spacing w:after="0" w:line="82" w:lineRule="exact"/>
        <w:rPr>
          <w:rFonts w:ascii="MS PGothic" w:cs="MS PGothic" w:eastAsia="MS PGothic" w:hAnsi="MS PGothic"/>
          <w:sz w:val="14"/>
          <w:szCs w:val="14"/>
          <w:color w:val="auto"/>
        </w:rPr>
      </w:pPr>
    </w:p>
    <w:p>
      <w:pPr>
        <w:ind w:left="784" w:hanging="178"/>
        <w:spacing w:after="0"/>
        <w:tabs>
          <w:tab w:leader="none" w:pos="784" w:val="left"/>
        </w:tabs>
        <w:numPr>
          <w:ilvl w:val="0"/>
          <w:numId w:val="57"/>
        </w:numPr>
        <w:rPr>
          <w:rFonts w:ascii="MS PGothic" w:cs="MS PGothic" w:eastAsia="MS PGothic" w:hAnsi="MS PGothic"/>
          <w:sz w:val="14"/>
          <w:szCs w:val="14"/>
          <w:color w:val="auto"/>
        </w:rPr>
      </w:pPr>
      <w:r>
        <w:rPr>
          <w:rFonts w:ascii="Arial" w:cs="Arial" w:eastAsia="Arial" w:hAnsi="Arial"/>
          <w:sz w:val="14"/>
          <w:szCs w:val="14"/>
          <w:color w:val="auto"/>
        </w:rPr>
        <w:t>a Work Letter;</w:t>
      </w:r>
    </w:p>
    <w:p>
      <w:pPr>
        <w:spacing w:after="0" w:line="86" w:lineRule="exact"/>
        <w:rPr>
          <w:sz w:val="20"/>
          <w:szCs w:val="20"/>
          <w:color w:val="auto"/>
        </w:rPr>
      </w:pPr>
    </w:p>
    <w:p>
      <w:pPr>
        <w:ind w:left="784" w:hanging="178"/>
        <w:spacing w:after="0"/>
        <w:tabs>
          <w:tab w:leader="none" w:pos="784" w:val="left"/>
        </w:tabs>
        <w:numPr>
          <w:ilvl w:val="1"/>
          <w:numId w:val="58"/>
        </w:numPr>
        <w:rPr>
          <w:rFonts w:ascii="MS PGothic" w:cs="MS PGothic" w:eastAsia="MS PGothic" w:hAnsi="MS PGothic"/>
          <w:sz w:val="14"/>
          <w:szCs w:val="14"/>
          <w:color w:val="auto"/>
        </w:rPr>
      </w:pPr>
      <w:r>
        <w:rPr>
          <w:rFonts w:ascii="Arial" w:cs="Arial" w:eastAsia="Arial" w:hAnsi="Arial"/>
          <w:sz w:val="14"/>
          <w:szCs w:val="14"/>
          <w:color w:val="auto"/>
        </w:rPr>
        <w:t xml:space="preserve">other (specify): </w:t>
      </w:r>
      <w:r>
        <w:rPr>
          <w:rFonts w:ascii="Arial" w:cs="Arial" w:eastAsia="Arial" w:hAnsi="Arial"/>
          <w:sz w:val="17"/>
          <w:szCs w:val="17"/>
          <w:u w:val="single" w:color="auto"/>
          <w:color w:val="auto"/>
        </w:rPr>
        <w:t>Rent Adjustments, Agency Disclosure</w:t>
      </w:r>
      <w:r>
        <w:rPr>
          <w:rFonts w:ascii="Arial" w:cs="Arial" w:eastAsia="Arial" w:hAnsi="Arial"/>
          <w:sz w:val="14"/>
          <w:szCs w:val="14"/>
          <w:color w:val="auto"/>
        </w:rPr>
        <w:t xml:space="preserve"> .</w:t>
      </w:r>
    </w:p>
    <w:p>
      <w:pPr>
        <w:spacing w:after="0" w:line="268" w:lineRule="exact"/>
        <w:rPr>
          <w:rFonts w:ascii="MS PGothic" w:cs="MS PGothic" w:eastAsia="MS PGothic" w:hAnsi="MS PGothic"/>
          <w:sz w:val="14"/>
          <w:szCs w:val="14"/>
          <w:color w:val="auto"/>
        </w:rPr>
      </w:pPr>
    </w:p>
    <w:p>
      <w:pPr>
        <w:ind w:left="144" w:hanging="144"/>
        <w:spacing w:after="0"/>
        <w:tabs>
          <w:tab w:leader="none" w:pos="14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Premises.</w:t>
      </w:r>
    </w:p>
    <w:p>
      <w:pPr>
        <w:spacing w:after="0" w:line="28" w:lineRule="exact"/>
        <w:rPr>
          <w:sz w:val="20"/>
          <w:szCs w:val="20"/>
          <w:color w:val="auto"/>
        </w:rPr>
      </w:pPr>
    </w:p>
    <w:p>
      <w:pPr>
        <w:ind w:left="4" w:right="400" w:firstLine="324"/>
        <w:spacing w:after="0" w:line="262"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Letting</w:t>
      </w:r>
      <w:r>
        <w:rPr>
          <w:rFonts w:ascii="Arial" w:cs="Arial" w:eastAsia="Arial" w:hAnsi="Arial"/>
          <w:sz w:val="14"/>
          <w:szCs w:val="14"/>
          <w:color w:val="auto"/>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Arial" w:cs="Arial" w:eastAsia="Arial" w:hAnsi="Arial"/>
          <w:sz w:val="14"/>
          <w:szCs w:val="14"/>
          <w:b w:val="1"/>
          <w:bCs w:val="1"/>
          <w:color w:val="auto"/>
        </w:rPr>
        <w:t>NOTE: Lessee is advised to verify the actual size prior to executing</w:t>
      </w:r>
      <w:r>
        <w:rPr>
          <w:rFonts w:ascii="Arial" w:cs="Arial" w:eastAsia="Arial" w:hAnsi="Arial"/>
          <w:sz w:val="14"/>
          <w:szCs w:val="14"/>
          <w:color w:val="auto"/>
        </w:rPr>
        <w:t xml:space="preserve"> </w:t>
      </w:r>
      <w:r>
        <w:rPr>
          <w:rFonts w:ascii="Arial" w:cs="Arial" w:eastAsia="Arial" w:hAnsi="Arial"/>
          <w:sz w:val="14"/>
          <w:szCs w:val="14"/>
          <w:b w:val="1"/>
          <w:bCs w:val="1"/>
          <w:color w:val="auto"/>
        </w:rPr>
        <w:t>this Lease.</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Condition</w:t>
      </w:r>
      <w:r>
        <w:rPr>
          <w:rFonts w:ascii="Arial" w:cs="Arial" w:eastAsia="Arial" w:hAnsi="Arial"/>
          <w:sz w:val="14"/>
          <w:szCs w:val="14"/>
          <w:color w:val="auto"/>
        </w:rPr>
        <w:t>. Lessor shall deliver that portion of the Premises contained within the Building ("</w:t>
      </w:r>
      <w:r>
        <w:rPr>
          <w:rFonts w:ascii="Arial" w:cs="Arial" w:eastAsia="Arial" w:hAnsi="Arial"/>
          <w:sz w:val="14"/>
          <w:szCs w:val="14"/>
          <w:b w:val="1"/>
          <w:bCs w:val="1"/>
          <w:color w:val="auto"/>
        </w:rPr>
        <w:t>Unit</w:t>
      </w:r>
      <w:r>
        <w:rPr>
          <w:rFonts w:ascii="Arial" w:cs="Arial" w:eastAsia="Arial" w:hAnsi="Arial"/>
          <w:sz w:val="14"/>
          <w:szCs w:val="14"/>
          <w:color w:val="auto"/>
        </w:rPr>
        <w:t>") to Lessee broom clean and free of debris on the</w:t>
      </w:r>
    </w:p>
    <w:p>
      <w:pPr>
        <w:spacing w:after="0" w:line="9" w:lineRule="exact"/>
        <w:rPr>
          <w:sz w:val="20"/>
          <w:szCs w:val="20"/>
          <w:color w:val="auto"/>
        </w:rPr>
      </w:pPr>
    </w:p>
    <w:p>
      <w:pPr>
        <w:ind w:left="4" w:right="260"/>
        <w:spacing w:after="0" w:line="281" w:lineRule="auto"/>
        <w:rPr>
          <w:sz w:val="20"/>
          <w:szCs w:val="20"/>
          <w:color w:val="auto"/>
        </w:rPr>
      </w:pPr>
      <w:r>
        <w:rPr>
          <w:rFonts w:ascii="Arial" w:cs="Arial" w:eastAsia="Arial" w:hAnsi="Arial"/>
          <w:sz w:val="13"/>
          <w:szCs w:val="13"/>
          <w:color w:val="auto"/>
        </w:rPr>
        <w:t>Commencement Date or the Early Possession Date, whichever first occurs ("</w:t>
      </w:r>
      <w:r>
        <w:rPr>
          <w:rFonts w:ascii="Arial" w:cs="Arial" w:eastAsia="Arial" w:hAnsi="Arial"/>
          <w:sz w:val="13"/>
          <w:szCs w:val="13"/>
          <w:b w:val="1"/>
          <w:bCs w:val="1"/>
          <w:color w:val="auto"/>
        </w:rPr>
        <w:t>Start Date</w:t>
      </w:r>
      <w:r>
        <w:rPr>
          <w:rFonts w:ascii="Arial" w:cs="Arial" w:eastAsia="Arial" w:hAnsi="Arial"/>
          <w:sz w:val="13"/>
          <w:szCs w:val="13"/>
          <w:color w:val="auto"/>
        </w:rPr>
        <w:t>"),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3"/>
          <w:szCs w:val="13"/>
          <w:b w:val="1"/>
          <w:bCs w:val="1"/>
          <w:color w:val="auto"/>
        </w:rPr>
        <w:t>HVAC</w:t>
      </w:r>
      <w:r>
        <w:rPr>
          <w:rFonts w:ascii="Arial" w:cs="Arial" w:eastAsia="Arial" w:hAnsi="Arial"/>
          <w:sz w:val="13"/>
          <w:szCs w:val="13"/>
          <w:color w:val="auto"/>
        </w:rPr>
        <w:t>"),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w:t>
      </w:r>
    </w:p>
    <w:p>
      <w:pPr>
        <w:spacing w:after="0" w:line="4" w:lineRule="exact"/>
        <w:rPr>
          <w:sz w:val="20"/>
          <w:szCs w:val="20"/>
          <w:color w:val="auto"/>
        </w:rPr>
      </w:pPr>
    </w:p>
    <w:p>
      <w:pPr>
        <w:ind w:left="4" w:right="280"/>
        <w:spacing w:after="0" w:line="257" w:lineRule="auto"/>
        <w:rPr>
          <w:sz w:val="20"/>
          <w:szCs w:val="20"/>
          <w:color w:val="auto"/>
        </w:rPr>
      </w:pPr>
      <w:r>
        <w:rPr>
          <w:rFonts w:ascii="Arial" w:cs="Arial" w:eastAsia="Arial" w:hAnsi="Arial"/>
          <w:sz w:val="14"/>
          <w:szCs w:val="14"/>
          <w:color w:val="auto"/>
        </w:rPr>
        <w:t>(except for the repairs to the fire sprinkler systems, roof, foundations, and/or bearing walls see Paragraph 7). Lessor also warrants, that unless otherwise specified in writing, Lessor is unaware of (i) any recorded Notices of Default affecting the Premise; (ii) any delinquent amounts due under any loan secured by the Premises; and (iii) any bankruptcy proceeding affecting the Premises.</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color w:val="auto"/>
        </w:rPr>
        <w:t>Compliance</w:t>
      </w:r>
      <w:r>
        <w:rPr>
          <w:rFonts w:ascii="Arial" w:cs="Arial" w:eastAsia="Arial" w:hAnsi="Arial"/>
          <w:sz w:val="14"/>
          <w:szCs w:val="14"/>
          <w:color w:val="auto"/>
        </w:rPr>
        <w:t>. Lessor warrants that to the best of its knowledge the improvements on the Premises comply with the building codes, applicable laws,</w:t>
      </w:r>
    </w:p>
    <w:p>
      <w:pPr>
        <w:sectPr>
          <w:pgSz w:w="11900" w:h="16838" w:orient="portrait"/>
          <w:cols w:equalWidth="0" w:num="1">
            <w:col w:w="11124"/>
          </w:cols>
          <w:pgMar w:left="436" w:top="868" w:right="339" w:bottom="171" w:gutter="0" w:footer="0" w:header="0"/>
        </w:sectPr>
      </w:pPr>
    </w:p>
    <w:bookmarkStart w:id="139" w:name="page140"/>
    <w:bookmarkEnd w:id="1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ind w:left="4"/>
        <w:spacing w:after="0" w:line="283" w:lineRule="auto"/>
        <w:rPr>
          <w:sz w:val="20"/>
          <w:szCs w:val="20"/>
          <w:color w:val="auto"/>
        </w:rPr>
      </w:pPr>
      <w:r>
        <w:rPr>
          <w:rFonts w:ascii="Arial" w:cs="Arial" w:eastAsia="Arial" w:hAnsi="Arial"/>
          <w:sz w:val="13"/>
          <w:szCs w:val="13"/>
          <w:color w:val="auto"/>
        </w:rPr>
        <w:t>covenants or restrictions of record, regulations, and ordinances ("</w:t>
      </w:r>
      <w:r>
        <w:rPr>
          <w:rFonts w:ascii="Arial" w:cs="Arial" w:eastAsia="Arial" w:hAnsi="Arial"/>
          <w:sz w:val="13"/>
          <w:szCs w:val="13"/>
          <w:b w:val="1"/>
          <w:bCs w:val="1"/>
          <w:color w:val="auto"/>
        </w:rPr>
        <w:t>Applicable Requirements</w:t>
      </w:r>
      <w:r>
        <w:rPr>
          <w:rFonts w:ascii="Arial" w:cs="Arial" w:eastAsia="Arial" w:hAnsi="Arial"/>
          <w:sz w:val="13"/>
          <w:szCs w:val="13"/>
          <w:color w:val="auto"/>
        </w:rPr>
        <w:t xml:space="preserve">")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3"/>
          <w:szCs w:val="13"/>
          <w:b w:val="1"/>
          <w:bCs w:val="1"/>
          <w:color w:val="auto"/>
        </w:rPr>
        <w:t>NOTE: Lessee is responsible for determining</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whether or not the Applicable Requirements, and especially the zoning are appropriate for Lessee's intended use, and acknowledges that past uses of the Premises may no longer be allowed. </w:t>
      </w:r>
      <w:r>
        <w:rPr>
          <w:rFonts w:ascii="Arial" w:cs="Arial" w:eastAsia="Arial" w:hAnsi="Arial"/>
          <w:sz w:val="13"/>
          <w:szCs w:val="13"/>
          <w:color w:val="auto"/>
        </w:rPr>
        <w:t>If the Premises do not comply with said warranty, Lessor shall, except as otherwise provided, promptly after receipt of written notice from Lessee setting forth with specificity the</w:t>
      </w:r>
      <w:r>
        <w:rPr>
          <w:rFonts w:ascii="Arial" w:cs="Arial" w:eastAsia="Arial" w:hAnsi="Arial"/>
          <w:sz w:val="13"/>
          <w:szCs w:val="13"/>
          <w:b w:val="1"/>
          <w:bCs w:val="1"/>
          <w:color w:val="auto"/>
        </w:rPr>
        <w:t xml:space="preserve"> </w:t>
      </w:r>
      <w:r>
        <w:rPr>
          <w:rFonts w:ascii="Arial" w:cs="Arial" w:eastAsia="Arial" w:hAnsi="Arial"/>
          <w:sz w:val="13"/>
          <w:szCs w:val="13"/>
          <w:color w:val="auto"/>
        </w:rPr>
        <w:t>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w:t>
      </w:r>
      <w:r>
        <w:rPr>
          <w:rFonts w:ascii="Arial" w:cs="Arial" w:eastAsia="Arial" w:hAnsi="Arial"/>
          <w:sz w:val="13"/>
          <w:szCs w:val="13"/>
          <w:b w:val="1"/>
          <w:bCs w:val="1"/>
          <w:color w:val="auto"/>
        </w:rPr>
        <w:t>Capital Expenditure</w:t>
      </w:r>
      <w:r>
        <w:rPr>
          <w:rFonts w:ascii="Arial" w:cs="Arial" w:eastAsia="Arial" w:hAnsi="Arial"/>
          <w:sz w:val="13"/>
          <w:szCs w:val="13"/>
          <w:color w:val="auto"/>
        </w:rPr>
        <w:t>"), Lessor and Lessee shall allocate the cost of such work as follows:</w:t>
      </w:r>
    </w:p>
    <w:p>
      <w:pPr>
        <w:spacing w:after="0" w:line="4" w:lineRule="exact"/>
        <w:rPr>
          <w:sz w:val="20"/>
          <w:szCs w:val="20"/>
          <w:color w:val="auto"/>
        </w:rPr>
      </w:pPr>
    </w:p>
    <w:p>
      <w:pPr>
        <w:ind w:left="4" w:right="100" w:firstLine="644"/>
        <w:spacing w:after="0" w:line="259" w:lineRule="auto"/>
        <w:tabs>
          <w:tab w:leader="none" w:pos="848"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w:t>
      </w:r>
    </w:p>
    <w:p>
      <w:pPr>
        <w:spacing w:after="0" w:line="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could legally utilize the Premises without commencing such Capital Expenditure.</w:t>
      </w:r>
    </w:p>
    <w:p>
      <w:pPr>
        <w:spacing w:after="0" w:line="16" w:lineRule="exact"/>
        <w:rPr>
          <w:rFonts w:ascii="Arial" w:cs="Arial" w:eastAsia="Arial" w:hAnsi="Arial"/>
          <w:sz w:val="14"/>
          <w:szCs w:val="14"/>
          <w:color w:val="auto"/>
        </w:rPr>
      </w:pPr>
    </w:p>
    <w:p>
      <w:pPr>
        <w:ind w:left="4" w:right="40" w:firstLine="644"/>
        <w:spacing w:after="0" w:line="261" w:lineRule="auto"/>
        <w:tabs>
          <w:tab w:leader="none" w:pos="85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w:t>
      </w:r>
    </w:p>
    <w:p>
      <w:pPr>
        <w:ind w:left="4"/>
        <w:spacing w:after="0"/>
        <w:rPr>
          <w:rFonts w:ascii="Arial" w:cs="Arial" w:eastAsia="Arial" w:hAnsi="Arial"/>
          <w:sz w:val="14"/>
          <w:szCs w:val="14"/>
          <w:color w:val="auto"/>
        </w:rPr>
      </w:pPr>
      <w:r>
        <w:rPr>
          <w:rFonts w:ascii="Arial" w:cs="Arial" w:eastAsia="Arial" w:hAnsi="Arial"/>
          <w:sz w:val="14"/>
          <w:szCs w:val="14"/>
          <w:color w:val="auto"/>
        </w:rPr>
        <w:t>of this Lease or if Lessor reasonably determines that it is not economically feasible to pay its share thereof, Lessor shall have the option to terminate this Lease upon</w:t>
      </w:r>
    </w:p>
    <w:p>
      <w:pPr>
        <w:spacing w:after="0" w:line="16" w:lineRule="exact"/>
        <w:rPr>
          <w:rFonts w:ascii="Arial" w:cs="Arial" w:eastAsia="Arial" w:hAnsi="Arial"/>
          <w:sz w:val="14"/>
          <w:szCs w:val="14"/>
          <w:color w:val="auto"/>
        </w:rPr>
      </w:pPr>
    </w:p>
    <w:p>
      <w:pPr>
        <w:ind w:left="4" w:right="220"/>
        <w:spacing w:after="0" w:line="261" w:lineRule="auto"/>
        <w:rPr>
          <w:rFonts w:ascii="Arial" w:cs="Arial" w:eastAsia="Arial" w:hAnsi="Arial"/>
          <w:sz w:val="14"/>
          <w:szCs w:val="14"/>
          <w:color w:val="auto"/>
        </w:rPr>
      </w:pPr>
      <w:r>
        <w:rPr>
          <w:rFonts w:ascii="Arial" w:cs="Arial" w:eastAsia="Arial" w:hAnsi="Arial"/>
          <w:sz w:val="14"/>
          <w:szCs w:val="14"/>
          <w:color w:val="auto"/>
        </w:rPr>
        <w:t>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ind w:left="1624" w:hanging="194"/>
        <w:spacing w:after="0"/>
        <w:tabs>
          <w:tab w:leader="none" w:pos="1624" w:val="left"/>
        </w:tabs>
        <w:numPr>
          <w:ilvl w:val="1"/>
          <w:numId w:val="59"/>
        </w:numPr>
        <w:rPr>
          <w:rFonts w:ascii="Arial" w:cs="Arial" w:eastAsia="Arial" w:hAnsi="Arial"/>
          <w:sz w:val="14"/>
          <w:szCs w:val="14"/>
          <w:color w:val="auto"/>
        </w:rPr>
      </w:pPr>
      <w:r>
        <w:rPr>
          <w:rFonts w:ascii="Arial" w:cs="Arial" w:eastAsia="Arial" w:hAnsi="Arial"/>
          <w:sz w:val="14"/>
          <w:szCs w:val="14"/>
          <w:color w:val="auto"/>
        </w:rPr>
        <w:t>Notwithstanding the above, the provisions concerning Capital Expenditures are intended to apply only to non-voluntary, unexpected, and new</w:t>
      </w:r>
    </w:p>
    <w:p>
      <w:pPr>
        <w:spacing w:after="0" w:line="9" w:lineRule="exact"/>
        <w:rPr>
          <w:sz w:val="20"/>
          <w:szCs w:val="20"/>
          <w:color w:val="auto"/>
        </w:rPr>
      </w:pPr>
    </w:p>
    <w:p>
      <w:pPr>
        <w:ind w:left="4" w:right="140"/>
        <w:spacing w:after="0" w:line="277" w:lineRule="auto"/>
        <w:rPr>
          <w:sz w:val="20"/>
          <w:szCs w:val="20"/>
          <w:color w:val="auto"/>
        </w:rPr>
      </w:pPr>
      <w:r>
        <w:rPr>
          <w:rFonts w:ascii="Arial" w:cs="Arial" w:eastAsia="Arial" w:hAnsi="Arial"/>
          <w:sz w:val="13"/>
          <w:szCs w:val="13"/>
          <w:color w:val="auto"/>
        </w:rPr>
        <w:t>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color w:val="auto"/>
        </w:rPr>
        <w:t>Acknowledgements</w:t>
      </w:r>
      <w:r>
        <w:rPr>
          <w:rFonts w:ascii="Arial" w:cs="Arial" w:eastAsia="Arial" w:hAnsi="Arial"/>
          <w:sz w:val="14"/>
          <w:szCs w:val="14"/>
          <w:color w:val="auto"/>
        </w:rPr>
        <w:t>. Lessee acknowledges that: (a) it has been given an opportunity to inspect and measure the Premises, (b) it has been advised by</w:t>
      </w:r>
    </w:p>
    <w:p>
      <w:pPr>
        <w:spacing w:after="0" w:line="16" w:lineRule="exact"/>
        <w:rPr>
          <w:sz w:val="20"/>
          <w:szCs w:val="20"/>
          <w:color w:val="auto"/>
        </w:rPr>
      </w:pPr>
    </w:p>
    <w:p>
      <w:pPr>
        <w:ind w:left="4" w:right="140"/>
        <w:spacing w:after="0" w:line="283" w:lineRule="auto"/>
        <w:rPr>
          <w:sz w:val="20"/>
          <w:szCs w:val="20"/>
          <w:color w:val="auto"/>
        </w:rPr>
      </w:pPr>
      <w:r>
        <w:rPr>
          <w:rFonts w:ascii="Arial" w:cs="Arial" w:eastAsia="Arial" w:hAnsi="Arial"/>
          <w:sz w:val="13"/>
          <w:szCs w:val="13"/>
          <w:color w:val="auto"/>
        </w:rPr>
        <w:t>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 w:lineRule="exact"/>
        <w:rPr>
          <w:sz w:val="20"/>
          <w:szCs w:val="20"/>
          <w:color w:val="auto"/>
        </w:rPr>
      </w:pPr>
    </w:p>
    <w:p>
      <w:pPr>
        <w:ind w:left="4" w:right="420" w:firstLine="324"/>
        <w:spacing w:after="0" w:line="261"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b w:val="1"/>
          <w:bCs w:val="1"/>
          <w:color w:val="auto"/>
        </w:rPr>
        <w:t>Lessee as Prior Owner/Occupant</w:t>
      </w:r>
      <w:r>
        <w:rPr>
          <w:rFonts w:ascii="Arial" w:cs="Arial" w:eastAsia="Arial" w:hAnsi="Arial"/>
          <w:sz w:val="14"/>
          <w:szCs w:val="14"/>
          <w:color w:val="auto"/>
        </w:rPr>
        <w:t>. The warranties made by Lessor in Paragraph 2 shall be of no force or effect if immediately prior to the Start Date Lessee was the owner or occupant of the Premises. In such event, Lessee shall be responsible for any necessary corrective work.</w:t>
      </w:r>
    </w:p>
    <w:p>
      <w:pPr>
        <w:spacing w:after="0" w:line="1" w:lineRule="exact"/>
        <w:rPr>
          <w:sz w:val="20"/>
          <w:szCs w:val="20"/>
          <w:color w:val="auto"/>
        </w:rPr>
      </w:pPr>
    </w:p>
    <w:p>
      <w:pPr>
        <w:ind w:left="4" w:right="120" w:firstLine="324"/>
        <w:spacing w:after="0" w:line="278"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b w:val="1"/>
          <w:bCs w:val="1"/>
          <w:color w:val="auto"/>
        </w:rPr>
        <w:t>Vehicle Parking</w:t>
      </w:r>
      <w:r>
        <w:rPr>
          <w:rFonts w:ascii="Arial" w:cs="Arial" w:eastAsia="Arial" w:hAnsi="Arial"/>
          <w:sz w:val="13"/>
          <w:szCs w:val="13"/>
          <w:color w:val="auto"/>
        </w:rPr>
        <w:t>.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full-size passenger automobiles or pickup trucks, herein called "</w:t>
      </w:r>
      <w:r>
        <w:rPr>
          <w:rFonts w:ascii="Arial" w:cs="Arial" w:eastAsia="Arial" w:hAnsi="Arial"/>
          <w:sz w:val="13"/>
          <w:szCs w:val="13"/>
          <w:b w:val="1"/>
          <w:bCs w:val="1"/>
          <w:color w:val="auto"/>
        </w:rPr>
        <w:t>Permitted Size Vehicles</w:t>
      </w:r>
      <w:r>
        <w:rPr>
          <w:rFonts w:ascii="Arial" w:cs="Arial" w:eastAsia="Arial" w:hAnsi="Arial"/>
          <w:sz w:val="13"/>
          <w:szCs w:val="13"/>
          <w:color w:val="auto"/>
        </w:rPr>
        <w:t>." Lessor may regulate the loading and unloading of vehicles by adopting Rules and Regulations as provided in Paragraph 2.9. No vehicles other than Permitted Size Vehicles may be parked in the Common Area without the prior written permission of Lessor. In addition:</w:t>
      </w:r>
    </w:p>
    <w:p>
      <w:pPr>
        <w:spacing w:after="0" w:line="1" w:lineRule="exact"/>
        <w:rPr>
          <w:sz w:val="20"/>
          <w:szCs w:val="20"/>
          <w:color w:val="auto"/>
        </w:rPr>
      </w:pPr>
    </w:p>
    <w:p>
      <w:pPr>
        <w:ind w:left="4" w:right="1260" w:firstLine="1405"/>
        <w:spacing w:after="0" w:line="267" w:lineRule="auto"/>
        <w:tabs>
          <w:tab w:leader="none" w:pos="1609" w:val="left"/>
        </w:tabs>
        <w:numPr>
          <w:ilvl w:val="1"/>
          <w:numId w:val="60"/>
        </w:numPr>
        <w:rPr>
          <w:rFonts w:ascii="Arial" w:cs="Arial" w:eastAsia="Arial" w:hAnsi="Arial"/>
          <w:sz w:val="14"/>
          <w:szCs w:val="14"/>
          <w:color w:val="auto"/>
        </w:rPr>
      </w:pPr>
      <w:r>
        <w:rPr>
          <w:rFonts w:ascii="Arial" w:cs="Arial" w:eastAsia="Arial" w:hAnsi="Arial"/>
          <w:sz w:val="14"/>
          <w:szCs w:val="14"/>
          <w:color w:val="auto"/>
        </w:rPr>
        <w:t>Lessee shall not permit or allow any vehicles that belong to or are controlled by Lessee or Lessee's employees, suppliers, shippers, customers, contractors or invitees to be loaded, unloaded, or parked in areas other than those designated by Lessor for such activities. (b) Lessee shall not</w:t>
      </w:r>
    </w:p>
    <w:p>
      <w:pPr>
        <w:spacing w:after="0" w:line="1" w:lineRule="exact"/>
        <w:rPr>
          <w:rFonts w:ascii="Arial" w:cs="Arial" w:eastAsia="Arial" w:hAnsi="Arial"/>
          <w:sz w:val="14"/>
          <w:szCs w:val="14"/>
          <w:color w:val="auto"/>
        </w:rPr>
      </w:pPr>
    </w:p>
    <w:p>
      <w:pPr>
        <w:ind w:left="644"/>
        <w:spacing w:after="0"/>
        <w:rPr>
          <w:rFonts w:ascii="Arial" w:cs="Arial" w:eastAsia="Arial" w:hAnsi="Arial"/>
          <w:sz w:val="14"/>
          <w:szCs w:val="14"/>
          <w:color w:val="auto"/>
        </w:rPr>
      </w:pPr>
      <w:r>
        <w:rPr>
          <w:rFonts w:ascii="Arial" w:cs="Arial" w:eastAsia="Arial" w:hAnsi="Arial"/>
          <w:sz w:val="14"/>
          <w:szCs w:val="14"/>
          <w:color w:val="auto"/>
        </w:rPr>
        <w:t>service or store any vehicles in the Common Areas.</w:t>
      </w:r>
    </w:p>
    <w:p>
      <w:pPr>
        <w:spacing w:after="0" w:line="14" w:lineRule="exact"/>
        <w:rPr>
          <w:rFonts w:ascii="Arial" w:cs="Arial" w:eastAsia="Arial" w:hAnsi="Arial"/>
          <w:sz w:val="14"/>
          <w:szCs w:val="14"/>
          <w:color w:val="auto"/>
        </w:rPr>
      </w:pPr>
    </w:p>
    <w:p>
      <w:pPr>
        <w:ind w:left="4" w:right="160" w:firstLine="644"/>
        <w:spacing w:after="0" w:line="275" w:lineRule="auto"/>
        <w:tabs>
          <w:tab w:leader="none" w:pos="848" w:val="left"/>
        </w:tabs>
        <w:numPr>
          <w:ilvl w:val="0"/>
          <w:numId w:val="61"/>
        </w:numPr>
        <w:rPr>
          <w:rFonts w:ascii="Arial" w:cs="Arial" w:eastAsia="Arial" w:hAnsi="Arial"/>
          <w:sz w:val="13"/>
          <w:szCs w:val="13"/>
          <w:color w:val="auto"/>
        </w:rPr>
      </w:pPr>
      <w:r>
        <w:rPr>
          <w:rFonts w:ascii="Arial" w:cs="Arial" w:eastAsia="Arial" w:hAnsi="Arial"/>
          <w:sz w:val="13"/>
          <w:szCs w:val="13"/>
          <w:color w:val="auto"/>
        </w:rPr>
        <w:t>If Lessee permits or allows any of the prohibited activities described in this Paragraph 2.6, then Lessor shall have the right, without notice, in addition to such other rights and remedies that it may have, to remove or tow away the vehicle involved and charge the cost to Lessee, which cost shall be immediately payable upon demand by Lessor.</w:t>
      </w:r>
    </w:p>
    <w:p>
      <w:pPr>
        <w:ind w:left="324"/>
        <w:spacing w:after="0"/>
        <w:rPr>
          <w:rFonts w:ascii="Arial" w:cs="Arial" w:eastAsia="Arial" w:hAnsi="Arial"/>
          <w:sz w:val="13"/>
          <w:szCs w:val="13"/>
          <w:color w:val="auto"/>
        </w:rPr>
      </w:pPr>
      <w:r>
        <w:rPr>
          <w:rFonts w:ascii="Arial" w:cs="Arial" w:eastAsia="Arial" w:hAnsi="Arial"/>
          <w:sz w:val="14"/>
          <w:szCs w:val="14"/>
          <w:color w:val="auto"/>
        </w:rPr>
        <w:t xml:space="preserve">2.7 </w:t>
      </w:r>
      <w:r>
        <w:rPr>
          <w:rFonts w:ascii="Arial" w:cs="Arial" w:eastAsia="Arial" w:hAnsi="Arial"/>
          <w:sz w:val="14"/>
          <w:szCs w:val="14"/>
          <w:b w:val="1"/>
          <w:bCs w:val="1"/>
          <w:color w:val="auto"/>
        </w:rPr>
        <w:t>Common Areas - Definition</w:t>
      </w:r>
      <w:r>
        <w:rPr>
          <w:rFonts w:ascii="Arial" w:cs="Arial" w:eastAsia="Arial" w:hAnsi="Arial"/>
          <w:sz w:val="14"/>
          <w:szCs w:val="14"/>
          <w:color w:val="auto"/>
        </w:rPr>
        <w:t>. The term "</w:t>
      </w:r>
      <w:r>
        <w:rPr>
          <w:rFonts w:ascii="Arial" w:cs="Arial" w:eastAsia="Arial" w:hAnsi="Arial"/>
          <w:sz w:val="14"/>
          <w:szCs w:val="14"/>
          <w:b w:val="1"/>
          <w:bCs w:val="1"/>
          <w:color w:val="auto"/>
        </w:rPr>
        <w:t>Common Areas</w:t>
      </w:r>
      <w:r>
        <w:rPr>
          <w:rFonts w:ascii="Arial" w:cs="Arial" w:eastAsia="Arial" w:hAnsi="Arial"/>
          <w:sz w:val="14"/>
          <w:szCs w:val="14"/>
          <w:color w:val="auto"/>
        </w:rPr>
        <w:t>" is defined as all areas and facilities outside the Premises and within the exterior boundary line of</w:t>
      </w:r>
    </w:p>
    <w:p>
      <w:pPr>
        <w:spacing w:after="0" w:line="16" w:lineRule="exact"/>
        <w:rPr>
          <w:rFonts w:ascii="Arial" w:cs="Arial" w:eastAsia="Arial" w:hAnsi="Arial"/>
          <w:sz w:val="13"/>
          <w:szCs w:val="13"/>
          <w:color w:val="auto"/>
        </w:rPr>
      </w:pPr>
    </w:p>
    <w:p>
      <w:pPr>
        <w:ind w:left="4" w:right="180"/>
        <w:spacing w:after="0" w:line="260" w:lineRule="auto"/>
        <w:rPr>
          <w:rFonts w:ascii="Arial" w:cs="Arial" w:eastAsia="Arial" w:hAnsi="Arial"/>
          <w:sz w:val="13"/>
          <w:szCs w:val="13"/>
          <w:color w:val="auto"/>
        </w:rPr>
      </w:pPr>
      <w:r>
        <w:rPr>
          <w:rFonts w:ascii="Arial" w:cs="Arial" w:eastAsia="Arial" w:hAnsi="Arial"/>
          <w:sz w:val="14"/>
          <w:szCs w:val="14"/>
          <w:color w:val="auto"/>
        </w:rPr>
        <w:t>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roofs, roadways, walkways, driveways and landscaped areas.</w:t>
      </w:r>
    </w:p>
    <w:p>
      <w:pPr>
        <w:spacing w:after="0" w:line="1" w:lineRule="exact"/>
        <w:rPr>
          <w:rFonts w:ascii="Arial" w:cs="Arial" w:eastAsia="Arial" w:hAnsi="Arial"/>
          <w:sz w:val="13"/>
          <w:szCs w:val="13"/>
          <w:color w:val="auto"/>
        </w:rPr>
      </w:pPr>
    </w:p>
    <w:p>
      <w:pPr>
        <w:ind w:left="324"/>
        <w:spacing w:after="0"/>
        <w:rPr>
          <w:rFonts w:ascii="Arial" w:cs="Arial" w:eastAsia="Arial" w:hAnsi="Arial"/>
          <w:sz w:val="13"/>
          <w:szCs w:val="13"/>
          <w:color w:val="auto"/>
        </w:rPr>
      </w:pPr>
      <w:r>
        <w:rPr>
          <w:rFonts w:ascii="Arial" w:cs="Arial" w:eastAsia="Arial" w:hAnsi="Arial"/>
          <w:sz w:val="14"/>
          <w:szCs w:val="14"/>
          <w:color w:val="auto"/>
        </w:rPr>
        <w:t xml:space="preserve">2.8 </w:t>
      </w:r>
      <w:r>
        <w:rPr>
          <w:rFonts w:ascii="Arial" w:cs="Arial" w:eastAsia="Arial" w:hAnsi="Arial"/>
          <w:sz w:val="14"/>
          <w:szCs w:val="14"/>
          <w:b w:val="1"/>
          <w:bCs w:val="1"/>
          <w:color w:val="auto"/>
        </w:rPr>
        <w:t>Common Areas - Lessee's Rights</w:t>
      </w:r>
      <w:r>
        <w:rPr>
          <w:rFonts w:ascii="Arial" w:cs="Arial" w:eastAsia="Arial" w:hAnsi="Arial"/>
          <w:sz w:val="14"/>
          <w:szCs w:val="14"/>
          <w:color w:val="auto"/>
        </w:rPr>
        <w:t>. Lessor grants to Lessee, for the benefit of Lessee and its employees, suppliers, shippers, contractors, customers and</w:t>
      </w:r>
    </w:p>
    <w:p>
      <w:pPr>
        <w:spacing w:after="0" w:line="9" w:lineRule="exact"/>
        <w:rPr>
          <w:rFonts w:ascii="Arial" w:cs="Arial" w:eastAsia="Arial" w:hAnsi="Arial"/>
          <w:sz w:val="13"/>
          <w:szCs w:val="13"/>
          <w:color w:val="auto"/>
        </w:rPr>
      </w:pPr>
    </w:p>
    <w:p>
      <w:pPr>
        <w:ind w:left="4" w:right="20"/>
        <w:spacing w:after="0" w:line="259" w:lineRule="auto"/>
        <w:rPr>
          <w:rFonts w:ascii="Arial" w:cs="Arial" w:eastAsia="Arial" w:hAnsi="Arial"/>
          <w:sz w:val="13"/>
          <w:szCs w:val="13"/>
          <w:color w:val="auto"/>
        </w:rPr>
      </w:pPr>
      <w:r>
        <w:rPr>
          <w:rFonts w:ascii="Arial" w:cs="Arial" w:eastAsia="Arial" w:hAnsi="Arial"/>
          <w:sz w:val="14"/>
          <w:szCs w:val="14"/>
          <w:color w:val="auto"/>
        </w:rPr>
        <w:t>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2" w:lineRule="exact"/>
        <w:rPr>
          <w:rFonts w:ascii="Arial" w:cs="Arial" w:eastAsia="Arial" w:hAnsi="Arial"/>
          <w:sz w:val="13"/>
          <w:szCs w:val="13"/>
          <w:color w:val="auto"/>
        </w:rPr>
      </w:pPr>
    </w:p>
    <w:p>
      <w:pPr>
        <w:ind w:left="4" w:right="960" w:firstLine="1022"/>
        <w:spacing w:after="0" w:line="282" w:lineRule="auto"/>
        <w:rPr>
          <w:rFonts w:ascii="Arial" w:cs="Arial" w:eastAsia="Arial" w:hAnsi="Arial"/>
          <w:sz w:val="13"/>
          <w:szCs w:val="13"/>
          <w:color w:val="auto"/>
        </w:rPr>
      </w:pPr>
      <w:r>
        <w:rPr>
          <w:rFonts w:ascii="Arial" w:cs="Arial" w:eastAsia="Arial" w:hAnsi="Arial"/>
          <w:sz w:val="13"/>
          <w:szCs w:val="13"/>
          <w:color w:val="auto"/>
        </w:rPr>
        <w:t xml:space="preserve">2.9 </w:t>
      </w:r>
      <w:r>
        <w:rPr>
          <w:rFonts w:ascii="Arial" w:cs="Arial" w:eastAsia="Arial" w:hAnsi="Arial"/>
          <w:sz w:val="13"/>
          <w:szCs w:val="13"/>
          <w:b w:val="1"/>
          <w:bCs w:val="1"/>
          <w:color w:val="auto"/>
        </w:rPr>
        <w:t>Common Areas - Rules and Regulations</w:t>
      </w:r>
      <w:r>
        <w:rPr>
          <w:rFonts w:ascii="Arial" w:cs="Arial" w:eastAsia="Arial" w:hAnsi="Arial"/>
          <w:sz w:val="13"/>
          <w:szCs w:val="13"/>
          <w:color w:val="auto"/>
        </w:rPr>
        <w:t>. Lessor or such other person(s) as 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3"/>
          <w:szCs w:val="13"/>
          <w:b w:val="1"/>
          <w:bCs w:val="1"/>
          <w:color w:val="auto"/>
        </w:rPr>
        <w:t>Rules and Regulations</w:t>
      </w:r>
      <w:r>
        <w:rPr>
          <w:rFonts w:ascii="Arial" w:cs="Arial" w:eastAsia="Arial" w:hAnsi="Arial"/>
          <w:sz w:val="13"/>
          <w:szCs w:val="13"/>
          <w:color w:val="auto"/>
        </w:rPr>
        <w:t>") for</w:t>
      </w:r>
    </w:p>
    <w:p>
      <w:pPr>
        <w:spacing w:after="0" w:line="1" w:lineRule="exact"/>
        <w:rPr>
          <w:rFonts w:ascii="Arial" w:cs="Arial" w:eastAsia="Arial" w:hAnsi="Arial"/>
          <w:sz w:val="13"/>
          <w:szCs w:val="13"/>
          <w:color w:val="auto"/>
        </w:rPr>
      </w:pPr>
    </w:p>
    <w:p>
      <w:pPr>
        <w:ind w:left="4" w:right="240"/>
        <w:spacing w:after="0" w:line="266" w:lineRule="auto"/>
        <w:rPr>
          <w:rFonts w:ascii="Arial" w:cs="Arial" w:eastAsia="Arial" w:hAnsi="Arial"/>
          <w:sz w:val="13"/>
          <w:szCs w:val="13"/>
          <w:color w:val="auto"/>
        </w:rPr>
      </w:pPr>
      <w:r>
        <w:rPr>
          <w:rFonts w:ascii="Arial" w:cs="Arial" w:eastAsia="Arial" w:hAnsi="Arial"/>
          <w:sz w:val="14"/>
          <w:szCs w:val="14"/>
          <w:color w:val="auto"/>
        </w:rPr>
        <w:t>the management, safety, care, and cleanliness of the grounds, the parking and unloading of vehicles and the preservation of good order, as well as for the convenience of other occupants or tenants of the Building and the Project and their invitees. Lessee agrees to abide by and conform to all such Rules and Regulations, and shall</w:t>
      </w:r>
    </w:p>
    <w:p>
      <w:pPr>
        <w:ind w:left="4" w:right="240"/>
        <w:spacing w:after="0" w:line="255" w:lineRule="auto"/>
        <w:rPr>
          <w:rFonts w:ascii="Arial" w:cs="Arial" w:eastAsia="Arial" w:hAnsi="Arial"/>
          <w:sz w:val="13"/>
          <w:szCs w:val="13"/>
          <w:color w:val="auto"/>
        </w:rPr>
      </w:pPr>
      <w:r>
        <w:rPr>
          <w:rFonts w:ascii="Arial" w:cs="Arial" w:eastAsia="Arial" w:hAnsi="Arial"/>
          <w:sz w:val="14"/>
          <w:szCs w:val="14"/>
          <w:color w:val="auto"/>
        </w:rPr>
        <w:t>use its best efforts to cause its employees, suppliers, shippers, customers, contractors and invitees to so abide and conform. Lessor shall not be responsible to Lessee for the noncompliance with said Rules and Regulations by other tenants of the Project.</w:t>
      </w:r>
    </w:p>
    <w:p>
      <w:pPr>
        <w:ind w:left="324"/>
        <w:spacing w:after="0"/>
        <w:rPr>
          <w:rFonts w:ascii="Arial" w:cs="Arial" w:eastAsia="Arial" w:hAnsi="Arial"/>
          <w:sz w:val="13"/>
          <w:szCs w:val="13"/>
          <w:color w:val="auto"/>
        </w:rPr>
      </w:pPr>
      <w:r>
        <w:rPr>
          <w:rFonts w:ascii="Arial" w:cs="Arial" w:eastAsia="Arial" w:hAnsi="Arial"/>
          <w:sz w:val="14"/>
          <w:szCs w:val="14"/>
          <w:color w:val="auto"/>
        </w:rPr>
        <w:t xml:space="preserve">2.10 </w:t>
      </w:r>
      <w:r>
        <w:rPr>
          <w:rFonts w:ascii="Arial" w:cs="Arial" w:eastAsia="Arial" w:hAnsi="Arial"/>
          <w:sz w:val="14"/>
          <w:szCs w:val="14"/>
          <w:b w:val="1"/>
          <w:bCs w:val="1"/>
          <w:color w:val="auto"/>
        </w:rPr>
        <w:t>Common Areas - Changes</w:t>
      </w:r>
      <w:r>
        <w:rPr>
          <w:rFonts w:ascii="Arial" w:cs="Arial" w:eastAsia="Arial" w:hAnsi="Arial"/>
          <w:sz w:val="14"/>
          <w:szCs w:val="14"/>
          <w:color w:val="auto"/>
        </w:rPr>
        <w:t>. Lessor shall have the right, in Lessor's sole discretion, from time to time:</w:t>
      </w:r>
    </w:p>
    <w:p>
      <w:pPr>
        <w:spacing w:after="0" w:line="29" w:lineRule="exact"/>
        <w:rPr>
          <w:rFonts w:ascii="Arial" w:cs="Arial" w:eastAsia="Arial" w:hAnsi="Arial"/>
          <w:sz w:val="13"/>
          <w:szCs w:val="13"/>
          <w:color w:val="auto"/>
        </w:rPr>
      </w:pPr>
    </w:p>
    <w:p>
      <w:pPr>
        <w:ind w:left="4" w:right="520" w:firstLine="644"/>
        <w:spacing w:after="0" w:line="266" w:lineRule="auto"/>
        <w:tabs>
          <w:tab w:leader="none" w:pos="84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ind w:left="644" w:right="960" w:firstLine="4"/>
        <w:spacing w:after="0" w:line="255" w:lineRule="auto"/>
        <w:tabs>
          <w:tab w:leader="none" w:pos="848"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 close temporarily any of the Common Areas for maintenance purposes so long as reasonable access to the Premises remains available; (c) To designate other land outside the boundaries of the Project to be a part of the Common Areas;</w:t>
      </w:r>
    </w:p>
    <w:p>
      <w:pPr>
        <w:ind w:left="844" w:hanging="196"/>
        <w:spacing w:after="0"/>
        <w:tabs>
          <w:tab w:leader="none" w:pos="844"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add additional buildings and improvements to the Common Areas;</w:t>
      </w:r>
    </w:p>
    <w:p>
      <w:pPr>
        <w:spacing w:after="0" w:line="1" w:lineRule="exact"/>
        <w:rPr>
          <w:rFonts w:ascii="Arial" w:cs="Arial" w:eastAsia="Arial" w:hAnsi="Arial"/>
          <w:sz w:val="14"/>
          <w:szCs w:val="14"/>
          <w:color w:val="auto"/>
        </w:rPr>
      </w:pPr>
    </w:p>
    <w:p>
      <w:pPr>
        <w:ind w:left="1624" w:hanging="197"/>
        <w:spacing w:after="0"/>
        <w:tabs>
          <w:tab w:leader="none" w:pos="1624" w:val="left"/>
        </w:tabs>
        <w:numPr>
          <w:ilvl w:val="2"/>
          <w:numId w:val="63"/>
        </w:numPr>
        <w:rPr>
          <w:rFonts w:ascii="Arial" w:cs="Arial" w:eastAsia="Arial" w:hAnsi="Arial"/>
          <w:sz w:val="14"/>
          <w:szCs w:val="14"/>
          <w:color w:val="auto"/>
        </w:rPr>
      </w:pPr>
      <w:r>
        <w:rPr>
          <w:rFonts w:ascii="Arial" w:cs="Arial" w:eastAsia="Arial" w:hAnsi="Arial"/>
          <w:sz w:val="14"/>
          <w:szCs w:val="14"/>
          <w:color w:val="auto"/>
        </w:rPr>
        <w:t>To use the Common Areas while engaged in making additional improvements, repairs or alterations to the Project, or any portion thereof; and</w:t>
      </w:r>
    </w:p>
    <w:p>
      <w:pPr>
        <w:spacing w:after="0" w:line="16" w:lineRule="exact"/>
        <w:rPr>
          <w:sz w:val="20"/>
          <w:szCs w:val="20"/>
          <w:color w:val="auto"/>
        </w:rPr>
      </w:pPr>
    </w:p>
    <w:p>
      <w:pPr>
        <w:ind w:left="4" w:right="480" w:firstLine="644"/>
        <w:spacing w:after="0" w:line="293" w:lineRule="auto"/>
        <w:tabs>
          <w:tab w:leader="none" w:pos="832" w:val="left"/>
        </w:tabs>
        <w:numPr>
          <w:ilvl w:val="1"/>
          <w:numId w:val="64"/>
        </w:numPr>
        <w:rPr>
          <w:rFonts w:ascii="Arial" w:cs="Arial" w:eastAsia="Arial" w:hAnsi="Arial"/>
          <w:sz w:val="14"/>
          <w:szCs w:val="14"/>
          <w:color w:val="auto"/>
        </w:rPr>
      </w:pPr>
      <w:r>
        <w:rPr>
          <w:rFonts w:ascii="Arial" w:cs="Arial" w:eastAsia="Arial" w:hAnsi="Arial"/>
          <w:sz w:val="14"/>
          <w:szCs w:val="14"/>
          <w:color w:val="auto"/>
        </w:rPr>
        <w:t>To do and perform such other acts and make such other changes in, to or with respect to the Common Areas and Project as Lessor may, in the exercise of sound business judgment, deem to be appropriate.</w:t>
      </w:r>
    </w:p>
    <w:p>
      <w:pPr>
        <w:spacing w:after="0" w:line="183" w:lineRule="exact"/>
        <w:rPr>
          <w:rFonts w:ascii="Arial" w:cs="Arial" w:eastAsia="Arial" w:hAnsi="Arial"/>
          <w:sz w:val="14"/>
          <w:szCs w:val="14"/>
          <w:color w:val="auto"/>
        </w:rPr>
      </w:pPr>
    </w:p>
    <w:p>
      <w:pPr>
        <w:ind w:left="144" w:hanging="144"/>
        <w:spacing w:after="0"/>
        <w:tabs>
          <w:tab w:leader="none" w:pos="144"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Term.</w:t>
      </w:r>
    </w:p>
    <w:p>
      <w:pPr>
        <w:spacing w:after="0" w:line="25"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Term</w:t>
      </w:r>
      <w:r>
        <w:rPr>
          <w:rFonts w:ascii="Arial" w:cs="Arial" w:eastAsia="Arial" w:hAnsi="Arial"/>
          <w:sz w:val="14"/>
          <w:szCs w:val="14"/>
          <w:color w:val="auto"/>
        </w:rPr>
        <w:t>. The Commencement Date, Expiration Date and Original Term of this Lease are as specified in Paragraph 1.3.</w:t>
      </w:r>
    </w:p>
    <w:p>
      <w:pPr>
        <w:spacing w:after="0" w:line="17" w:lineRule="exact"/>
        <w:rPr>
          <w:sz w:val="20"/>
          <w:szCs w:val="20"/>
          <w:color w:val="auto"/>
        </w:rPr>
      </w:pPr>
    </w:p>
    <w:p>
      <w:pPr>
        <w:ind w:left="4" w:right="140" w:firstLine="324"/>
        <w:spacing w:after="0" w:line="262"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Early Possession</w:t>
      </w:r>
      <w:r>
        <w:rPr>
          <w:rFonts w:ascii="Arial" w:cs="Arial" w:eastAsia="Arial" w:hAnsi="Arial"/>
          <w:sz w:val="14"/>
          <w:szCs w:val="14"/>
          <w:color w:val="auto"/>
        </w:rPr>
        <w:t>.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Lessee's Share of Common Area Operating Expenses, Real Property Taxes and insurance premiums and to maintain the Premises) shall be in effect during such period. Any such Early Possession shall not affect the Expiration Date.</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color w:val="auto"/>
        </w:rPr>
        <w:t>Delay In Possession</w:t>
      </w:r>
      <w:r>
        <w:rPr>
          <w:rFonts w:ascii="Arial" w:cs="Arial" w:eastAsia="Arial" w:hAnsi="Arial"/>
          <w:sz w:val="14"/>
          <w:szCs w:val="14"/>
          <w:color w:val="auto"/>
        </w:rPr>
        <w:t>. Lessor agrees to use its best commercially reasonable efforts to deliver possession of the Premises to Lessee by the Commencement</w:t>
      </w:r>
    </w:p>
    <w:p>
      <w:pPr>
        <w:sectPr>
          <w:pgSz w:w="11900" w:h="16838" w:orient="portrait"/>
          <w:cols w:equalWidth="0" w:num="1">
            <w:col w:w="11024"/>
          </w:cols>
          <w:pgMar w:left="436" w:top="778" w:right="439" w:bottom="900" w:gutter="0" w:footer="0" w:header="0"/>
        </w:sectPr>
      </w:pPr>
    </w:p>
    <w:bookmarkStart w:id="141" w:name="page142"/>
    <w:bookmarkEnd w:id="141"/>
    <w:p>
      <w:pPr>
        <w:ind w:left="4" w:right="180"/>
        <w:spacing w:after="0" w:line="262" w:lineRule="auto"/>
        <w:rPr>
          <w:sz w:val="20"/>
          <w:szCs w:val="20"/>
          <w:color w:val="auto"/>
        </w:rPr>
      </w:pPr>
      <w:r>
        <w:rPr>
          <w:rFonts w:ascii="Arial" w:cs="Arial" w:eastAsia="Arial" w:hAnsi="Arial"/>
          <w:sz w:val="14"/>
          <w:szCs w:val="14"/>
          <w:color w:val="auto"/>
        </w:rPr>
        <w:t>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5" w:lineRule="exact"/>
        <w:rPr>
          <w:sz w:val="20"/>
          <w:szCs w:val="20"/>
          <w:color w:val="auto"/>
        </w:rPr>
      </w:pPr>
    </w:p>
    <w:p>
      <w:pPr>
        <w:ind w:left="4" w:right="260" w:firstLine="324"/>
        <w:spacing w:after="0" w:line="257"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color w:val="auto"/>
        </w:rPr>
        <w:t>Lessee Compliance</w:t>
      </w:r>
      <w:r>
        <w:rPr>
          <w:rFonts w:ascii="Arial" w:cs="Arial" w:eastAsia="Arial" w:hAnsi="Arial"/>
          <w:sz w:val="14"/>
          <w:szCs w:val="14"/>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w:t>
      </w:r>
    </w:p>
    <w:p>
      <w:pPr>
        <w:spacing w:after="0" w:line="1" w:lineRule="exact"/>
        <w:rPr>
          <w:sz w:val="20"/>
          <w:szCs w:val="20"/>
          <w:color w:val="auto"/>
        </w:rPr>
      </w:pPr>
    </w:p>
    <w:p>
      <w:pPr>
        <w:ind w:left="4" w:right="1460"/>
        <w:spacing w:after="0" w:line="275" w:lineRule="auto"/>
        <w:rPr>
          <w:sz w:val="20"/>
          <w:szCs w:val="20"/>
          <w:color w:val="auto"/>
        </w:rPr>
      </w:pPr>
      <w:r>
        <w:rPr>
          <w:rFonts w:ascii="Arial" w:cs="Arial" w:eastAsia="Arial" w:hAnsi="Arial"/>
          <w:sz w:val="14"/>
          <w:szCs w:val="14"/>
          <w:color w:val="auto"/>
        </w:rPr>
        <w:t>is required to perform any other conditions prior to or concurrent with the Start Date, the Start Date shall occur but Lessor may elect to withhold possession until such conditions are satisfied.</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4. Rent.</w:t>
      </w:r>
    </w:p>
    <w:p>
      <w:pPr>
        <w:spacing w:after="0" w:line="25"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Rent Defined</w:t>
      </w:r>
      <w:r>
        <w:rPr>
          <w:rFonts w:ascii="Arial" w:cs="Arial" w:eastAsia="Arial" w:hAnsi="Arial"/>
          <w:sz w:val="14"/>
          <w:szCs w:val="14"/>
          <w:color w:val="auto"/>
        </w:rPr>
        <w:t>. All monetary obligations of Lessee to Lessor under the terms of this Lease (except for the Security Deposit) are deemed to be rent ("</w:t>
      </w:r>
      <w:r>
        <w:rPr>
          <w:rFonts w:ascii="Arial" w:cs="Arial" w:eastAsia="Arial" w:hAnsi="Arial"/>
          <w:sz w:val="14"/>
          <w:szCs w:val="14"/>
          <w:b w:val="1"/>
          <w:bCs w:val="1"/>
          <w:color w:val="auto"/>
        </w:rPr>
        <w:t>Rent</w:t>
      </w:r>
      <w:r>
        <w:rPr>
          <w:rFonts w:ascii="Arial" w:cs="Arial" w:eastAsia="Arial" w:hAnsi="Arial"/>
          <w:sz w:val="14"/>
          <w:szCs w:val="14"/>
          <w:color w:val="auto"/>
        </w:rPr>
        <w:t>").</w:t>
      </w:r>
    </w:p>
    <w:p>
      <w:pPr>
        <w:spacing w:after="0" w:line="15" w:lineRule="exact"/>
        <w:rPr>
          <w:sz w:val="20"/>
          <w:szCs w:val="20"/>
          <w:color w:val="auto"/>
        </w:rPr>
      </w:pPr>
    </w:p>
    <w:p>
      <w:pPr>
        <w:ind w:left="4" w:right="120" w:firstLine="324"/>
        <w:spacing w:after="0" w:line="261"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Common Area Operating Expenses</w:t>
      </w:r>
      <w:r>
        <w:rPr>
          <w:rFonts w:ascii="Arial" w:cs="Arial" w:eastAsia="Arial" w:hAnsi="Arial"/>
          <w:sz w:val="14"/>
          <w:szCs w:val="14"/>
          <w:color w:val="auto"/>
        </w:rPr>
        <w:t>. Lessee shall pay to Lessor during the term hereof, in addition to the Base Rent, Lessee's Share (as specified in Paragraph 1.6) of all Common Area Operating Expenses, as hereinafter defined, during each calendar year of the term of this Lease, in accordance with the following provisions:</w:t>
      </w:r>
    </w:p>
    <w:p>
      <w:pPr>
        <w:spacing w:after="0" w:line="1" w:lineRule="exact"/>
        <w:rPr>
          <w:sz w:val="20"/>
          <w:szCs w:val="20"/>
          <w:color w:val="auto"/>
        </w:rPr>
      </w:pPr>
    </w:p>
    <w:p>
      <w:pPr>
        <w:ind w:left="4" w:right="760" w:firstLine="644"/>
        <w:spacing w:after="0" w:line="255" w:lineRule="auto"/>
        <w:tabs>
          <w:tab w:leader="none" w:pos="848" w:val="left"/>
        </w:tabs>
        <w:numPr>
          <w:ilvl w:val="0"/>
          <w:numId w:val="6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Area Operating Expenses</w:t>
      </w:r>
      <w:r>
        <w:rPr>
          <w:rFonts w:ascii="Arial" w:cs="Arial" w:eastAsia="Arial" w:hAnsi="Arial"/>
          <w:sz w:val="14"/>
          <w:szCs w:val="14"/>
          <w:color w:val="auto"/>
        </w:rPr>
        <w:t>" are defined, for purposes of this Lease, as all costs relating to the ownership and operation of the Project, including, but not limited to, the following:</w:t>
      </w:r>
    </w:p>
    <w:p>
      <w:pPr>
        <w:ind w:left="1144" w:hanging="172"/>
        <w:spacing w:after="0"/>
        <w:tabs>
          <w:tab w:leader="none" w:pos="1144"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operation, repair and maintenance, in neat, clean, good order and condition , and if necessary the replacement, of the following:</w:t>
      </w:r>
    </w:p>
    <w:p>
      <w:pPr>
        <w:spacing w:after="0" w:line="16" w:lineRule="exact"/>
        <w:rPr>
          <w:rFonts w:ascii="Arial" w:cs="Arial" w:eastAsia="Arial" w:hAnsi="Arial"/>
          <w:sz w:val="14"/>
          <w:szCs w:val="14"/>
          <w:color w:val="auto"/>
        </w:rPr>
      </w:pPr>
    </w:p>
    <w:p>
      <w:pPr>
        <w:ind w:left="4" w:right="460" w:firstLine="1292"/>
        <w:spacing w:after="0" w:line="268" w:lineRule="auto"/>
        <w:tabs>
          <w:tab w:leader="none" w:pos="1559" w:val="left"/>
        </w:tabs>
        <w:numPr>
          <w:ilvl w:val="2"/>
          <w:numId w:val="66"/>
        </w:numPr>
        <w:rPr>
          <w:rFonts w:ascii="Arial" w:cs="Arial" w:eastAsia="Arial" w:hAnsi="Arial"/>
          <w:sz w:val="14"/>
          <w:szCs w:val="14"/>
          <w:color w:val="auto"/>
        </w:rPr>
      </w:pPr>
      <w:r>
        <w:rPr>
          <w:rFonts w:ascii="Arial" w:cs="Arial" w:eastAsia="Arial" w:hAnsi="Arial"/>
          <w:sz w:val="14"/>
          <w:szCs w:val="14"/>
          <w:color w:val="auto"/>
        </w:rPr>
        <w:t>The Common Areas and Common Area improvements, including parking areas, loading and unloading areas, trash areas, roadways, parkways, walkways, driveways, landscaped areas, bumpers, irrigation systems, Common Area lighting facilities, fences and gates, elevators, roofs, exterior walls of the buildings, building systems and roof drainage systems.</w:t>
      </w:r>
    </w:p>
    <w:p>
      <w:pPr>
        <w:ind w:left="1564" w:hanging="268"/>
        <w:spacing w:after="0"/>
        <w:tabs>
          <w:tab w:leader="none" w:pos="1564" w:val="left"/>
        </w:tabs>
        <w:numPr>
          <w:ilvl w:val="2"/>
          <w:numId w:val="66"/>
        </w:numPr>
        <w:rPr>
          <w:rFonts w:ascii="Arial" w:cs="Arial" w:eastAsia="Arial" w:hAnsi="Arial"/>
          <w:sz w:val="14"/>
          <w:szCs w:val="14"/>
          <w:color w:val="auto"/>
        </w:rPr>
      </w:pPr>
      <w:r>
        <w:rPr>
          <w:rFonts w:ascii="Arial" w:cs="Arial" w:eastAsia="Arial" w:hAnsi="Arial"/>
          <w:sz w:val="14"/>
          <w:szCs w:val="14"/>
          <w:color w:val="auto"/>
        </w:rPr>
        <w:t>Exterior signs and any tenant directories. (cc) Any fire sprinkler</w:t>
      </w:r>
    </w:p>
    <w:p>
      <w:pPr>
        <w:spacing w:after="0" w:line="21" w:lineRule="exact"/>
        <w:rPr>
          <w:sz w:val="20"/>
          <w:szCs w:val="20"/>
          <w:color w:val="auto"/>
        </w:rPr>
      </w:pPr>
    </w:p>
    <w:p>
      <w:pPr>
        <w:ind w:left="1304"/>
        <w:spacing w:after="0"/>
        <w:rPr>
          <w:sz w:val="20"/>
          <w:szCs w:val="20"/>
          <w:color w:val="auto"/>
        </w:rPr>
      </w:pPr>
      <w:r>
        <w:rPr>
          <w:rFonts w:ascii="Arial" w:cs="Arial" w:eastAsia="Arial" w:hAnsi="Arial"/>
          <w:sz w:val="14"/>
          <w:szCs w:val="14"/>
          <w:color w:val="auto"/>
        </w:rPr>
        <w:t>systems.</w:t>
      </w:r>
    </w:p>
    <w:p>
      <w:pPr>
        <w:spacing w:after="0" w:line="6" w:lineRule="exact"/>
        <w:rPr>
          <w:sz w:val="20"/>
          <w:szCs w:val="20"/>
          <w:color w:val="auto"/>
        </w:rPr>
      </w:pPr>
    </w:p>
    <w:p>
      <w:pPr>
        <w:ind w:left="4" w:right="1880" w:firstLine="1292"/>
        <w:spacing w:after="0" w:line="251" w:lineRule="auto"/>
        <w:tabs>
          <w:tab w:leader="none" w:pos="1576" w:val="left"/>
        </w:tabs>
        <w:numPr>
          <w:ilvl w:val="1"/>
          <w:numId w:val="67"/>
        </w:numPr>
        <w:rPr>
          <w:rFonts w:ascii="Arial" w:cs="Arial" w:eastAsia="Arial" w:hAnsi="Arial"/>
          <w:sz w:val="14"/>
          <w:szCs w:val="14"/>
          <w:color w:val="auto"/>
        </w:rPr>
      </w:pPr>
      <w:r>
        <w:rPr>
          <w:rFonts w:ascii="Arial" w:cs="Arial" w:eastAsia="Arial" w:hAnsi="Arial"/>
          <w:sz w:val="14"/>
          <w:szCs w:val="14"/>
          <w:color w:val="auto"/>
        </w:rPr>
        <w:t>All other areas and improvements that are within the exterior boundaries of the Project but outside of the Premises and/or any other space occupied by a tenant.</w:t>
      </w:r>
    </w:p>
    <w:p>
      <w:pPr>
        <w:ind w:left="1184" w:hanging="212"/>
        <w:spacing w:after="0"/>
        <w:tabs>
          <w:tab w:leader="none" w:pos="1184"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cost of water, gas, electricity and telephone to service the Common Areas and any utilities not separately metered.</w:t>
      </w:r>
    </w:p>
    <w:p>
      <w:pPr>
        <w:spacing w:after="0" w:line="16" w:lineRule="exact"/>
        <w:rPr>
          <w:rFonts w:ascii="Arial" w:cs="Arial" w:eastAsia="Arial" w:hAnsi="Arial"/>
          <w:sz w:val="14"/>
          <w:szCs w:val="14"/>
          <w:color w:val="auto"/>
        </w:rPr>
      </w:pPr>
    </w:p>
    <w:p>
      <w:pPr>
        <w:ind w:left="4" w:right="540" w:firstLine="968"/>
        <w:spacing w:after="0" w:line="266" w:lineRule="auto"/>
        <w:tabs>
          <w:tab w:leader="none" w:pos="1228"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cost of trash disposal, pest control services, property management, security services, owners' association dues and fees, the cost to repaint the exterior of any structures and the cost of any environmental inspections.</w:t>
      </w:r>
    </w:p>
    <w:p>
      <w:pPr>
        <w:ind w:left="1224" w:hanging="252"/>
        <w:spacing w:after="0"/>
        <w:tabs>
          <w:tab w:leader="none" w:pos="1224"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Reserves set aside for maintenance, repair and/or replacement of Common Area improvements and equipment.</w:t>
      </w:r>
    </w:p>
    <w:p>
      <w:pPr>
        <w:spacing w:after="0" w:line="14" w:lineRule="exact"/>
        <w:rPr>
          <w:rFonts w:ascii="Arial" w:cs="Arial" w:eastAsia="Arial" w:hAnsi="Arial"/>
          <w:sz w:val="14"/>
          <w:szCs w:val="14"/>
          <w:color w:val="auto"/>
        </w:rPr>
      </w:pPr>
    </w:p>
    <w:p>
      <w:pPr>
        <w:ind w:left="1184" w:hanging="212"/>
        <w:spacing w:after="0"/>
        <w:tabs>
          <w:tab w:leader="none" w:pos="1184"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Real Property Taxes (as defined in Paragraph 10).</w:t>
      </w:r>
    </w:p>
    <w:p>
      <w:pPr>
        <w:spacing w:after="0" w:line="14" w:lineRule="exact"/>
        <w:rPr>
          <w:rFonts w:ascii="Arial" w:cs="Arial" w:eastAsia="Arial" w:hAnsi="Arial"/>
          <w:sz w:val="14"/>
          <w:szCs w:val="14"/>
          <w:color w:val="auto"/>
        </w:rPr>
      </w:pPr>
    </w:p>
    <w:p>
      <w:pPr>
        <w:ind w:left="1224" w:hanging="252"/>
        <w:spacing w:after="0"/>
        <w:tabs>
          <w:tab w:leader="none" w:pos="1224"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cost of the premiums for the insurance maintained by Lessor pursuant to Paragraph 8. (vii) Any deductible</w:t>
      </w:r>
    </w:p>
    <w:p>
      <w:pPr>
        <w:spacing w:after="0" w:line="15" w:lineRule="exact"/>
        <w:rPr>
          <w:sz w:val="20"/>
          <w:szCs w:val="20"/>
          <w:color w:val="auto"/>
        </w:rPr>
      </w:pPr>
    </w:p>
    <w:p>
      <w:pPr>
        <w:ind w:left="964"/>
        <w:spacing w:after="0"/>
        <w:rPr>
          <w:sz w:val="20"/>
          <w:szCs w:val="20"/>
          <w:color w:val="auto"/>
        </w:rPr>
      </w:pPr>
      <w:r>
        <w:rPr>
          <w:rFonts w:ascii="Arial" w:cs="Arial" w:eastAsia="Arial" w:hAnsi="Arial"/>
          <w:sz w:val="14"/>
          <w:szCs w:val="14"/>
          <w:color w:val="auto"/>
        </w:rPr>
        <w:t>portion of an insured loss concerning the Building or the Common Areas.</w:t>
      </w:r>
    </w:p>
    <w:p>
      <w:pPr>
        <w:spacing w:after="0" w:line="6" w:lineRule="exact"/>
        <w:rPr>
          <w:sz w:val="20"/>
          <w:szCs w:val="20"/>
          <w:color w:val="auto"/>
        </w:rPr>
      </w:pPr>
    </w:p>
    <w:p>
      <w:pPr>
        <w:ind w:left="1304" w:hanging="332"/>
        <w:spacing w:after="0"/>
        <w:tabs>
          <w:tab w:leader="none" w:pos="1304" w:val="left"/>
        </w:tabs>
        <w:numPr>
          <w:ilvl w:val="2"/>
          <w:numId w:val="69"/>
        </w:numPr>
        <w:rPr>
          <w:rFonts w:ascii="Arial" w:cs="Arial" w:eastAsia="Arial" w:hAnsi="Arial"/>
          <w:sz w:val="14"/>
          <w:szCs w:val="14"/>
          <w:color w:val="auto"/>
        </w:rPr>
      </w:pPr>
      <w:r>
        <w:rPr>
          <w:rFonts w:ascii="Arial" w:cs="Arial" w:eastAsia="Arial" w:hAnsi="Arial"/>
          <w:sz w:val="14"/>
          <w:szCs w:val="14"/>
          <w:color w:val="auto"/>
        </w:rPr>
        <w:t>Auditors', accountants' and attorneys' fees and costs related to the operation, maintenance, repair and replacement of the Project.</w:t>
      </w:r>
    </w:p>
    <w:p>
      <w:pPr>
        <w:spacing w:after="0" w:line="16" w:lineRule="exact"/>
        <w:rPr>
          <w:rFonts w:ascii="Arial" w:cs="Arial" w:eastAsia="Arial" w:hAnsi="Arial"/>
          <w:sz w:val="14"/>
          <w:szCs w:val="14"/>
          <w:color w:val="auto"/>
        </w:rPr>
      </w:pPr>
    </w:p>
    <w:p>
      <w:pPr>
        <w:jc w:val="both"/>
        <w:ind w:left="4" w:right="160" w:firstLine="968"/>
        <w:spacing w:after="0" w:line="260" w:lineRule="auto"/>
        <w:tabs>
          <w:tab w:leader="none" w:pos="1220" w:val="left"/>
        </w:tabs>
        <w:numPr>
          <w:ilvl w:val="2"/>
          <w:numId w:val="69"/>
        </w:numPr>
        <w:rPr>
          <w:rFonts w:ascii="Arial" w:cs="Arial" w:eastAsia="Arial" w:hAnsi="Arial"/>
          <w:sz w:val="14"/>
          <w:szCs w:val="14"/>
          <w:color w:val="auto"/>
        </w:rPr>
      </w:pPr>
      <w:r>
        <w:rPr>
          <w:rFonts w:ascii="Arial" w:cs="Arial" w:eastAsia="Arial" w:hAnsi="Arial"/>
          <w:sz w:val="14"/>
          <w:szCs w:val="14"/>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 Lessee shall pay Interest on the unamortized balance but may prepay its obligation at any time.</w:t>
      </w:r>
    </w:p>
    <w:p>
      <w:pPr>
        <w:spacing w:after="0" w:line="1" w:lineRule="exact"/>
        <w:rPr>
          <w:rFonts w:ascii="Arial" w:cs="Arial" w:eastAsia="Arial" w:hAnsi="Arial"/>
          <w:sz w:val="14"/>
          <w:szCs w:val="14"/>
          <w:color w:val="auto"/>
        </w:rPr>
      </w:pPr>
    </w:p>
    <w:p>
      <w:pPr>
        <w:ind w:left="1184" w:hanging="212"/>
        <w:spacing w:after="0"/>
        <w:tabs>
          <w:tab w:leader="none" w:pos="1184" w:val="left"/>
        </w:tabs>
        <w:numPr>
          <w:ilvl w:val="2"/>
          <w:numId w:val="69"/>
        </w:numPr>
        <w:rPr>
          <w:rFonts w:ascii="Arial" w:cs="Arial" w:eastAsia="Arial" w:hAnsi="Arial"/>
          <w:sz w:val="14"/>
          <w:szCs w:val="14"/>
          <w:color w:val="auto"/>
        </w:rPr>
      </w:pPr>
      <w:r>
        <w:rPr>
          <w:rFonts w:ascii="Arial" w:cs="Arial" w:eastAsia="Arial" w:hAnsi="Arial"/>
          <w:sz w:val="14"/>
          <w:szCs w:val="14"/>
          <w:color w:val="auto"/>
        </w:rPr>
        <w:t>The cost of any other services to be provided by Lessor that are stated elsewhere in this Lease to be a Common Area Operating Expense.</w:t>
      </w:r>
    </w:p>
    <w:p>
      <w:pPr>
        <w:spacing w:after="0" w:line="16" w:lineRule="exact"/>
        <w:rPr>
          <w:rFonts w:ascii="Arial" w:cs="Arial" w:eastAsia="Arial" w:hAnsi="Arial"/>
          <w:sz w:val="14"/>
          <w:szCs w:val="14"/>
          <w:color w:val="auto"/>
        </w:rPr>
      </w:pPr>
    </w:p>
    <w:p>
      <w:pPr>
        <w:ind w:left="4" w:right="240" w:firstLine="644"/>
        <w:spacing w:after="0" w:line="264" w:lineRule="auto"/>
        <w:tabs>
          <w:tab w:leader="none" w:pos="856" w:val="left"/>
        </w:tabs>
        <w:numPr>
          <w:ilvl w:val="1"/>
          <w:numId w:val="70"/>
        </w:numPr>
        <w:rPr>
          <w:rFonts w:ascii="Arial" w:cs="Arial" w:eastAsia="Arial" w:hAnsi="Arial"/>
          <w:sz w:val="14"/>
          <w:szCs w:val="14"/>
          <w:color w:val="auto"/>
        </w:rPr>
      </w:pPr>
      <w:r>
        <w:rPr>
          <w:rFonts w:ascii="Arial" w:cs="Arial" w:eastAsia="Arial" w:hAnsi="Arial"/>
          <w:sz w:val="14"/>
          <w:szCs w:val="14"/>
          <w:color w:val="auto"/>
        </w:rPr>
        <w:t>Any Common Area Operating Expenses and Real Property Taxes that are specifically attributable to the Unit, the Building or to any other building in the Project or to the operation, repair and maintenance thereof, shall be allocated entirely to such Unit, Building, or other building. However, any Common Area Operating Expenses and Real Property Taxes that are not specifically attributable to the Building or to any other building or to the operation, repair and maintenance thereof, shall be equitably allocated by Lessor to all buildings in the Project.</w:t>
      </w:r>
    </w:p>
    <w:p>
      <w:pPr>
        <w:ind w:left="4" w:right="200" w:firstLine="644"/>
        <w:spacing w:after="0" w:line="264" w:lineRule="auto"/>
        <w:tabs>
          <w:tab w:leader="none" w:pos="848" w:val="left"/>
        </w:tabs>
        <w:numPr>
          <w:ilvl w:val="1"/>
          <w:numId w:val="70"/>
        </w:numPr>
        <w:rPr>
          <w:rFonts w:ascii="Arial" w:cs="Arial" w:eastAsia="Arial" w:hAnsi="Arial"/>
          <w:sz w:val="14"/>
          <w:szCs w:val="14"/>
          <w:color w:val="auto"/>
        </w:rPr>
      </w:pPr>
      <w:r>
        <w:rPr>
          <w:rFonts w:ascii="Arial" w:cs="Arial" w:eastAsia="Arial" w:hAnsi="Arial"/>
          <w:sz w:val="14"/>
          <w:szCs w:val="14"/>
          <w:color w:val="auto"/>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 w:lineRule="exact"/>
        <w:rPr>
          <w:rFonts w:ascii="Arial" w:cs="Arial" w:eastAsia="Arial" w:hAnsi="Arial"/>
          <w:sz w:val="14"/>
          <w:szCs w:val="14"/>
          <w:color w:val="auto"/>
        </w:rPr>
      </w:pPr>
    </w:p>
    <w:p>
      <w:pPr>
        <w:ind w:left="4" w:right="140" w:firstLine="644"/>
        <w:spacing w:after="0" w:line="263" w:lineRule="auto"/>
        <w:tabs>
          <w:tab w:leader="none" w:pos="856" w:val="left"/>
        </w:tabs>
        <w:numPr>
          <w:ilvl w:val="1"/>
          <w:numId w:val="70"/>
        </w:numPr>
        <w:rPr>
          <w:rFonts w:ascii="Arial" w:cs="Arial" w:eastAsia="Arial" w:hAnsi="Arial"/>
          <w:sz w:val="14"/>
          <w:szCs w:val="14"/>
          <w:color w:val="auto"/>
        </w:rPr>
      </w:pPr>
      <w:r>
        <w:rPr>
          <w:rFonts w:ascii="Arial" w:cs="Arial" w:eastAsia="Arial" w:hAnsi="Arial"/>
          <w:sz w:val="14"/>
          <w:szCs w:val="14"/>
          <w:color w:val="auto"/>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for the preceding year. If Lessee's payments during such year exceed Lessee's Share, Lessor shall credit the amount of such over-payment against Lessee's future payments. If Lessee's payments during such year were less than Lessee's Share, Lessee shall pay to Lessor the amount of the deficiency within 10 days after delivery by Lessor to Lessee of the statement.</w:t>
      </w:r>
    </w:p>
    <w:p>
      <w:pPr>
        <w:spacing w:after="0" w:line="2" w:lineRule="exact"/>
        <w:rPr>
          <w:rFonts w:ascii="Arial" w:cs="Arial" w:eastAsia="Arial" w:hAnsi="Arial"/>
          <w:sz w:val="14"/>
          <w:szCs w:val="14"/>
          <w:color w:val="auto"/>
        </w:rPr>
      </w:pPr>
    </w:p>
    <w:p>
      <w:pPr>
        <w:ind w:left="4" w:right="460" w:firstLine="644"/>
        <w:spacing w:after="0" w:line="261" w:lineRule="auto"/>
        <w:tabs>
          <w:tab w:leader="none" w:pos="848" w:val="left"/>
        </w:tabs>
        <w:numPr>
          <w:ilvl w:val="1"/>
          <w:numId w:val="70"/>
        </w:numPr>
        <w:rPr>
          <w:rFonts w:ascii="Arial" w:cs="Arial" w:eastAsia="Arial" w:hAnsi="Arial"/>
          <w:sz w:val="14"/>
          <w:szCs w:val="14"/>
          <w:color w:val="auto"/>
        </w:rPr>
      </w:pPr>
      <w:r>
        <w:rPr>
          <w:rFonts w:ascii="Arial" w:cs="Arial" w:eastAsia="Arial" w:hAnsi="Arial"/>
          <w:sz w:val="14"/>
          <w:szCs w:val="14"/>
          <w:color w:val="auto"/>
        </w:rPr>
        <w:t>Common Area Operating Expenses shall not include any expenses paid by any tenant directly to third parties, or as to which Lessor is otherwise reimbursed by any third party, other tenant, or insurance proceeds.</w:t>
      </w:r>
    </w:p>
    <w:p>
      <w:pPr>
        <w:ind w:left="4" w:right="60" w:firstLine="324"/>
        <w:spacing w:after="0" w:line="259" w:lineRule="auto"/>
        <w:rPr>
          <w:rFonts w:ascii="Arial" w:cs="Arial" w:eastAsia="Arial" w:hAnsi="Arial"/>
          <w:sz w:val="14"/>
          <w:szCs w:val="14"/>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Payment</w:t>
      </w:r>
      <w:r>
        <w:rPr>
          <w:rFonts w:ascii="Arial" w:cs="Arial" w:eastAsia="Arial" w:hAnsi="Arial"/>
          <w:sz w:val="14"/>
          <w:szCs w:val="14"/>
          <w:color w:val="auto"/>
        </w:rPr>
        <w:t>.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w:t>
      </w:r>
    </w:p>
    <w:p>
      <w:pPr>
        <w:spacing w:after="0" w:line="4"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the sum of $25 in addition to any Late Charge and Lessor, at its option, may require all future Rent be paid by cashier's check. Payments will be applied first to accrued</w:t>
      </w:r>
    </w:p>
    <w:p>
      <w:pPr>
        <w:spacing w:after="0" w:line="9" w:lineRule="exact"/>
        <w:rPr>
          <w:rFonts w:ascii="Arial" w:cs="Arial" w:eastAsia="Arial" w:hAnsi="Arial"/>
          <w:sz w:val="14"/>
          <w:szCs w:val="14"/>
          <w:color w:val="auto"/>
        </w:rPr>
      </w:pPr>
    </w:p>
    <w:p>
      <w:pPr>
        <w:ind w:left="4" w:right="600"/>
        <w:spacing w:after="0" w:line="283" w:lineRule="auto"/>
        <w:rPr>
          <w:rFonts w:ascii="Arial" w:cs="Arial" w:eastAsia="Arial" w:hAnsi="Arial"/>
          <w:sz w:val="14"/>
          <w:szCs w:val="14"/>
          <w:color w:val="auto"/>
        </w:rPr>
      </w:pPr>
      <w:r>
        <w:rPr>
          <w:rFonts w:ascii="Arial" w:cs="Arial" w:eastAsia="Arial" w:hAnsi="Arial"/>
          <w:sz w:val="14"/>
          <w:szCs w:val="14"/>
          <w:color w:val="auto"/>
        </w:rPr>
        <w:t>late charges and attorney's fees, second to accrued interest, then to Base Rent and Common Area Operating Expenses, and any remaining amount to any other outstanding charges or costs.</w:t>
      </w:r>
    </w:p>
    <w:p>
      <w:pPr>
        <w:spacing w:after="0" w:line="203" w:lineRule="exact"/>
        <w:rPr>
          <w:rFonts w:ascii="Arial" w:cs="Arial" w:eastAsia="Arial" w:hAnsi="Arial"/>
          <w:sz w:val="14"/>
          <w:szCs w:val="14"/>
          <w:color w:val="auto"/>
        </w:rPr>
      </w:pPr>
    </w:p>
    <w:p>
      <w:pPr>
        <w:ind w:left="4" w:right="80" w:hanging="4"/>
        <w:spacing w:after="0" w:line="282" w:lineRule="auto"/>
        <w:tabs>
          <w:tab w:leader="none" w:pos="148"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Security Deposit. </w:t>
      </w:r>
      <w:r>
        <w:rPr>
          <w:rFonts w:ascii="Arial" w:cs="Arial" w:eastAsia="Arial" w:hAnsi="Arial"/>
          <w:sz w:val="13"/>
          <w:szCs w:val="13"/>
          <w:color w:val="auto"/>
        </w:rPr>
        <w:t>Lessee shall deposit with Lessor upon execution hereof the Security Deposit as security for Lessee's faithful performance of its obligations under this Lease. If Lessee</w:t>
      </w:r>
      <w:r>
        <w:rPr>
          <w:rFonts w:ascii="Arial" w:cs="Arial" w:eastAsia="Arial" w:hAnsi="Arial"/>
          <w:sz w:val="13"/>
          <w:szCs w:val="13"/>
          <w:b w:val="1"/>
          <w:bCs w:val="1"/>
          <w:color w:val="auto"/>
        </w:rPr>
        <w:t xml:space="preserve"> </w:t>
      </w:r>
      <w:r>
        <w:rPr>
          <w:rFonts w:ascii="Arial" w:cs="Arial" w:eastAsia="Arial" w:hAnsi="Arial"/>
          <w:sz w:val="13"/>
          <w:szCs w:val="13"/>
          <w:color w:val="auto"/>
        </w:rPr>
        <w:t>fails to pay Rent, or otherwise 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w:t>
      </w:r>
    </w:p>
    <w:p>
      <w:pPr>
        <w:spacing w:after="0" w:line="1" w:lineRule="exact"/>
        <w:rPr>
          <w:rFonts w:ascii="Arial" w:cs="Arial" w:eastAsia="Arial" w:hAnsi="Arial"/>
          <w:sz w:val="13"/>
          <w:szCs w:val="13"/>
          <w:b w:val="1"/>
          <w:bCs w:val="1"/>
          <w:color w:val="auto"/>
        </w:rPr>
      </w:pPr>
    </w:p>
    <w:p>
      <w:pPr>
        <w:ind w:left="4"/>
        <w:spacing w:after="0"/>
        <w:rPr>
          <w:rFonts w:ascii="Arial" w:cs="Arial" w:eastAsia="Arial" w:hAnsi="Arial"/>
          <w:sz w:val="13"/>
          <w:szCs w:val="13"/>
          <w:b w:val="1"/>
          <w:bCs w:val="1"/>
          <w:color w:val="auto"/>
        </w:rPr>
      </w:pPr>
      <w:r>
        <w:rPr>
          <w:rFonts w:ascii="Arial" w:cs="Arial" w:eastAsia="Arial" w:hAnsi="Arial"/>
          <w:sz w:val="14"/>
          <w:szCs w:val="14"/>
          <w:color w:val="auto"/>
        </w:rPr>
        <w:t>control of Lessee occurs during this Lease and following such change the financial condition of Lessee is, in Lessor's reasonable judgment, significantly reduced, Lessee</w:t>
      </w:r>
    </w:p>
    <w:p>
      <w:pPr>
        <w:spacing w:after="0" w:line="16" w:lineRule="exact"/>
        <w:rPr>
          <w:rFonts w:ascii="Arial" w:cs="Arial" w:eastAsia="Arial" w:hAnsi="Arial"/>
          <w:sz w:val="13"/>
          <w:szCs w:val="13"/>
          <w:b w:val="1"/>
          <w:bCs w:val="1"/>
          <w:color w:val="auto"/>
        </w:rPr>
      </w:pPr>
    </w:p>
    <w:p>
      <w:pPr>
        <w:ind w:left="4" w:right="60"/>
        <w:spacing w:after="0" w:line="269" w:lineRule="auto"/>
        <w:rPr>
          <w:rFonts w:ascii="Arial" w:cs="Arial" w:eastAsia="Arial" w:hAnsi="Arial"/>
          <w:sz w:val="13"/>
          <w:szCs w:val="13"/>
          <w:b w:val="1"/>
          <w:bCs w:val="1"/>
          <w:color w:val="auto"/>
        </w:rPr>
      </w:pPr>
      <w:r>
        <w:rPr>
          <w:rFonts w:ascii="Arial" w:cs="Arial" w:eastAsia="Arial" w:hAnsi="Arial"/>
          <w:sz w:val="14"/>
          <w:szCs w:val="14"/>
          <w:color w:val="auto"/>
        </w:rPr>
        <w:t>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Lessor shall upon written request provide Lessee with an accounting showing how that portion of the Security Deposit that was not returned was applied. No part of the Security Deposit shall be considered to be held in trust, to bear interest or to be prepayment for any monies to be paid by Lessee under this Lease. THE SECURITY DEPOSIT SHALL NOT BE USED BY LESSEE IN LIEU OF PAYMENT OF THE LAST MONTH'S RENT.</w:t>
      </w:r>
    </w:p>
    <w:p>
      <w:pPr>
        <w:spacing w:after="0" w:line="214" w:lineRule="exact"/>
        <w:rPr>
          <w:rFonts w:ascii="Arial" w:cs="Arial" w:eastAsia="Arial" w:hAnsi="Arial"/>
          <w:sz w:val="13"/>
          <w:szCs w:val="13"/>
          <w:b w:val="1"/>
          <w:bCs w:val="1"/>
          <w:color w:val="auto"/>
        </w:rPr>
      </w:pPr>
    </w:p>
    <w:p>
      <w:pPr>
        <w:ind w:left="144" w:hanging="144"/>
        <w:spacing w:after="0"/>
        <w:tabs>
          <w:tab w:leader="none" w:pos="144"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Use.</w:t>
      </w:r>
    </w:p>
    <w:p>
      <w:pPr>
        <w:spacing w:after="0" w:line="28" w:lineRule="exact"/>
        <w:rPr>
          <w:sz w:val="20"/>
          <w:szCs w:val="20"/>
          <w:color w:val="auto"/>
        </w:rPr>
      </w:pPr>
    </w:p>
    <w:p>
      <w:pPr>
        <w:ind w:left="4" w:firstLine="324"/>
        <w:spacing w:after="0" w:line="271"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Use</w:t>
      </w:r>
      <w:r>
        <w:rPr>
          <w:rFonts w:ascii="Arial" w:cs="Arial" w:eastAsia="Arial" w:hAnsi="Arial"/>
          <w:sz w:val="14"/>
          <w:szCs w:val="14"/>
          <w:color w:val="auto"/>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 Lessor shall not unreasonably withhold or delay its consent to any written request for a modification of the Agreed Use, so long as the same will not impair the structural integrity of the Building or the mechanical or electrical systems therein, and/or is not significantly more burdensome to the Project. If Lessor</w:t>
      </w:r>
    </w:p>
    <w:p>
      <w:pPr>
        <w:sectPr>
          <w:pgSz w:w="11900" w:h="16838" w:orient="portrait"/>
          <w:cols w:equalWidth="0" w:num="1">
            <w:col w:w="11024"/>
          </w:cols>
          <w:pgMar w:left="436" w:top="782" w:right="439" w:bottom="182" w:gutter="0" w:footer="0" w:header="0"/>
        </w:sectPr>
      </w:pPr>
    </w:p>
    <w:bookmarkStart w:id="142" w:name="page143"/>
    <w:bookmarkEnd w:id="142"/>
    <w:p>
      <w:pPr>
        <w:ind w:left="4" w:right="900"/>
        <w:spacing w:after="0" w:line="260" w:lineRule="auto"/>
        <w:rPr>
          <w:sz w:val="20"/>
          <w:szCs w:val="20"/>
          <w:color w:val="auto"/>
        </w:rPr>
      </w:pPr>
      <w:r>
        <w:rPr>
          <w:rFonts w:ascii="Arial" w:cs="Arial" w:eastAsia="Arial" w:hAnsi="Arial"/>
          <w:sz w:val="14"/>
          <w:szCs w:val="14"/>
          <w:color w:val="auto"/>
        </w:rPr>
        <w:t>elects to withhold consent, Lessor shall within 7 days after such request give written notification of same, which notice shall include an explanation of Lessor's objections to the change in the Agreed Use.</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Hazardous Substances</w:t>
      </w:r>
      <w:r>
        <w:rPr>
          <w:rFonts w:ascii="Arial" w:cs="Arial" w:eastAsia="Arial" w:hAnsi="Arial"/>
          <w:sz w:val="14"/>
          <w:szCs w:val="14"/>
          <w:color w:val="auto"/>
        </w:rPr>
        <w:t>.</w:t>
      </w:r>
    </w:p>
    <w:p>
      <w:pPr>
        <w:spacing w:after="0" w:line="12" w:lineRule="exact"/>
        <w:rPr>
          <w:sz w:val="20"/>
          <w:szCs w:val="20"/>
          <w:color w:val="auto"/>
        </w:rPr>
      </w:pPr>
    </w:p>
    <w:p>
      <w:pPr>
        <w:ind w:left="4" w:right="40" w:firstLine="644"/>
        <w:spacing w:after="0" w:line="262" w:lineRule="auto"/>
        <w:tabs>
          <w:tab w:leader="none" w:pos="848"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Reportable Uses Require Consent</w:t>
      </w:r>
      <w:r>
        <w:rPr>
          <w:rFonts w:ascii="Arial" w:cs="Arial" w:eastAsia="Arial" w:hAnsi="Arial"/>
          <w:sz w:val="14"/>
          <w:szCs w:val="14"/>
          <w:color w:val="auto"/>
        </w:rPr>
        <w:t>. The term "</w:t>
      </w:r>
      <w:r>
        <w:rPr>
          <w:rFonts w:ascii="Arial" w:cs="Arial" w:eastAsia="Arial" w:hAnsi="Arial"/>
          <w:sz w:val="14"/>
          <w:szCs w:val="14"/>
          <w:b w:val="1"/>
          <w:bCs w:val="1"/>
          <w:color w:val="auto"/>
        </w:rPr>
        <w:t>Hazardous Substance</w:t>
      </w:r>
      <w:r>
        <w:rPr>
          <w:rFonts w:ascii="Arial" w:cs="Arial" w:eastAsia="Arial" w:hAnsi="Arial"/>
          <w:sz w:val="14"/>
          <w:szCs w:val="14"/>
          <w:color w:val="auto"/>
        </w:rPr>
        <w:t>" as used in this Lease shall mean any product, substance, or waste whose presence, use, manufacture,</w:t>
      </w:r>
      <w:r>
        <w:rPr>
          <w:rFonts w:ascii="Arial" w:cs="Arial" w:eastAsia="Arial" w:hAnsi="Arial"/>
          <w:sz w:val="14"/>
          <w:szCs w:val="14"/>
          <w:b w:val="1"/>
          <w:bCs w:val="1"/>
          <w:color w:val="auto"/>
        </w:rPr>
        <w:t xml:space="preserve"> </w:t>
      </w:r>
      <w:r>
        <w:rPr>
          <w:rFonts w:ascii="Arial" w:cs="Arial" w:eastAsia="Arial" w:hAnsi="Arial"/>
          <w:sz w:val="14"/>
          <w:szCs w:val="14"/>
          <w:color w:val="auto"/>
        </w:rPr>
        <w:t>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on the Premises which constitutes a Reportable Use of Hazardous Substances without the express prior written consent of Lessor and timely compliance (at Lessee's</w:t>
      </w:r>
    </w:p>
    <w:p>
      <w:pPr>
        <w:spacing w:after="0" w:line="12" w:lineRule="exact"/>
        <w:rPr>
          <w:rFonts w:ascii="Arial" w:cs="Arial" w:eastAsia="Arial" w:hAnsi="Arial"/>
          <w:sz w:val="14"/>
          <w:szCs w:val="14"/>
          <w:color w:val="auto"/>
        </w:rPr>
      </w:pPr>
    </w:p>
    <w:p>
      <w:pPr>
        <w:ind w:left="4" w:right="240"/>
        <w:spacing w:after="0" w:line="262" w:lineRule="auto"/>
        <w:rPr>
          <w:rFonts w:ascii="Arial" w:cs="Arial" w:eastAsia="Arial" w:hAnsi="Arial"/>
          <w:sz w:val="14"/>
          <w:szCs w:val="14"/>
          <w:color w:val="auto"/>
        </w:rPr>
      </w:pPr>
      <w:r>
        <w:rPr>
          <w:rFonts w:ascii="Arial" w:cs="Arial" w:eastAsia="Arial" w:hAnsi="Arial"/>
          <w:sz w:val="14"/>
          <w:szCs w:val="14"/>
          <w:color w:val="auto"/>
        </w:rPr>
        <w:t>expense) with all Applicable Requirements. "</w:t>
      </w:r>
      <w:r>
        <w:rPr>
          <w:rFonts w:ascii="Arial" w:cs="Arial" w:eastAsia="Arial" w:hAnsi="Arial"/>
          <w:sz w:val="14"/>
          <w:szCs w:val="14"/>
          <w:b w:val="1"/>
          <w:bCs w:val="1"/>
          <w:color w:val="auto"/>
        </w:rPr>
        <w:t>Reportable Use</w:t>
      </w:r>
      <w:r>
        <w:rPr>
          <w:rFonts w:ascii="Arial" w:cs="Arial" w:eastAsia="Arial" w:hAnsi="Arial"/>
          <w:sz w:val="14"/>
          <w:szCs w:val="14"/>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w:t>
      </w:r>
    </w:p>
    <w:p>
      <w:pPr>
        <w:ind w:left="4" w:right="1560"/>
        <w:spacing w:after="0" w:line="273" w:lineRule="auto"/>
        <w:rPr>
          <w:rFonts w:ascii="Arial" w:cs="Arial" w:eastAsia="Arial" w:hAnsi="Arial"/>
          <w:sz w:val="14"/>
          <w:szCs w:val="14"/>
          <w:color w:val="auto"/>
        </w:rPr>
      </w:pPr>
      <w:r>
        <w:rPr>
          <w:rFonts w:ascii="Arial" w:cs="Arial" w:eastAsia="Arial" w:hAnsi="Arial"/>
          <w:sz w:val="13"/>
          <w:szCs w:val="13"/>
          <w:color w:val="auto"/>
        </w:rPr>
        <w:t>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ind w:left="844" w:hanging="196"/>
        <w:spacing w:after="0"/>
        <w:tabs>
          <w:tab w:leader="none" w:pos="844" w:val="left"/>
        </w:tabs>
        <w:numPr>
          <w:ilvl w:val="0"/>
          <w:numId w:val="72"/>
        </w:numPr>
        <w:rPr>
          <w:rFonts w:ascii="Arial" w:cs="Arial" w:eastAsia="Arial" w:hAnsi="Arial"/>
          <w:sz w:val="13"/>
          <w:szCs w:val="13"/>
          <w:color w:val="auto"/>
        </w:rPr>
      </w:pPr>
      <w:r>
        <w:rPr>
          <w:rFonts w:ascii="Arial" w:cs="Arial" w:eastAsia="Arial" w:hAnsi="Arial"/>
          <w:sz w:val="13"/>
          <w:szCs w:val="13"/>
          <w:b w:val="1"/>
          <w:bCs w:val="1"/>
          <w:color w:val="auto"/>
        </w:rPr>
        <w:t>Duty to Inform Lessor</w:t>
      </w:r>
      <w:r>
        <w:rPr>
          <w:rFonts w:ascii="Arial" w:cs="Arial" w:eastAsia="Arial" w:hAnsi="Arial"/>
          <w:sz w:val="13"/>
          <w:szCs w:val="13"/>
          <w:color w:val="auto"/>
        </w:rPr>
        <w:t>. If Lessee knows, or has reasonable cause to believe, that a Hazardous Substance has come to be located in, on, under or about the Premises, other</w:t>
      </w:r>
    </w:p>
    <w:p>
      <w:pPr>
        <w:spacing w:after="0" w:line="37" w:lineRule="exact"/>
        <w:rPr>
          <w:sz w:val="20"/>
          <w:szCs w:val="20"/>
          <w:color w:val="auto"/>
        </w:rPr>
      </w:pPr>
    </w:p>
    <w:p>
      <w:pPr>
        <w:ind w:left="4" w:right="780"/>
        <w:spacing w:after="0" w:line="255" w:lineRule="auto"/>
        <w:rPr>
          <w:sz w:val="20"/>
          <w:szCs w:val="20"/>
          <w:color w:val="auto"/>
        </w:rPr>
      </w:pPr>
      <w:r>
        <w:rPr>
          <w:rFonts w:ascii="Arial" w:cs="Arial" w:eastAsia="Arial" w:hAnsi="Arial"/>
          <w:sz w:val="14"/>
          <w:szCs w:val="14"/>
          <w:color w:val="auto"/>
        </w:rPr>
        <w:t>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b w:val="1"/>
          <w:bCs w:val="1"/>
          <w:color w:val="auto"/>
        </w:rPr>
        <w:t>Lessee Remediation</w:t>
      </w:r>
      <w:r>
        <w:rPr>
          <w:rFonts w:ascii="Arial" w:cs="Arial" w:eastAsia="Arial" w:hAnsi="Arial"/>
          <w:sz w:val="14"/>
          <w:szCs w:val="14"/>
          <w:color w:val="auto"/>
        </w:rPr>
        <w:t>. Lessee shall not cause or permit any Hazardous Substance to be spilled or released in, on, under, or about the Premises</w:t>
      </w:r>
    </w:p>
    <w:p>
      <w:pPr>
        <w:spacing w:after="0" w:line="9" w:lineRule="exact"/>
        <w:rPr>
          <w:sz w:val="20"/>
          <w:szCs w:val="20"/>
          <w:color w:val="auto"/>
        </w:rPr>
      </w:pPr>
    </w:p>
    <w:p>
      <w:pPr>
        <w:ind w:left="4" w:right="80"/>
        <w:spacing w:after="0" w:line="253" w:lineRule="auto"/>
        <w:rPr>
          <w:sz w:val="20"/>
          <w:szCs w:val="20"/>
          <w:color w:val="auto"/>
        </w:rPr>
      </w:pPr>
      <w:r>
        <w:rPr>
          <w:rFonts w:ascii="Arial" w:cs="Arial" w:eastAsia="Arial" w:hAnsi="Arial"/>
          <w:sz w:val="14"/>
          <w:szCs w:val="14"/>
          <w:color w:val="auto"/>
        </w:rPr>
        <w:t>(including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b w:val="1"/>
          <w:bCs w:val="1"/>
          <w:color w:val="auto"/>
        </w:rPr>
        <w:t>Lessee Indemnification</w:t>
      </w:r>
      <w:r>
        <w:rPr>
          <w:rFonts w:ascii="Arial" w:cs="Arial" w:eastAsia="Arial" w:hAnsi="Arial"/>
          <w:sz w:val="14"/>
          <w:szCs w:val="14"/>
          <w:color w:val="auto"/>
        </w:rPr>
        <w:t>. Lessee shall indemnify, defend and hold Lessor, its agents, employees, lenders and ground lessor, if any, harmless from and</w:t>
      </w:r>
    </w:p>
    <w:p>
      <w:pPr>
        <w:spacing w:after="0" w:line="9" w:lineRule="exact"/>
        <w:rPr>
          <w:sz w:val="20"/>
          <w:szCs w:val="20"/>
          <w:color w:val="auto"/>
        </w:rPr>
      </w:pPr>
    </w:p>
    <w:p>
      <w:pPr>
        <w:ind w:left="4" w:right="80"/>
        <w:spacing w:after="0" w:line="279" w:lineRule="auto"/>
        <w:rPr>
          <w:sz w:val="20"/>
          <w:szCs w:val="20"/>
          <w:color w:val="auto"/>
        </w:rPr>
      </w:pPr>
      <w:r>
        <w:rPr>
          <w:rFonts w:ascii="Arial" w:cs="Arial" w:eastAsia="Arial" w:hAnsi="Arial"/>
          <w:sz w:val="13"/>
          <w:szCs w:val="13"/>
          <w:color w:val="auto"/>
        </w:rPr>
        <w:t>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2" w:lineRule="exact"/>
        <w:rPr>
          <w:sz w:val="20"/>
          <w:szCs w:val="20"/>
          <w:color w:val="auto"/>
        </w:rPr>
      </w:pPr>
    </w:p>
    <w:p>
      <w:pPr>
        <w:ind w:left="4" w:right="1540" w:firstLine="644"/>
        <w:spacing w:after="0" w:line="300" w:lineRule="auto"/>
        <w:tabs>
          <w:tab w:leader="none" w:pos="848" w:val="left"/>
        </w:tabs>
        <w:numPr>
          <w:ilvl w:val="0"/>
          <w:numId w:val="73"/>
        </w:numPr>
        <w:rPr>
          <w:rFonts w:ascii="Arial" w:cs="Arial" w:eastAsia="Arial" w:hAnsi="Arial"/>
          <w:sz w:val="12"/>
          <w:szCs w:val="12"/>
          <w:color w:val="auto"/>
        </w:rPr>
      </w:pPr>
      <w:r>
        <w:rPr>
          <w:rFonts w:ascii="Arial" w:cs="Arial" w:eastAsia="Arial" w:hAnsi="Arial"/>
          <w:sz w:val="12"/>
          <w:szCs w:val="12"/>
          <w:b w:val="1"/>
          <w:bCs w:val="1"/>
          <w:color w:val="auto"/>
        </w:rPr>
        <w:t>Lessor Indemnification</w:t>
      </w:r>
      <w:r>
        <w:rPr>
          <w:rFonts w:ascii="Arial" w:cs="Arial" w:eastAsia="Arial" w:hAnsi="Arial"/>
          <w:sz w:val="12"/>
          <w:szCs w:val="12"/>
          <w:color w:val="auto"/>
        </w:rPr>
        <w:t>. Except as otherwise provided in paragraph 8.7, Lessor and its successors and assigns shall indemnify, defend, reimburse and</w:t>
      </w:r>
      <w:r>
        <w:rPr>
          <w:rFonts w:ascii="Arial" w:cs="Arial" w:eastAsia="Arial" w:hAnsi="Arial"/>
          <w:sz w:val="12"/>
          <w:szCs w:val="12"/>
          <w:b w:val="1"/>
          <w:bCs w:val="1"/>
          <w:color w:val="auto"/>
        </w:rPr>
        <w:t xml:space="preserve"> </w:t>
      </w:r>
      <w:r>
        <w:rPr>
          <w:rFonts w:ascii="Arial" w:cs="Arial" w:eastAsia="Arial" w:hAnsi="Arial"/>
          <w:sz w:val="12"/>
          <w:szCs w:val="12"/>
          <w:color w:val="auto"/>
        </w:rPr>
        <w:t>hold Lessee, its employees and lenders, harmless from and against any and all environmental damages, including the cost of remediation, which are suffered as a</w:t>
      </w:r>
    </w:p>
    <w:p>
      <w:pPr>
        <w:jc w:val="both"/>
        <w:ind w:left="4" w:right="120"/>
        <w:spacing w:after="0" w:line="263" w:lineRule="auto"/>
        <w:rPr>
          <w:rFonts w:ascii="Arial" w:cs="Arial" w:eastAsia="Arial" w:hAnsi="Arial"/>
          <w:sz w:val="12"/>
          <w:szCs w:val="12"/>
          <w:color w:val="auto"/>
        </w:rPr>
      </w:pPr>
      <w:r>
        <w:rPr>
          <w:rFonts w:ascii="Arial" w:cs="Arial" w:eastAsia="Arial" w:hAnsi="Arial"/>
          <w:sz w:val="14"/>
          <w:szCs w:val="14"/>
          <w:color w:val="auto"/>
        </w:rPr>
        <w:t>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ind w:left="4" w:right="160" w:firstLine="644"/>
        <w:spacing w:after="0" w:line="262" w:lineRule="auto"/>
        <w:tabs>
          <w:tab w:leader="none" w:pos="832" w:val="left"/>
        </w:tabs>
        <w:numPr>
          <w:ilvl w:val="0"/>
          <w:numId w:val="73"/>
        </w:numPr>
        <w:rPr>
          <w:rFonts w:ascii="Arial" w:cs="Arial" w:eastAsia="Arial" w:hAnsi="Arial"/>
          <w:sz w:val="14"/>
          <w:szCs w:val="14"/>
          <w:color w:val="auto"/>
        </w:rPr>
      </w:pPr>
      <w:r>
        <w:rPr>
          <w:rFonts w:ascii="Arial" w:cs="Arial" w:eastAsia="Arial" w:hAnsi="Arial"/>
          <w:sz w:val="14"/>
          <w:szCs w:val="14"/>
          <w:b w:val="1"/>
          <w:bCs w:val="1"/>
          <w:color w:val="auto"/>
        </w:rPr>
        <w:t>Investigations and Remediations</w:t>
      </w:r>
      <w:r>
        <w:rPr>
          <w:rFonts w:ascii="Arial" w:cs="Arial" w:eastAsia="Arial" w:hAnsi="Arial"/>
          <w:sz w:val="14"/>
          <w:szCs w:val="14"/>
          <w:color w:val="auto"/>
        </w:rPr>
        <w:t>. Lessor shall retain the responsibility and pay for any investigations or remediation measures required by governmental entities having</w:t>
      </w:r>
      <w:r>
        <w:rPr>
          <w:rFonts w:ascii="Arial" w:cs="Arial" w:eastAsia="Arial" w:hAnsi="Arial"/>
          <w:sz w:val="14"/>
          <w:szCs w:val="14"/>
          <w:b w:val="1"/>
          <w:bCs w:val="1"/>
          <w:color w:val="auto"/>
        </w:rPr>
        <w:t xml:space="preserve"> </w:t>
      </w:r>
      <w:r>
        <w:rPr>
          <w:rFonts w:ascii="Arial" w:cs="Arial" w:eastAsia="Arial" w:hAnsi="Arial"/>
          <w:sz w:val="14"/>
          <w:szCs w:val="14"/>
          <w:color w:val="auto"/>
        </w:rPr>
        <w:t>jurisdiction with respect to the existence of Hazardous Substances on the Premises prior to the Lessee taking possession,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0"/>
          <w:numId w:val="73"/>
        </w:numPr>
        <w:rPr>
          <w:rFonts w:ascii="Arial" w:cs="Arial" w:eastAsia="Arial" w:hAnsi="Arial"/>
          <w:sz w:val="14"/>
          <w:szCs w:val="14"/>
          <w:color w:val="auto"/>
        </w:rPr>
      </w:pPr>
      <w:r>
        <w:rPr>
          <w:rFonts w:ascii="Arial" w:cs="Arial" w:eastAsia="Arial" w:hAnsi="Arial"/>
          <w:sz w:val="14"/>
          <w:szCs w:val="14"/>
          <w:b w:val="1"/>
          <w:bCs w:val="1"/>
          <w:color w:val="auto"/>
        </w:rPr>
        <w:t>Lessor Termination Option</w:t>
      </w:r>
      <w:r>
        <w:rPr>
          <w:rFonts w:ascii="Arial" w:cs="Arial" w:eastAsia="Arial" w:hAnsi="Arial"/>
          <w:sz w:val="14"/>
          <w:szCs w:val="14"/>
          <w:color w:val="auto"/>
        </w:rPr>
        <w:t>. If a Hazardous Substance Condition (see Paragraph 9.1(e)) occurs during the term of this Lease, unless Lessee is legally</w:t>
      </w:r>
    </w:p>
    <w:p>
      <w:pPr>
        <w:spacing w:after="0" w:line="9" w:lineRule="exact"/>
        <w:rPr>
          <w:sz w:val="20"/>
          <w:szCs w:val="20"/>
          <w:color w:val="auto"/>
        </w:rPr>
      </w:pPr>
    </w:p>
    <w:p>
      <w:pPr>
        <w:jc w:val="both"/>
        <w:ind w:left="4"/>
        <w:spacing w:after="0" w:line="261" w:lineRule="auto"/>
        <w:rPr>
          <w:sz w:val="20"/>
          <w:szCs w:val="20"/>
          <w:color w:val="auto"/>
        </w:rPr>
      </w:pPr>
      <w:r>
        <w:rPr>
          <w:rFonts w:ascii="Arial" w:cs="Arial" w:eastAsia="Arial" w:hAnsi="Arial"/>
          <w:sz w:val="14"/>
          <w:szCs w:val="14"/>
          <w:color w:val="auto"/>
        </w:rPr>
        <w:t>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eﬀect, or (ii) if the estimated cost to remediate such condition exceeds 12 times the then monthly Base Rent or $100,000, whichever is greater, give written notice to Lessee, within</w:t>
      </w:r>
    </w:p>
    <w:p>
      <w:pPr>
        <w:spacing w:after="0" w:line="2" w:lineRule="exact"/>
        <w:rPr>
          <w:sz w:val="20"/>
          <w:szCs w:val="20"/>
          <w:color w:val="auto"/>
        </w:rPr>
      </w:pPr>
    </w:p>
    <w:p>
      <w:pPr>
        <w:jc w:val="both"/>
        <w:ind w:left="4" w:right="140"/>
        <w:spacing w:after="0" w:line="279" w:lineRule="auto"/>
        <w:rPr>
          <w:sz w:val="20"/>
          <w:szCs w:val="20"/>
          <w:color w:val="auto"/>
        </w:rPr>
      </w:pPr>
      <w:r>
        <w:rPr>
          <w:rFonts w:ascii="Arial" w:cs="Arial" w:eastAsia="Arial" w:hAnsi="Arial"/>
          <w:sz w:val="13"/>
          <w:szCs w:val="13"/>
          <w:color w:val="auto"/>
        </w:rPr>
        <w:t>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2"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color w:val="auto"/>
        </w:rPr>
        <w:t>Lessee's Compliance with Applicable Requirements</w:t>
      </w:r>
      <w:r>
        <w:rPr>
          <w:rFonts w:ascii="Arial" w:cs="Arial" w:eastAsia="Arial" w:hAnsi="Arial"/>
          <w:sz w:val="14"/>
          <w:szCs w:val="14"/>
          <w:color w:val="auto"/>
        </w:rPr>
        <w:t>. Except as otherwise provided in this Lease, Lessee shall, at Lessee's sole expense, fully, diligently and</w:t>
      </w:r>
    </w:p>
    <w:p>
      <w:pPr>
        <w:spacing w:after="0" w:line="16" w:lineRule="exact"/>
        <w:rPr>
          <w:sz w:val="20"/>
          <w:szCs w:val="20"/>
          <w:color w:val="auto"/>
        </w:rPr>
      </w:pPr>
    </w:p>
    <w:p>
      <w:pPr>
        <w:ind w:left="4" w:right="120"/>
        <w:spacing w:after="0" w:line="283" w:lineRule="auto"/>
        <w:rPr>
          <w:sz w:val="20"/>
          <w:szCs w:val="20"/>
          <w:color w:val="auto"/>
        </w:rPr>
      </w:pPr>
      <w:r>
        <w:rPr>
          <w:rFonts w:ascii="Arial" w:cs="Arial" w:eastAsia="Arial" w:hAnsi="Arial"/>
          <w:sz w:val="13"/>
          <w:szCs w:val="13"/>
          <w:color w:val="auto"/>
        </w:rPr>
        <w:t>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pacing w:after="0" w:line="1" w:lineRule="exact"/>
        <w:rPr>
          <w:sz w:val="20"/>
          <w:szCs w:val="20"/>
          <w:color w:val="auto"/>
        </w:rPr>
      </w:pPr>
    </w:p>
    <w:p>
      <w:pPr>
        <w:ind w:left="4" w:right="80" w:firstLine="324"/>
        <w:spacing w:after="0" w:line="305"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b w:val="1"/>
          <w:bCs w:val="1"/>
          <w:color w:val="auto"/>
        </w:rPr>
        <w:t>Inspection; Compliance</w:t>
      </w:r>
      <w:r>
        <w:rPr>
          <w:rFonts w:ascii="Arial" w:cs="Arial" w:eastAsia="Arial" w:hAnsi="Arial"/>
          <w:sz w:val="12"/>
          <w:szCs w:val="12"/>
          <w:color w:val="auto"/>
        </w:rPr>
        <w:t>. Lessor and Lessor's "</w:t>
      </w:r>
      <w:r>
        <w:rPr>
          <w:rFonts w:ascii="Arial" w:cs="Arial" w:eastAsia="Arial" w:hAnsi="Arial"/>
          <w:sz w:val="12"/>
          <w:szCs w:val="12"/>
          <w:b w:val="1"/>
          <w:bCs w:val="1"/>
          <w:color w:val="auto"/>
        </w:rPr>
        <w:t>Lender</w:t>
      </w:r>
      <w:r>
        <w:rPr>
          <w:rFonts w:ascii="Arial" w:cs="Arial" w:eastAsia="Arial" w:hAnsi="Arial"/>
          <w:sz w:val="12"/>
          <w:szCs w:val="12"/>
          <w:color w:val="auto"/>
        </w:rPr>
        <w:t>" (as defined in Paragraph 30) and consultants authorized by Lessor shall have the right to enter into Premises at any time, in the case of an emergency, and otherwise at reasonable times after reasonable notice, for the purpose of inspecting and/or testing the condition of the Premises and/or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2"/>
          <w:szCs w:val="12"/>
          <w:b w:val="1"/>
          <w:bCs w:val="1"/>
          <w:color w:val="auto"/>
        </w:rPr>
        <w:t>MSDS</w:t>
      </w:r>
      <w:r>
        <w:rPr>
          <w:rFonts w:ascii="Arial" w:cs="Arial" w:eastAsia="Arial" w:hAnsi="Arial"/>
          <w:sz w:val="12"/>
          <w:szCs w:val="12"/>
          <w:color w:val="auto"/>
        </w:rPr>
        <w:t>) to Lessor within</w:t>
      </w:r>
    </w:p>
    <w:p>
      <w:pPr>
        <w:spacing w:after="0" w:line="1" w:lineRule="exact"/>
        <w:rPr>
          <w:sz w:val="20"/>
          <w:szCs w:val="20"/>
          <w:color w:val="auto"/>
        </w:rPr>
      </w:pPr>
    </w:p>
    <w:p>
      <w:pPr>
        <w:ind w:left="4" w:right="140"/>
        <w:spacing w:after="0" w:line="257" w:lineRule="auto"/>
        <w:rPr>
          <w:sz w:val="20"/>
          <w:szCs w:val="20"/>
          <w:color w:val="auto"/>
        </w:rPr>
      </w:pPr>
      <w:r>
        <w:rPr>
          <w:rFonts w:ascii="Arial" w:cs="Arial" w:eastAsia="Arial" w:hAnsi="Arial"/>
          <w:sz w:val="14"/>
          <w:szCs w:val="14"/>
          <w:color w:val="auto"/>
        </w:rPr>
        <w:t>10 days of the receipt of written request therefor. Lessee acknowledges that any failure on its part to allow such inspections or testing will expose Lessor to risks and potentially cause Lessor to incur costs not contemplated by this Lease, the extent of which will be extremely difficult to ascertain. Accordingly, should the Lessee fail to allow such inspections and/or testing in a timely fashion the Base Rent shall be automatically increased, without any requirement for notice to Lessee, by an amount equal to 10% of the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then existing Base Rent or $100, whichever is greater for the remainder to the Lease. The Parties agree that such increase in Base Rent represents fair and reasonable</w:t>
      </w:r>
    </w:p>
    <w:p>
      <w:pPr>
        <w:spacing w:after="0" w:line="16" w:lineRule="exact"/>
        <w:rPr>
          <w:sz w:val="20"/>
          <w:szCs w:val="20"/>
          <w:color w:val="auto"/>
        </w:rPr>
      </w:pPr>
    </w:p>
    <w:p>
      <w:pPr>
        <w:ind w:left="4" w:right="140"/>
        <w:spacing w:after="0" w:line="293" w:lineRule="auto"/>
        <w:rPr>
          <w:sz w:val="20"/>
          <w:szCs w:val="20"/>
          <w:color w:val="auto"/>
        </w:rPr>
      </w:pPr>
      <w:r>
        <w:rPr>
          <w:rFonts w:ascii="Arial" w:cs="Arial" w:eastAsia="Arial" w:hAnsi="Arial"/>
          <w:sz w:val="14"/>
          <w:szCs w:val="14"/>
          <w:color w:val="auto"/>
        </w:rPr>
        <w:t>compensation for the additional risk/costs that Lessor will incur by reason of Lessee's failure to allow such inspection and/or testing. Such increase in Base Rent shall in no event constitute a waiver of Lessee's Default or Breach with respect to such failure nor prevent the exercise of any of the other rights and remedies granted hereunder.</w:t>
      </w:r>
    </w:p>
    <w:p>
      <w:pPr>
        <w:spacing w:after="0" w:line="183" w:lineRule="exact"/>
        <w:rPr>
          <w:sz w:val="20"/>
          <w:szCs w:val="20"/>
          <w:color w:val="auto"/>
        </w:rPr>
      </w:pPr>
    </w:p>
    <w:p>
      <w:pPr>
        <w:ind w:left="324" w:right="6240" w:hanging="324"/>
        <w:spacing w:after="0" w:line="261" w:lineRule="auto"/>
        <w:tabs>
          <w:tab w:leader="none" w:pos="144"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Maintenance; Repairs; Utility Installations; Trade Fixtures and Alterations. </w:t>
      </w:r>
      <w:r>
        <w:rPr>
          <w:rFonts w:ascii="Arial" w:cs="Arial" w:eastAsia="Arial" w:hAnsi="Arial"/>
          <w:sz w:val="14"/>
          <w:szCs w:val="14"/>
          <w:color w:val="auto"/>
        </w:rPr>
        <w:t xml:space="preserve">7.1 </w:t>
      </w:r>
      <w:r>
        <w:rPr>
          <w:rFonts w:ascii="Arial" w:cs="Arial" w:eastAsia="Arial" w:hAnsi="Arial"/>
          <w:sz w:val="14"/>
          <w:szCs w:val="14"/>
          <w:b w:val="1"/>
          <w:bCs w:val="1"/>
          <w:color w:val="auto"/>
        </w:rPr>
        <w:t>Lessee's Obligations</w:t>
      </w:r>
      <w:r>
        <w:rPr>
          <w:rFonts w:ascii="Arial" w:cs="Arial" w:eastAsia="Arial" w:hAnsi="Arial"/>
          <w:sz w:val="14"/>
          <w:szCs w:val="14"/>
          <w:color w:val="auto"/>
        </w:rPr>
        <w:t>.</w:t>
      </w:r>
    </w:p>
    <w:p>
      <w:pPr>
        <w:ind w:left="4" w:right="180" w:firstLine="644"/>
        <w:spacing w:after="0" w:line="264" w:lineRule="auto"/>
        <w:tabs>
          <w:tab w:leader="none" w:pos="848" w:val="left"/>
        </w:tabs>
        <w:numPr>
          <w:ilvl w:val="1"/>
          <w:numId w:val="74"/>
        </w:numPr>
        <w:rPr>
          <w:rFonts w:ascii="Arial" w:cs="Arial" w:eastAsia="Arial" w:hAnsi="Arial"/>
          <w:sz w:val="14"/>
          <w:szCs w:val="14"/>
          <w:color w:val="auto"/>
        </w:rPr>
      </w:pPr>
      <w:r>
        <w:rPr>
          <w:rFonts w:ascii="Arial" w:cs="Arial" w:eastAsia="Arial" w:hAnsi="Arial"/>
          <w:sz w:val="14"/>
          <w:szCs w:val="14"/>
          <w:b w:val="1"/>
          <w:bCs w:val="1"/>
          <w:color w:val="auto"/>
        </w:rPr>
        <w:t>In General</w:t>
      </w:r>
      <w:r>
        <w:rPr>
          <w:rFonts w:ascii="Arial" w:cs="Arial" w:eastAsia="Arial" w:hAnsi="Arial"/>
          <w:sz w:val="14"/>
          <w:szCs w:val="14"/>
          <w:color w:val="auto"/>
        </w:rPr>
        <w:t>. Subject to the provisions of Paragraph 2.2 (Condition), 2.3 (Compliance), 6.3 (Lessee's Compliance with Applicable Requirements), 7.2 (Lessor's Obligations), 9</w:t>
      </w:r>
      <w:r>
        <w:rPr>
          <w:rFonts w:ascii="Arial" w:cs="Arial" w:eastAsia="Arial" w:hAnsi="Arial"/>
          <w:sz w:val="14"/>
          <w:szCs w:val="14"/>
          <w:b w:val="1"/>
          <w:bCs w:val="1"/>
          <w:color w:val="auto"/>
        </w:rPr>
        <w:t xml:space="preserve"> </w:t>
      </w:r>
      <w:r>
        <w:rPr>
          <w:rFonts w:ascii="Arial" w:cs="Arial" w:eastAsia="Arial" w:hAnsi="Arial"/>
          <w:sz w:val="14"/>
          <w:szCs w:val="14"/>
          <w:color w:val="auto"/>
        </w:rPr>
        <w:t>(Damage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w:t>
      </w:r>
    </w:p>
    <w:p>
      <w:pPr>
        <w:spacing w:after="0" w:line="1" w:lineRule="exact"/>
        <w:rPr>
          <w:rFonts w:ascii="Arial" w:cs="Arial" w:eastAsia="Arial" w:hAnsi="Arial"/>
          <w:sz w:val="14"/>
          <w:szCs w:val="14"/>
          <w:color w:val="auto"/>
        </w:rPr>
      </w:pPr>
    </w:p>
    <w:p>
      <w:pPr>
        <w:ind w:left="4" w:right="360"/>
        <w:spacing w:after="0" w:line="283" w:lineRule="auto"/>
        <w:rPr>
          <w:rFonts w:ascii="Arial" w:cs="Arial" w:eastAsia="Arial" w:hAnsi="Arial"/>
          <w:sz w:val="14"/>
          <w:szCs w:val="14"/>
          <w:color w:val="auto"/>
        </w:rPr>
      </w:pPr>
      <w:r>
        <w:rPr>
          <w:rFonts w:ascii="Arial" w:cs="Arial" w:eastAsia="Arial" w:hAnsi="Arial"/>
          <w:sz w:val="14"/>
          <w:szCs w:val="14"/>
          <w:color w:val="auto"/>
        </w:rPr>
        <w:t>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w:t>
      </w:r>
    </w:p>
    <w:p>
      <w:pPr>
        <w:sectPr>
          <w:pgSz w:w="11900" w:h="16838" w:orient="portrait"/>
          <w:cols w:equalWidth="0" w:num="1">
            <w:col w:w="11044"/>
          </w:cols>
          <w:pgMar w:left="436" w:top="782" w:right="419" w:bottom="552" w:gutter="0" w:footer="0" w:header="0"/>
        </w:sectPr>
      </w:pPr>
    </w:p>
    <w:bookmarkStart w:id="143" w:name="page144"/>
    <w:bookmarkEnd w:id="143"/>
    <w:p>
      <w:pPr>
        <w:ind w:left="4" w:right="200"/>
        <w:spacing w:after="0" w:line="260" w:lineRule="auto"/>
        <w:rPr>
          <w:sz w:val="20"/>
          <w:szCs w:val="20"/>
          <w:color w:val="auto"/>
        </w:rPr>
      </w:pPr>
      <w:r>
        <w:rPr>
          <w:rFonts w:ascii="Arial" w:cs="Arial" w:eastAsia="Arial" w:hAnsi="Arial"/>
          <w:sz w:val="14"/>
          <w:szCs w:val="14"/>
          <w:color w:val="auto"/>
        </w:rPr>
        <w:t>below. Lessee's obligations shall include restorations, replacements or renewals when necessary to keep the Premises and all improvements thereon or a part thereof in good order, condition and state of repair.</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b w:val="1"/>
          <w:bCs w:val="1"/>
          <w:color w:val="auto"/>
        </w:rPr>
        <w:t>Service Contracts</w:t>
      </w:r>
      <w:r>
        <w:rPr>
          <w:rFonts w:ascii="Arial" w:cs="Arial" w:eastAsia="Arial" w:hAnsi="Arial"/>
          <w:sz w:val="14"/>
          <w:szCs w:val="14"/>
          <w:color w:val="auto"/>
        </w:rPr>
        <w:t>. Lessee shall, at Lessee's sole expense, procure and maintain contracts, with copies to Lessor, in customary form and substance for,</w:t>
      </w:r>
    </w:p>
    <w:p>
      <w:pPr>
        <w:spacing w:after="0" w:line="16" w:lineRule="exact"/>
        <w:rPr>
          <w:sz w:val="20"/>
          <w:szCs w:val="20"/>
          <w:color w:val="auto"/>
        </w:rPr>
      </w:pPr>
    </w:p>
    <w:p>
      <w:pPr>
        <w:ind w:left="4" w:right="220"/>
        <w:spacing w:after="0" w:line="260" w:lineRule="auto"/>
        <w:rPr>
          <w:sz w:val="20"/>
          <w:szCs w:val="20"/>
          <w:color w:val="auto"/>
        </w:rPr>
      </w:pPr>
      <w:r>
        <w:rPr>
          <w:rFonts w:ascii="Arial" w:cs="Arial" w:eastAsia="Arial" w:hAnsi="Arial"/>
          <w:sz w:val="14"/>
          <w:szCs w:val="14"/>
          <w:color w:val="auto"/>
        </w:rPr>
        <w:t>and with contractors specializing and experienced in the maintenance of the following equipment and improvements, if any, if and when installed on the Premises: (i) HVAC equipment, (ii) boiler and pressure vessels, and (iii) clarifiers. However, Lessor reserves the right, upon notice to Lessee, to procure and maintain any or all of such service contracts, and Lessee shall reimburse Lessor, upon demand, for the cost thereof.</w:t>
      </w:r>
    </w:p>
    <w:p>
      <w:pPr>
        <w:spacing w:after="0" w:line="2" w:lineRule="exact"/>
        <w:rPr>
          <w:sz w:val="20"/>
          <w:szCs w:val="20"/>
          <w:color w:val="auto"/>
        </w:rPr>
      </w:pPr>
    </w:p>
    <w:p>
      <w:pPr>
        <w:ind w:left="4" w:right="1640" w:firstLine="644"/>
        <w:spacing w:after="0" w:line="273" w:lineRule="auto"/>
        <w:tabs>
          <w:tab w:leader="none" w:pos="848" w:val="left"/>
        </w:tabs>
        <w:numPr>
          <w:ilvl w:val="1"/>
          <w:numId w:val="75"/>
        </w:numPr>
        <w:rPr>
          <w:rFonts w:ascii="Arial" w:cs="Arial" w:eastAsia="Arial" w:hAnsi="Arial"/>
          <w:sz w:val="13"/>
          <w:szCs w:val="13"/>
          <w:color w:val="auto"/>
        </w:rPr>
      </w:pPr>
      <w:r>
        <w:rPr>
          <w:rFonts w:ascii="Arial" w:cs="Arial" w:eastAsia="Arial" w:hAnsi="Arial"/>
          <w:sz w:val="13"/>
          <w:szCs w:val="13"/>
          <w:b w:val="1"/>
          <w:bCs w:val="1"/>
          <w:color w:val="auto"/>
        </w:rPr>
        <w:t>Failure to Perform</w:t>
      </w:r>
      <w:r>
        <w:rPr>
          <w:rFonts w:ascii="Arial" w:cs="Arial" w:eastAsia="Arial" w:hAnsi="Arial"/>
          <w:sz w:val="13"/>
          <w:szCs w:val="13"/>
          <w:color w:val="auto"/>
        </w:rPr>
        <w:t>. If Lessee fails to perform Lessee's obligations under this Paragraph 7.1, Lessor may enter upon the Premises after 10 days' prior</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ind w:left="4" w:firstLine="644"/>
        <w:spacing w:after="0" w:line="285" w:lineRule="auto"/>
        <w:tabs>
          <w:tab w:leader="none" w:pos="856" w:val="left"/>
        </w:tabs>
        <w:numPr>
          <w:ilvl w:val="1"/>
          <w:numId w:val="75"/>
        </w:numPr>
        <w:rPr>
          <w:rFonts w:ascii="Arial" w:cs="Arial" w:eastAsia="Arial" w:hAnsi="Arial"/>
          <w:sz w:val="13"/>
          <w:szCs w:val="13"/>
          <w:color w:val="auto"/>
        </w:rPr>
      </w:pPr>
      <w:r>
        <w:rPr>
          <w:rFonts w:ascii="Arial" w:cs="Arial" w:eastAsia="Arial" w:hAnsi="Arial"/>
          <w:sz w:val="13"/>
          <w:szCs w:val="13"/>
          <w:b w:val="1"/>
          <w:bCs w:val="1"/>
          <w:color w:val="auto"/>
        </w:rPr>
        <w:t>Replacement</w:t>
      </w:r>
      <w:r>
        <w:rPr>
          <w:rFonts w:ascii="Arial" w:cs="Arial" w:eastAsia="Arial" w:hAnsi="Arial"/>
          <w:sz w:val="13"/>
          <w:szCs w:val="13"/>
          <w:color w:val="auto"/>
        </w:rPr>
        <w:t>. Subject to Lessee's indemnification of Lessor as set forth in Paragraph 8.7 below, and without relieving Lessee of liability resulting from Lessee's failure to</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ind w:left="4" w:right="80" w:firstLine="324"/>
        <w:spacing w:after="0" w:line="259" w:lineRule="auto"/>
        <w:rPr>
          <w:rFonts w:ascii="Arial" w:cs="Arial" w:eastAsia="Arial" w:hAnsi="Arial"/>
          <w:sz w:val="13"/>
          <w:szCs w:val="13"/>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Lessor's Obligations</w:t>
      </w:r>
      <w:r>
        <w:rPr>
          <w:rFonts w:ascii="Arial" w:cs="Arial" w:eastAsia="Arial" w:hAnsi="Arial"/>
          <w:sz w:val="14"/>
          <w:szCs w:val="14"/>
          <w:color w:val="auto"/>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w:t>
      </w:r>
    </w:p>
    <w:p>
      <w:pPr>
        <w:spacing w:after="0" w:line="2" w:lineRule="exact"/>
        <w:rPr>
          <w:rFonts w:ascii="Arial" w:cs="Arial" w:eastAsia="Arial" w:hAnsi="Arial"/>
          <w:sz w:val="13"/>
          <w:szCs w:val="13"/>
          <w:color w:val="auto"/>
        </w:rPr>
      </w:pPr>
    </w:p>
    <w:p>
      <w:pPr>
        <w:ind w:left="324"/>
        <w:spacing w:after="0"/>
        <w:rPr>
          <w:rFonts w:ascii="Arial" w:cs="Arial" w:eastAsia="Arial" w:hAnsi="Arial"/>
          <w:sz w:val="13"/>
          <w:szCs w:val="13"/>
          <w:color w:val="auto"/>
        </w:rPr>
      </w:pPr>
      <w:r>
        <w:rPr>
          <w:rFonts w:ascii="Arial" w:cs="Arial" w:eastAsia="Arial" w:hAnsi="Arial"/>
          <w:sz w:val="14"/>
          <w:szCs w:val="14"/>
          <w:color w:val="auto"/>
        </w:rPr>
        <w:t xml:space="preserve">7.3 </w:t>
      </w:r>
      <w:r>
        <w:rPr>
          <w:rFonts w:ascii="Arial" w:cs="Arial" w:eastAsia="Arial" w:hAnsi="Arial"/>
          <w:sz w:val="14"/>
          <w:szCs w:val="14"/>
          <w:b w:val="1"/>
          <w:bCs w:val="1"/>
          <w:color w:val="auto"/>
        </w:rPr>
        <w:t>Utility Installations; Trade Fixtures; Alterations</w:t>
      </w:r>
      <w:r>
        <w:rPr>
          <w:rFonts w:ascii="Arial" w:cs="Arial" w:eastAsia="Arial" w:hAnsi="Arial"/>
          <w:sz w:val="14"/>
          <w:szCs w:val="14"/>
          <w:color w:val="auto"/>
        </w:rPr>
        <w:t>.</w:t>
      </w:r>
    </w:p>
    <w:p>
      <w:pPr>
        <w:spacing w:after="0" w:line="12" w:lineRule="exact"/>
        <w:rPr>
          <w:rFonts w:ascii="Arial" w:cs="Arial" w:eastAsia="Arial" w:hAnsi="Arial"/>
          <w:sz w:val="13"/>
          <w:szCs w:val="13"/>
          <w:color w:val="auto"/>
        </w:rPr>
      </w:pPr>
    </w:p>
    <w:p>
      <w:pPr>
        <w:ind w:left="4" w:right="80" w:firstLine="644"/>
        <w:spacing w:after="0" w:line="262" w:lineRule="auto"/>
        <w:tabs>
          <w:tab w:leader="none" w:pos="848" w:val="left"/>
        </w:tabs>
        <w:numPr>
          <w:ilvl w:val="1"/>
          <w:numId w:val="76"/>
        </w:numPr>
        <w:rPr>
          <w:rFonts w:ascii="Arial" w:cs="Arial" w:eastAsia="Arial" w:hAnsi="Arial"/>
          <w:sz w:val="14"/>
          <w:szCs w:val="14"/>
          <w:color w:val="auto"/>
        </w:rPr>
      </w:pPr>
      <w:r>
        <w:rPr>
          <w:rFonts w:ascii="Arial" w:cs="Arial" w:eastAsia="Arial" w:hAnsi="Arial"/>
          <w:sz w:val="14"/>
          <w:szCs w:val="14"/>
          <w:b w:val="1"/>
          <w:bCs w:val="1"/>
          <w:color w:val="auto"/>
        </w:rPr>
        <w:t>Definitions</w:t>
      </w:r>
      <w:r>
        <w:rPr>
          <w:rFonts w:ascii="Arial" w:cs="Arial" w:eastAsia="Arial" w:hAnsi="Arial"/>
          <w:sz w:val="14"/>
          <w:szCs w:val="14"/>
          <w:color w:val="auto"/>
        </w:rPr>
        <w:t>. The term "</w:t>
      </w:r>
      <w:r>
        <w:rPr>
          <w:rFonts w:ascii="Arial" w:cs="Arial" w:eastAsia="Arial" w:hAnsi="Arial"/>
          <w:sz w:val="14"/>
          <w:szCs w:val="14"/>
          <w:b w:val="1"/>
          <w:bCs w:val="1"/>
          <w:color w:val="auto"/>
        </w:rPr>
        <w:t>Utility Installations</w:t>
      </w:r>
      <w:r>
        <w:rPr>
          <w:rFonts w:ascii="Arial" w:cs="Arial" w:eastAsia="Arial" w:hAnsi="Arial"/>
          <w:sz w:val="14"/>
          <w:szCs w:val="14"/>
          <w:color w:val="auto"/>
        </w:rPr>
        <w:t>" refers to all floor and window coverings, air and/or vacuum lines, power panels, electrical distribution, security and fire protection</w:t>
      </w:r>
      <w:r>
        <w:rPr>
          <w:rFonts w:ascii="Arial" w:cs="Arial" w:eastAsia="Arial" w:hAnsi="Arial"/>
          <w:sz w:val="14"/>
          <w:szCs w:val="14"/>
          <w:b w:val="1"/>
          <w:bCs w:val="1"/>
          <w:color w:val="auto"/>
        </w:rPr>
        <w:t xml:space="preserve"> </w:t>
      </w:r>
      <w:r>
        <w:rPr>
          <w:rFonts w:ascii="Arial" w:cs="Arial" w:eastAsia="Arial" w:hAnsi="Arial"/>
          <w:sz w:val="14"/>
          <w:szCs w:val="14"/>
          <w:color w:val="auto"/>
        </w:rPr>
        <w:t>systems, communication cabling, lighting fixtures, HVAC equipment, plumbing, and fencing in or on the Premises. The term "</w:t>
      </w:r>
      <w:r>
        <w:rPr>
          <w:rFonts w:ascii="Arial" w:cs="Arial" w:eastAsia="Arial" w:hAnsi="Arial"/>
          <w:sz w:val="14"/>
          <w:szCs w:val="14"/>
          <w:b w:val="1"/>
          <w:bCs w:val="1"/>
          <w:color w:val="auto"/>
        </w:rPr>
        <w:t>Trade Fixtures</w:t>
      </w:r>
      <w:r>
        <w:rPr>
          <w:rFonts w:ascii="Arial" w:cs="Arial" w:eastAsia="Arial" w:hAnsi="Arial"/>
          <w:sz w:val="14"/>
          <w:szCs w:val="14"/>
          <w:color w:val="auto"/>
        </w:rPr>
        <w:t>" shall mean Lessee's machinery and equipment that can be removed without doing material damage to the Premises. The term "Alterations" shall mean any modification of the improvements, other than Utility Installations or Trade Fixtures, whether by addition or deletion. "</w:t>
      </w:r>
      <w:r>
        <w:rPr>
          <w:rFonts w:ascii="Arial" w:cs="Arial" w:eastAsia="Arial" w:hAnsi="Arial"/>
          <w:sz w:val="14"/>
          <w:szCs w:val="14"/>
          <w:b w:val="1"/>
          <w:bCs w:val="1"/>
          <w:color w:val="auto"/>
        </w:rPr>
        <w:t>Lessee Owned Alterations and/or Utility Installations</w:t>
      </w:r>
      <w:r>
        <w:rPr>
          <w:rFonts w:ascii="Arial" w:cs="Arial" w:eastAsia="Arial" w:hAnsi="Arial"/>
          <w:sz w:val="14"/>
          <w:szCs w:val="14"/>
          <w:color w:val="auto"/>
        </w:rPr>
        <w:t>" are defined as Alterations and/or Utility Installations made by Lessee that are not yet owned by Lessor pursuant to Paragraph 7.4(a).</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1"/>
          <w:numId w:val="76"/>
        </w:numPr>
        <w:rPr>
          <w:rFonts w:ascii="Arial" w:cs="Arial" w:eastAsia="Arial" w:hAnsi="Arial"/>
          <w:sz w:val="14"/>
          <w:szCs w:val="14"/>
          <w:color w:val="auto"/>
        </w:rPr>
      </w:pPr>
      <w:r>
        <w:rPr>
          <w:rFonts w:ascii="Arial" w:cs="Arial" w:eastAsia="Arial" w:hAnsi="Arial"/>
          <w:sz w:val="14"/>
          <w:szCs w:val="14"/>
          <w:b w:val="1"/>
          <w:bCs w:val="1"/>
          <w:color w:val="auto"/>
        </w:rPr>
        <w:t>Consent</w:t>
      </w:r>
      <w:r>
        <w:rPr>
          <w:rFonts w:ascii="Arial" w:cs="Arial" w:eastAsia="Arial" w:hAnsi="Arial"/>
          <w:sz w:val="14"/>
          <w:szCs w:val="14"/>
          <w:color w:val="auto"/>
        </w:rPr>
        <w:t>. Lessee shall not make any Alterations or Utility Installations to the Premises without Lessor's prior written consent. Lessee may, however,</w:t>
      </w:r>
    </w:p>
    <w:p>
      <w:pPr>
        <w:spacing w:after="0" w:line="9" w:lineRule="exact"/>
        <w:rPr>
          <w:rFonts w:ascii="Arial" w:cs="Arial" w:eastAsia="Arial" w:hAnsi="Arial"/>
          <w:sz w:val="14"/>
          <w:szCs w:val="14"/>
          <w:color w:val="auto"/>
        </w:rPr>
      </w:pPr>
    </w:p>
    <w:p>
      <w:pPr>
        <w:ind w:left="4" w:right="100"/>
        <w:spacing w:after="0" w:line="260" w:lineRule="auto"/>
        <w:rPr>
          <w:rFonts w:ascii="Arial" w:cs="Arial" w:eastAsia="Arial" w:hAnsi="Arial"/>
          <w:sz w:val="14"/>
          <w:szCs w:val="14"/>
          <w:color w:val="auto"/>
        </w:rPr>
      </w:pPr>
      <w:r>
        <w:rPr>
          <w:rFonts w:ascii="Arial" w:cs="Arial" w:eastAsia="Arial" w:hAnsi="Arial"/>
          <w:sz w:val="14"/>
          <w:szCs w:val="14"/>
          <w:color w:val="auto"/>
        </w:rPr>
        <w:t>make nonstructural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do not trigger the requirement for additional modifications and/or improvements to the Premises resulting from Applicable Requirements, such as compliance with Title 24,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4" w:lineRule="exact"/>
        <w:rPr>
          <w:rFonts w:ascii="Arial" w:cs="Arial" w:eastAsia="Arial" w:hAnsi="Arial"/>
          <w:sz w:val="14"/>
          <w:szCs w:val="14"/>
          <w:color w:val="auto"/>
        </w:rPr>
      </w:pPr>
    </w:p>
    <w:p>
      <w:pPr>
        <w:ind w:left="844" w:hanging="196"/>
        <w:spacing w:after="0"/>
        <w:tabs>
          <w:tab w:leader="none" w:pos="844" w:val="left"/>
        </w:tabs>
        <w:numPr>
          <w:ilvl w:val="1"/>
          <w:numId w:val="76"/>
        </w:numPr>
        <w:rPr>
          <w:rFonts w:ascii="Arial" w:cs="Arial" w:eastAsia="Arial" w:hAnsi="Arial"/>
          <w:sz w:val="14"/>
          <w:szCs w:val="14"/>
          <w:color w:val="auto"/>
        </w:rPr>
      </w:pPr>
      <w:r>
        <w:rPr>
          <w:rFonts w:ascii="Arial" w:cs="Arial" w:eastAsia="Arial" w:hAnsi="Arial"/>
          <w:sz w:val="14"/>
          <w:szCs w:val="14"/>
          <w:b w:val="1"/>
          <w:bCs w:val="1"/>
          <w:color w:val="auto"/>
        </w:rPr>
        <w:t>Liens; Bonds</w:t>
      </w:r>
      <w:r>
        <w:rPr>
          <w:rFonts w:ascii="Arial" w:cs="Arial" w:eastAsia="Arial" w:hAnsi="Arial"/>
          <w:sz w:val="14"/>
          <w:szCs w:val="14"/>
          <w:color w:val="auto"/>
        </w:rPr>
        <w:t>. Lessee shall pay, when due, all claims for labor or materials furnished or alleged to have been furnished to or for Lessee at or for use on</w:t>
      </w:r>
    </w:p>
    <w:p>
      <w:pPr>
        <w:spacing w:after="0" w:line="16" w:lineRule="exact"/>
        <w:rPr>
          <w:rFonts w:ascii="Arial" w:cs="Arial" w:eastAsia="Arial" w:hAnsi="Arial"/>
          <w:sz w:val="14"/>
          <w:szCs w:val="14"/>
          <w:color w:val="auto"/>
        </w:rPr>
      </w:pPr>
    </w:p>
    <w:p>
      <w:pPr>
        <w:ind w:left="4" w:right="160"/>
        <w:spacing w:after="0" w:line="281" w:lineRule="auto"/>
        <w:rPr>
          <w:rFonts w:ascii="Arial" w:cs="Arial" w:eastAsia="Arial" w:hAnsi="Arial"/>
          <w:sz w:val="14"/>
          <w:szCs w:val="14"/>
          <w:color w:val="auto"/>
        </w:rPr>
      </w:pPr>
      <w:r>
        <w:rPr>
          <w:rFonts w:ascii="Arial" w:cs="Arial" w:eastAsia="Arial" w:hAnsi="Arial"/>
          <w:sz w:val="13"/>
          <w:szCs w:val="13"/>
          <w:color w:val="auto"/>
        </w:rPr>
        <w:t>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Ownership; Removal; Surrender; and Restoration</w:t>
      </w:r>
      <w:r>
        <w:rPr>
          <w:rFonts w:ascii="Arial" w:cs="Arial" w:eastAsia="Arial" w:hAnsi="Arial"/>
          <w:sz w:val="14"/>
          <w:szCs w:val="14"/>
          <w:color w:val="auto"/>
        </w:rPr>
        <w:t>.</w:t>
      </w:r>
    </w:p>
    <w:p>
      <w:pPr>
        <w:spacing w:after="0" w:line="12" w:lineRule="exact"/>
        <w:rPr>
          <w:rFonts w:ascii="Arial" w:cs="Arial" w:eastAsia="Arial" w:hAnsi="Arial"/>
          <w:sz w:val="14"/>
          <w:szCs w:val="14"/>
          <w:color w:val="auto"/>
        </w:rPr>
      </w:pPr>
    </w:p>
    <w:p>
      <w:pPr>
        <w:ind w:left="4" w:right="240" w:firstLine="644"/>
        <w:spacing w:after="0" w:line="262" w:lineRule="auto"/>
        <w:tabs>
          <w:tab w:leader="none" w:pos="848" w:val="left"/>
        </w:tabs>
        <w:numPr>
          <w:ilvl w:val="1"/>
          <w:numId w:val="77"/>
        </w:numPr>
        <w:rPr>
          <w:rFonts w:ascii="Arial" w:cs="Arial" w:eastAsia="Arial" w:hAnsi="Arial"/>
          <w:sz w:val="14"/>
          <w:szCs w:val="14"/>
          <w:color w:val="auto"/>
        </w:rPr>
      </w:pPr>
      <w:r>
        <w:rPr>
          <w:rFonts w:ascii="Arial" w:cs="Arial" w:eastAsia="Arial" w:hAnsi="Arial"/>
          <w:sz w:val="14"/>
          <w:szCs w:val="14"/>
          <w:b w:val="1"/>
          <w:bCs w:val="1"/>
          <w:color w:val="auto"/>
        </w:rPr>
        <w:t>Ownership</w:t>
      </w:r>
      <w:r>
        <w:rPr>
          <w:rFonts w:ascii="Arial" w:cs="Arial" w:eastAsia="Arial" w:hAnsi="Arial"/>
          <w:sz w:val="14"/>
          <w:szCs w:val="14"/>
          <w:color w:val="auto"/>
        </w:rPr>
        <w:t>. Subject to Lessor's right to require removal or elect ownership as hereinafter provided, all Alterations and Utility Installations made by Lessee shall be the</w:t>
      </w:r>
      <w:r>
        <w:rPr>
          <w:rFonts w:ascii="Arial" w:cs="Arial" w:eastAsia="Arial" w:hAnsi="Arial"/>
          <w:sz w:val="14"/>
          <w:szCs w:val="14"/>
          <w:b w:val="1"/>
          <w:bCs w:val="1"/>
          <w:color w:val="auto"/>
        </w:rPr>
        <w:t xml:space="preserve"> </w:t>
      </w:r>
      <w:r>
        <w:rPr>
          <w:rFonts w:ascii="Arial" w:cs="Arial" w:eastAsia="Arial" w:hAnsi="Arial"/>
          <w:sz w:val="14"/>
          <w:szCs w:val="14"/>
          <w:color w:val="auto"/>
        </w:rPr>
        <w:t>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1"/>
          <w:numId w:val="77"/>
        </w:numPr>
        <w:rPr>
          <w:rFonts w:ascii="Arial" w:cs="Arial" w:eastAsia="Arial" w:hAnsi="Arial"/>
          <w:sz w:val="14"/>
          <w:szCs w:val="14"/>
          <w:color w:val="auto"/>
        </w:rPr>
      </w:pPr>
      <w:r>
        <w:rPr>
          <w:rFonts w:ascii="Arial" w:cs="Arial" w:eastAsia="Arial" w:hAnsi="Arial"/>
          <w:sz w:val="14"/>
          <w:szCs w:val="14"/>
          <w:b w:val="1"/>
          <w:bCs w:val="1"/>
          <w:color w:val="auto"/>
        </w:rPr>
        <w:t>Removal</w:t>
      </w:r>
      <w:r>
        <w:rPr>
          <w:rFonts w:ascii="Arial" w:cs="Arial" w:eastAsia="Arial" w:hAnsi="Arial"/>
          <w:sz w:val="14"/>
          <w:szCs w:val="14"/>
          <w:color w:val="auto"/>
        </w:rPr>
        <w:t>. By delivery to Lessee of written notice from Lessor not earlier than 90 and not later than 30 days prior to the end of the term of this Lease,</w:t>
      </w:r>
    </w:p>
    <w:p>
      <w:pPr>
        <w:spacing w:after="0" w:line="16" w:lineRule="exact"/>
        <w:rPr>
          <w:rFonts w:ascii="Arial" w:cs="Arial" w:eastAsia="Arial" w:hAnsi="Arial"/>
          <w:sz w:val="14"/>
          <w:szCs w:val="14"/>
          <w:color w:val="auto"/>
        </w:rPr>
      </w:pPr>
    </w:p>
    <w:p>
      <w:pPr>
        <w:ind w:left="4" w:right="180"/>
        <w:spacing w:after="0" w:line="266" w:lineRule="auto"/>
        <w:rPr>
          <w:rFonts w:ascii="Arial" w:cs="Arial" w:eastAsia="Arial" w:hAnsi="Arial"/>
          <w:sz w:val="14"/>
          <w:szCs w:val="14"/>
          <w:color w:val="auto"/>
        </w:rPr>
      </w:pPr>
      <w:r>
        <w:rPr>
          <w:rFonts w:ascii="Arial" w:cs="Arial" w:eastAsia="Arial" w:hAnsi="Arial"/>
          <w:sz w:val="14"/>
          <w:szCs w:val="14"/>
          <w:color w:val="auto"/>
        </w:rPr>
        <w:t>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ind w:left="4" w:right="120" w:firstLine="644"/>
        <w:spacing w:after="0" w:line="286" w:lineRule="auto"/>
        <w:tabs>
          <w:tab w:leader="none" w:pos="848" w:val="left"/>
        </w:tabs>
        <w:numPr>
          <w:ilvl w:val="1"/>
          <w:numId w:val="77"/>
        </w:numPr>
        <w:rPr>
          <w:rFonts w:ascii="Arial" w:cs="Arial" w:eastAsia="Arial" w:hAnsi="Arial"/>
          <w:sz w:val="13"/>
          <w:szCs w:val="13"/>
          <w:color w:val="auto"/>
        </w:rPr>
      </w:pPr>
      <w:r>
        <w:rPr>
          <w:rFonts w:ascii="Arial" w:cs="Arial" w:eastAsia="Arial" w:hAnsi="Arial"/>
          <w:sz w:val="13"/>
          <w:szCs w:val="13"/>
          <w:b w:val="1"/>
          <w:bCs w:val="1"/>
          <w:color w:val="auto"/>
        </w:rPr>
        <w:t>Surrender; Restoration</w:t>
      </w:r>
      <w:r>
        <w:rPr>
          <w:rFonts w:ascii="Arial" w:cs="Arial" w:eastAsia="Arial" w:hAnsi="Arial"/>
          <w:sz w:val="13"/>
          <w:szCs w:val="13"/>
          <w:color w:val="auto"/>
        </w:rPr>
        <w:t>. Lessee shall surrender the Premises by the Expiration Date or any earlier termination date, with all of the improvements, parts and surfaces thereof</w:t>
      </w:r>
      <w:r>
        <w:rPr>
          <w:rFonts w:ascii="Arial" w:cs="Arial" w:eastAsia="Arial" w:hAnsi="Arial"/>
          <w:sz w:val="13"/>
          <w:szCs w:val="13"/>
          <w:b w:val="1"/>
          <w:bCs w:val="1"/>
          <w:color w:val="auto"/>
        </w:rPr>
        <w:t xml:space="preserve"> </w:t>
      </w:r>
      <w:r>
        <w:rPr>
          <w:rFonts w:ascii="Arial" w:cs="Arial" w:eastAsia="Arial" w:hAnsi="Arial"/>
          <w:sz w:val="13"/>
          <w:szCs w:val="13"/>
          <w:color w:val="auto"/>
        </w:rPr>
        <w:t>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and the provisions of Paragraph 7.1(a), if the Lessee occupies the Premises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remove from the Premises any and all Hazardous Substances brought onto the Premises by or for Lessee, or any third party (except Hazardous Substances which were deposited via underground migration from areas outside of the Project)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192" w:lineRule="exact"/>
        <w:rPr>
          <w:rFonts w:ascii="Arial" w:cs="Arial" w:eastAsia="Arial" w:hAnsi="Arial"/>
          <w:sz w:val="13"/>
          <w:szCs w:val="13"/>
          <w:color w:val="auto"/>
        </w:rPr>
      </w:pPr>
    </w:p>
    <w:p>
      <w:pPr>
        <w:ind w:left="144" w:hanging="144"/>
        <w:spacing w:after="0"/>
        <w:tabs>
          <w:tab w:leader="none" w:pos="144"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Insurance; Indemnity.</w:t>
      </w:r>
    </w:p>
    <w:p>
      <w:pPr>
        <w:spacing w:after="0" w:line="17"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Payment of Premiums</w:t>
      </w:r>
      <w:r>
        <w:rPr>
          <w:rFonts w:ascii="Arial" w:cs="Arial" w:eastAsia="Arial" w:hAnsi="Arial"/>
          <w:sz w:val="14"/>
          <w:szCs w:val="14"/>
          <w:color w:val="auto"/>
        </w:rPr>
        <w:t>. The cost of the premiums for the insurance policies required to be carried by Lessor, pursuant to Paragraphs 8.2(b), 8.3(a) and</w:t>
      </w:r>
    </w:p>
    <w:p>
      <w:pPr>
        <w:spacing w:after="0" w:line="16" w:lineRule="exact"/>
        <w:rPr>
          <w:sz w:val="20"/>
          <w:szCs w:val="20"/>
          <w:color w:val="auto"/>
        </w:rPr>
      </w:pPr>
    </w:p>
    <w:p>
      <w:pPr>
        <w:ind w:left="4" w:right="380"/>
        <w:spacing w:after="0" w:line="260" w:lineRule="auto"/>
        <w:rPr>
          <w:sz w:val="20"/>
          <w:szCs w:val="20"/>
          <w:color w:val="auto"/>
        </w:rPr>
      </w:pPr>
      <w:r>
        <w:rPr>
          <w:rFonts w:ascii="Arial" w:cs="Arial" w:eastAsia="Arial" w:hAnsi="Arial"/>
          <w:sz w:val="14"/>
          <w:szCs w:val="14"/>
          <w:color w:val="auto"/>
        </w:rPr>
        <w:t>8.3(b), shall be a Common Area Operating Expense. Premiums for policy periods commencing prior to, or extending beyond, the term of this Lease shall be prorated to coincide with the corresponding Start Date or Expiration Date.</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Liability Insurance</w:t>
      </w:r>
      <w:r>
        <w:rPr>
          <w:rFonts w:ascii="Arial" w:cs="Arial" w:eastAsia="Arial" w:hAnsi="Arial"/>
          <w:sz w:val="14"/>
          <w:szCs w:val="14"/>
          <w:color w:val="auto"/>
        </w:rPr>
        <w:t>.</w:t>
      </w:r>
    </w:p>
    <w:p>
      <w:pPr>
        <w:spacing w:after="0" w:line="26" w:lineRule="exact"/>
        <w:rPr>
          <w:sz w:val="20"/>
          <w:szCs w:val="20"/>
          <w:color w:val="auto"/>
        </w:rPr>
      </w:pPr>
    </w:p>
    <w:p>
      <w:pPr>
        <w:ind w:left="4" w:right="300" w:firstLine="644"/>
        <w:spacing w:after="0" w:line="311" w:lineRule="auto"/>
        <w:tabs>
          <w:tab w:leader="none" w:pos="848"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Carried by Lessee</w:t>
      </w:r>
      <w:r>
        <w:rPr>
          <w:rFonts w:ascii="Arial" w:cs="Arial" w:eastAsia="Arial" w:hAnsi="Arial"/>
          <w:sz w:val="12"/>
          <w:szCs w:val="12"/>
          <w:color w:val="auto"/>
        </w:rPr>
        <w:t>. Lessee shall obtain and keep in force a Commercial General Liability policy of insurance protecting Lessee and Lessor as an additional insured against</w:t>
      </w:r>
      <w:r>
        <w:rPr>
          <w:rFonts w:ascii="Arial" w:cs="Arial" w:eastAsia="Arial" w:hAnsi="Arial"/>
          <w:sz w:val="12"/>
          <w:szCs w:val="12"/>
          <w:b w:val="1"/>
          <w:bCs w:val="1"/>
          <w:color w:val="auto"/>
        </w:rPr>
        <w:t xml:space="preserve"> </w:t>
      </w:r>
      <w:r>
        <w:rPr>
          <w:rFonts w:ascii="Arial" w:cs="Arial" w:eastAsia="Arial" w:hAnsi="Arial"/>
          <w:sz w:val="12"/>
          <w:szCs w:val="12"/>
          <w:color w:val="auto"/>
        </w:rPr>
        <w:t>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w:t>
      </w:r>
    </w:p>
    <w:p>
      <w:pPr>
        <w:ind w:left="4" w:right="160"/>
        <w:spacing w:after="0" w:line="255" w:lineRule="auto"/>
        <w:rPr>
          <w:rFonts w:ascii="Arial" w:cs="Arial" w:eastAsia="Arial" w:hAnsi="Arial"/>
          <w:sz w:val="12"/>
          <w:szCs w:val="12"/>
          <w:color w:val="auto"/>
        </w:rPr>
      </w:pPr>
      <w:r>
        <w:rPr>
          <w:rFonts w:ascii="Arial" w:cs="Arial" w:eastAsia="Arial" w:hAnsi="Arial"/>
          <w:sz w:val="14"/>
          <w:szCs w:val="14"/>
          <w:color w:val="auto"/>
        </w:rPr>
        <w:t>Lessee shall add Lessor as an additional insured by means of an endorsement at least as broad as the Insurance Service Organization’s "Additional Insured-Managers or Lessors of Premises" Endorsement. The policy shall not contain any intra-insured exclusions</w:t>
      </w:r>
    </w:p>
    <w:p>
      <w:pPr>
        <w:ind w:left="4"/>
        <w:spacing w:after="0"/>
        <w:rPr>
          <w:rFonts w:ascii="Arial" w:cs="Arial" w:eastAsia="Arial" w:hAnsi="Arial"/>
          <w:sz w:val="12"/>
          <w:szCs w:val="12"/>
          <w:color w:val="auto"/>
        </w:rPr>
      </w:pPr>
      <w:r>
        <w:rPr>
          <w:rFonts w:ascii="Arial" w:cs="Arial" w:eastAsia="Arial" w:hAnsi="Arial"/>
          <w:sz w:val="14"/>
          <w:szCs w:val="14"/>
          <w:color w:val="auto"/>
        </w:rPr>
        <w:t>as between insured persons or organizations, but shall include coverage for liability assumed under this Lease as an "</w:t>
      </w:r>
      <w:r>
        <w:rPr>
          <w:rFonts w:ascii="Arial" w:cs="Arial" w:eastAsia="Arial" w:hAnsi="Arial"/>
          <w:sz w:val="14"/>
          <w:szCs w:val="14"/>
          <w:b w:val="1"/>
          <w:bCs w:val="1"/>
          <w:color w:val="auto"/>
        </w:rPr>
        <w:t>insured contract</w:t>
      </w:r>
      <w:r>
        <w:rPr>
          <w:rFonts w:ascii="Arial" w:cs="Arial" w:eastAsia="Arial" w:hAnsi="Arial"/>
          <w:sz w:val="14"/>
          <w:szCs w:val="14"/>
          <w:color w:val="auto"/>
        </w:rPr>
        <w:t>" for the performance of Lessee's</w:t>
      </w:r>
    </w:p>
    <w:p>
      <w:pPr>
        <w:spacing w:after="0" w:line="16" w:lineRule="exact"/>
        <w:rPr>
          <w:rFonts w:ascii="Arial" w:cs="Arial" w:eastAsia="Arial" w:hAnsi="Arial"/>
          <w:sz w:val="12"/>
          <w:szCs w:val="12"/>
          <w:color w:val="auto"/>
        </w:rPr>
      </w:pPr>
    </w:p>
    <w:p>
      <w:pPr>
        <w:ind w:left="4" w:right="320"/>
        <w:spacing w:after="0" w:line="260" w:lineRule="auto"/>
        <w:rPr>
          <w:rFonts w:ascii="Arial" w:cs="Arial" w:eastAsia="Arial" w:hAnsi="Arial"/>
          <w:sz w:val="12"/>
          <w:szCs w:val="12"/>
          <w:color w:val="auto"/>
        </w:rPr>
      </w:pPr>
      <w:r>
        <w:rPr>
          <w:rFonts w:ascii="Arial" w:cs="Arial" w:eastAsia="Arial" w:hAnsi="Arial"/>
          <w:sz w:val="14"/>
          <w:szCs w:val="14"/>
          <w:color w:val="auto"/>
        </w:rPr>
        <w:t>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 w:lineRule="exact"/>
        <w:rPr>
          <w:rFonts w:ascii="Arial" w:cs="Arial" w:eastAsia="Arial" w:hAnsi="Arial"/>
          <w:sz w:val="12"/>
          <w:szCs w:val="12"/>
          <w:color w:val="auto"/>
        </w:rPr>
      </w:pPr>
    </w:p>
    <w:p>
      <w:pPr>
        <w:ind w:left="844" w:hanging="196"/>
        <w:spacing w:after="0"/>
        <w:tabs>
          <w:tab w:leader="none" w:pos="844"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Carried by Lessor</w:t>
      </w:r>
      <w:r>
        <w:rPr>
          <w:rFonts w:ascii="Arial" w:cs="Arial" w:eastAsia="Arial" w:hAnsi="Arial"/>
          <w:sz w:val="14"/>
          <w:szCs w:val="14"/>
          <w:color w:val="auto"/>
        </w:rPr>
        <w:t>. Lessor shall maintain liability insurance as described in Paragraph 8.2(a), in addition to, and not in lieu of, the insurance required to</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be maintained by Lessee. Lessee shall not be named as an additional insured therein.</w:t>
      </w:r>
    </w:p>
    <w:p>
      <w:pPr>
        <w:spacing w:after="0" w:line="9"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Property Insurance Building, Improvements and Rental Value</w:t>
      </w:r>
      <w:r>
        <w:rPr>
          <w:rFonts w:ascii="Arial" w:cs="Arial" w:eastAsia="Arial" w:hAnsi="Arial"/>
          <w:sz w:val="14"/>
          <w:szCs w:val="14"/>
          <w:color w:val="auto"/>
        </w:rPr>
        <w:t>.</w:t>
      </w:r>
    </w:p>
    <w:p>
      <w:pPr>
        <w:spacing w:after="0" w:line="17" w:lineRule="exact"/>
        <w:rPr>
          <w:sz w:val="20"/>
          <w:szCs w:val="20"/>
          <w:color w:val="auto"/>
        </w:rPr>
      </w:pPr>
    </w:p>
    <w:p>
      <w:pPr>
        <w:jc w:val="both"/>
        <w:ind w:left="4" w:right="120" w:firstLine="644"/>
        <w:spacing w:after="0" w:line="274" w:lineRule="auto"/>
        <w:tabs>
          <w:tab w:leader="none" w:pos="848"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Building and Improvements</w:t>
      </w:r>
      <w:r>
        <w:rPr>
          <w:rFonts w:ascii="Arial" w:cs="Arial" w:eastAsia="Arial" w:hAnsi="Arial"/>
          <w:sz w:val="14"/>
          <w:szCs w:val="14"/>
          <w:color w:val="auto"/>
        </w:rPr>
        <w:t>. Lessor shall obtain and keep in force a policy or policies of insurance in the name of Lessor, with loss payable to Lessor, any ground-lessor, and</w:t>
      </w:r>
      <w:r>
        <w:rPr>
          <w:rFonts w:ascii="Arial" w:cs="Arial" w:eastAsia="Arial" w:hAnsi="Arial"/>
          <w:sz w:val="14"/>
          <w:szCs w:val="14"/>
          <w:b w:val="1"/>
          <w:bCs w:val="1"/>
          <w:color w:val="auto"/>
        </w:rPr>
        <w:t xml:space="preserve"> </w:t>
      </w:r>
      <w:r>
        <w:rPr>
          <w:rFonts w:ascii="Arial" w:cs="Arial" w:eastAsia="Arial" w:hAnsi="Arial"/>
          <w:sz w:val="14"/>
          <w:szCs w:val="14"/>
          <w:color w:val="auto"/>
        </w:rPr>
        <w:t>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w:t>
      </w:r>
    </w:p>
    <w:p>
      <w:pPr>
        <w:sectPr>
          <w:pgSz w:w="11900" w:h="16838" w:orient="portrait"/>
          <w:cols w:equalWidth="0" w:num="1">
            <w:col w:w="11064"/>
          </w:cols>
          <w:pgMar w:left="436" w:top="782" w:right="399" w:bottom="517" w:gutter="0" w:footer="0" w:header="0"/>
        </w:sectPr>
      </w:pPr>
    </w:p>
    <w:bookmarkStart w:id="144" w:name="page145"/>
    <w:bookmarkEnd w:id="144"/>
    <w:p>
      <w:pPr>
        <w:ind w:left="4" w:right="120"/>
        <w:spacing w:after="0" w:line="261" w:lineRule="auto"/>
        <w:rPr>
          <w:sz w:val="20"/>
          <w:szCs w:val="20"/>
          <w:color w:val="auto"/>
        </w:rPr>
      </w:pPr>
      <w:r>
        <w:rPr>
          <w:rFonts w:ascii="Arial" w:cs="Arial" w:eastAsia="Arial" w:hAnsi="Arial"/>
          <w:sz w:val="14"/>
          <w:szCs w:val="14"/>
          <w:color w:val="auto"/>
        </w:rPr>
        <w:t>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b w:val="1"/>
          <w:bCs w:val="1"/>
          <w:color w:val="auto"/>
        </w:rPr>
        <w:t>Rental Value</w:t>
      </w:r>
      <w:r>
        <w:rPr>
          <w:rFonts w:ascii="Arial" w:cs="Arial" w:eastAsia="Arial" w:hAnsi="Arial"/>
          <w:sz w:val="14"/>
          <w:szCs w:val="14"/>
          <w:color w:val="auto"/>
        </w:rPr>
        <w:t>. Lessor shall also obtain and keep in force a policy or policies in the name of Lessor with loss payable to Lessor and any Lender, insuring</w:t>
      </w:r>
    </w:p>
    <w:p>
      <w:pPr>
        <w:spacing w:after="0" w:line="16" w:lineRule="exact"/>
        <w:rPr>
          <w:sz w:val="20"/>
          <w:szCs w:val="20"/>
          <w:color w:val="auto"/>
        </w:rPr>
      </w:pPr>
    </w:p>
    <w:p>
      <w:pPr>
        <w:ind w:left="4" w:right="80"/>
        <w:spacing w:after="0" w:line="280" w:lineRule="auto"/>
        <w:rPr>
          <w:sz w:val="20"/>
          <w:szCs w:val="20"/>
          <w:color w:val="auto"/>
        </w:rPr>
      </w:pPr>
      <w:r>
        <w:rPr>
          <w:rFonts w:ascii="Arial" w:cs="Arial" w:eastAsia="Arial" w:hAnsi="Arial"/>
          <w:sz w:val="13"/>
          <w:szCs w:val="13"/>
          <w:color w:val="auto"/>
        </w:rPr>
        <w:t>the loss of the full Rent for one year with an extended 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w:t>
      </w:r>
    </w:p>
    <w:p>
      <w:pPr>
        <w:spacing w:after="0" w:line="1" w:lineRule="exact"/>
        <w:rPr>
          <w:sz w:val="20"/>
          <w:szCs w:val="20"/>
          <w:color w:val="auto"/>
        </w:rPr>
      </w:pPr>
    </w:p>
    <w:p>
      <w:pPr>
        <w:ind w:left="4" w:right="1600" w:firstLine="644"/>
        <w:spacing w:after="0" w:line="257" w:lineRule="auto"/>
        <w:tabs>
          <w:tab w:leader="none" w:pos="848" w:val="left"/>
        </w:tabs>
        <w:numPr>
          <w:ilvl w:val="1"/>
          <w:numId w:val="81"/>
        </w:numPr>
        <w:rPr>
          <w:rFonts w:ascii="Arial" w:cs="Arial" w:eastAsia="Arial" w:hAnsi="Arial"/>
          <w:sz w:val="14"/>
          <w:szCs w:val="14"/>
          <w:color w:val="auto"/>
        </w:rPr>
      </w:pPr>
      <w:r>
        <w:rPr>
          <w:rFonts w:ascii="Arial" w:cs="Arial" w:eastAsia="Arial" w:hAnsi="Arial"/>
          <w:sz w:val="14"/>
          <w:szCs w:val="14"/>
          <w:b w:val="1"/>
          <w:bCs w:val="1"/>
          <w:color w:val="auto"/>
        </w:rPr>
        <w:t>Adjacent Premises</w:t>
      </w:r>
      <w:r>
        <w:rPr>
          <w:rFonts w:ascii="Arial" w:cs="Arial" w:eastAsia="Arial" w:hAnsi="Arial"/>
          <w:sz w:val="14"/>
          <w:szCs w:val="14"/>
          <w:color w:val="auto"/>
        </w:rPr>
        <w:t>. Lessee shall pay for any increase in the premiums for the property insurance of the Building and for the Common Areas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buildings in the Project if said increase is caused by Lessee's acts, omissions, use or occupancy of the Premises.</w:t>
      </w:r>
    </w:p>
    <w:p>
      <w:pPr>
        <w:ind w:left="4" w:right="560" w:firstLine="644"/>
        <w:spacing w:after="0" w:line="255" w:lineRule="auto"/>
        <w:tabs>
          <w:tab w:leader="none" w:pos="856" w:val="left"/>
        </w:tabs>
        <w:numPr>
          <w:ilvl w:val="1"/>
          <w:numId w:val="81"/>
        </w:numPr>
        <w:rPr>
          <w:rFonts w:ascii="Arial" w:cs="Arial" w:eastAsia="Arial" w:hAnsi="Arial"/>
          <w:sz w:val="14"/>
          <w:szCs w:val="14"/>
          <w:color w:val="auto"/>
        </w:rPr>
      </w:pPr>
      <w:r>
        <w:rPr>
          <w:rFonts w:ascii="Arial" w:cs="Arial" w:eastAsia="Arial" w:hAnsi="Arial"/>
          <w:sz w:val="14"/>
          <w:szCs w:val="14"/>
          <w:b w:val="1"/>
          <w:bCs w:val="1"/>
          <w:color w:val="auto"/>
        </w:rPr>
        <w:t>Lessee's Improvements</w:t>
      </w:r>
      <w:r>
        <w:rPr>
          <w:rFonts w:ascii="Arial" w:cs="Arial" w:eastAsia="Arial" w:hAnsi="Arial"/>
          <w:sz w:val="14"/>
          <w:szCs w:val="14"/>
          <w:color w:val="auto"/>
        </w:rPr>
        <w:t>. Since Lessor is the Insuring Party, Lessor shall not be required to insure Lessee Owned Alterations and Utility Installations unless the item in</w:t>
      </w:r>
      <w:r>
        <w:rPr>
          <w:rFonts w:ascii="Arial" w:cs="Arial" w:eastAsia="Arial" w:hAnsi="Arial"/>
          <w:sz w:val="14"/>
          <w:szCs w:val="14"/>
          <w:b w:val="1"/>
          <w:bCs w:val="1"/>
          <w:color w:val="auto"/>
        </w:rPr>
        <w:t xml:space="preserve"> </w:t>
      </w:r>
      <w:r>
        <w:rPr>
          <w:rFonts w:ascii="Arial" w:cs="Arial" w:eastAsia="Arial" w:hAnsi="Arial"/>
          <w:sz w:val="14"/>
          <w:szCs w:val="14"/>
          <w:color w:val="auto"/>
        </w:rPr>
        <w:t>question has become the property of Lessor under the terms of this Lease.</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Lessee's Property; Business Interruption Insurance; Worker's Compensation Insurance</w:t>
      </w:r>
      <w:r>
        <w:rPr>
          <w:rFonts w:ascii="Arial" w:cs="Arial" w:eastAsia="Arial" w:hAnsi="Arial"/>
          <w:sz w:val="14"/>
          <w:szCs w:val="14"/>
          <w:color w:val="auto"/>
        </w:rPr>
        <w:t>.</w:t>
      </w:r>
    </w:p>
    <w:p>
      <w:pPr>
        <w:spacing w:after="0" w:line="12" w:lineRule="exact"/>
        <w:rPr>
          <w:rFonts w:ascii="Arial" w:cs="Arial" w:eastAsia="Arial" w:hAnsi="Arial"/>
          <w:sz w:val="14"/>
          <w:szCs w:val="14"/>
          <w:color w:val="auto"/>
        </w:rPr>
      </w:pPr>
    </w:p>
    <w:p>
      <w:pPr>
        <w:jc w:val="both"/>
        <w:ind w:left="4" w:right="560" w:firstLine="644"/>
        <w:spacing w:after="0" w:line="262" w:lineRule="auto"/>
        <w:tabs>
          <w:tab w:leader="none" w:pos="848" w:val="left"/>
        </w:tabs>
        <w:numPr>
          <w:ilvl w:val="1"/>
          <w:numId w:val="82"/>
        </w:numPr>
        <w:rPr>
          <w:rFonts w:ascii="Arial" w:cs="Arial" w:eastAsia="Arial" w:hAnsi="Arial"/>
          <w:sz w:val="14"/>
          <w:szCs w:val="14"/>
          <w:color w:val="auto"/>
        </w:rPr>
      </w:pPr>
      <w:r>
        <w:rPr>
          <w:rFonts w:ascii="Arial" w:cs="Arial" w:eastAsia="Arial" w:hAnsi="Arial"/>
          <w:sz w:val="14"/>
          <w:szCs w:val="14"/>
          <w:b w:val="1"/>
          <w:bCs w:val="1"/>
          <w:color w:val="auto"/>
        </w:rPr>
        <w:t>Property Damage</w:t>
      </w:r>
      <w:r>
        <w:rPr>
          <w:rFonts w:ascii="Arial" w:cs="Arial" w:eastAsia="Arial" w:hAnsi="Arial"/>
          <w:sz w:val="14"/>
          <w:szCs w:val="14"/>
          <w:color w:val="auto"/>
        </w:rPr>
        <w:t>. Lessee shall obtain and maintain insurance coverage on all of Lessee's personal property, Trade Fixtures, and Lessee Owned Alterations and Utility</w:t>
      </w:r>
      <w:r>
        <w:rPr>
          <w:rFonts w:ascii="Arial" w:cs="Arial" w:eastAsia="Arial" w:hAnsi="Arial"/>
          <w:sz w:val="14"/>
          <w:szCs w:val="14"/>
          <w:b w:val="1"/>
          <w:bCs w:val="1"/>
          <w:color w:val="auto"/>
        </w:rPr>
        <w:t xml:space="preserve"> </w:t>
      </w:r>
      <w:r>
        <w:rPr>
          <w:rFonts w:ascii="Arial" w:cs="Arial" w:eastAsia="Arial" w:hAnsi="Arial"/>
          <w:sz w:val="14"/>
          <w:szCs w:val="14"/>
          <w:color w:val="auto"/>
        </w:rPr>
        <w:t>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w:t>
      </w:r>
    </w:p>
    <w:p>
      <w:pPr>
        <w:spacing w:after="0" w:line="1" w:lineRule="exact"/>
        <w:rPr>
          <w:rFonts w:ascii="Arial" w:cs="Arial" w:eastAsia="Arial" w:hAnsi="Arial"/>
          <w:sz w:val="14"/>
          <w:szCs w:val="14"/>
          <w:color w:val="auto"/>
        </w:rPr>
      </w:pPr>
    </w:p>
    <w:p>
      <w:pPr>
        <w:ind w:left="4" w:right="1520" w:firstLine="644"/>
        <w:spacing w:after="0" w:line="253" w:lineRule="auto"/>
        <w:tabs>
          <w:tab w:leader="none" w:pos="856" w:val="left"/>
        </w:tabs>
        <w:numPr>
          <w:ilvl w:val="1"/>
          <w:numId w:val="82"/>
        </w:numPr>
        <w:rPr>
          <w:rFonts w:ascii="Arial" w:cs="Arial" w:eastAsia="Arial" w:hAnsi="Arial"/>
          <w:sz w:val="14"/>
          <w:szCs w:val="14"/>
          <w:color w:val="auto"/>
        </w:rPr>
      </w:pPr>
      <w:r>
        <w:rPr>
          <w:rFonts w:ascii="Arial" w:cs="Arial" w:eastAsia="Arial" w:hAnsi="Arial"/>
          <w:sz w:val="14"/>
          <w:szCs w:val="14"/>
          <w:b w:val="1"/>
          <w:bCs w:val="1"/>
          <w:color w:val="auto"/>
        </w:rPr>
        <w:t>Business Interruption</w:t>
      </w:r>
      <w:r>
        <w:rPr>
          <w:rFonts w:ascii="Arial" w:cs="Arial" w:eastAsia="Arial" w:hAnsi="Arial"/>
          <w:sz w:val="14"/>
          <w:szCs w:val="14"/>
          <w:color w:val="auto"/>
        </w:rPr>
        <w:t>. Lessee shall obtain and maintain loss of income and extra expense insurance in amounts as will reimburse Lessee for direct or</w:t>
      </w:r>
      <w:r>
        <w:rPr>
          <w:rFonts w:ascii="Arial" w:cs="Arial" w:eastAsia="Arial" w:hAnsi="Arial"/>
          <w:sz w:val="14"/>
          <w:szCs w:val="14"/>
          <w:b w:val="1"/>
          <w:bCs w:val="1"/>
          <w:color w:val="auto"/>
        </w:rPr>
        <w:t xml:space="preserve"> </w:t>
      </w:r>
      <w:r>
        <w:rPr>
          <w:rFonts w:ascii="Arial" w:cs="Arial" w:eastAsia="Arial" w:hAnsi="Arial"/>
          <w:sz w:val="14"/>
          <w:szCs w:val="14"/>
          <w:color w:val="auto"/>
        </w:rPr>
        <w:t>indirect loss of earnings attributable to all perils commonly insured against by prudent lessees in the business of Lessee or attributable to prevention of access to the Premises as a result of such perils.</w:t>
      </w:r>
    </w:p>
    <w:p>
      <w:pPr>
        <w:spacing w:after="0" w:line="1" w:lineRule="exact"/>
        <w:rPr>
          <w:rFonts w:ascii="Arial" w:cs="Arial" w:eastAsia="Arial" w:hAnsi="Arial"/>
          <w:sz w:val="14"/>
          <w:szCs w:val="14"/>
          <w:color w:val="auto"/>
        </w:rPr>
      </w:pPr>
    </w:p>
    <w:p>
      <w:pPr>
        <w:ind w:left="4" w:right="280" w:firstLine="644"/>
        <w:spacing w:after="0" w:line="262" w:lineRule="auto"/>
        <w:tabs>
          <w:tab w:leader="none" w:pos="848" w:val="left"/>
        </w:tabs>
        <w:numPr>
          <w:ilvl w:val="1"/>
          <w:numId w:val="82"/>
        </w:numPr>
        <w:rPr>
          <w:rFonts w:ascii="Arial" w:cs="Arial" w:eastAsia="Arial" w:hAnsi="Arial"/>
          <w:sz w:val="14"/>
          <w:szCs w:val="14"/>
          <w:color w:val="auto"/>
        </w:rPr>
      </w:pPr>
      <w:r>
        <w:rPr>
          <w:rFonts w:ascii="Arial" w:cs="Arial" w:eastAsia="Arial" w:hAnsi="Arial"/>
          <w:sz w:val="14"/>
          <w:szCs w:val="14"/>
          <w:b w:val="1"/>
          <w:bCs w:val="1"/>
          <w:color w:val="auto"/>
        </w:rPr>
        <w:t>Worker's Compensation Insurance</w:t>
      </w:r>
      <w:r>
        <w:rPr>
          <w:rFonts w:ascii="Arial" w:cs="Arial" w:eastAsia="Arial" w:hAnsi="Arial"/>
          <w:sz w:val="14"/>
          <w:szCs w:val="14"/>
          <w:color w:val="auto"/>
        </w:rPr>
        <w:t>. Lessee shall obtain and maintain Worker's Compensation Insurance in such amount as may be required by Applicable Requirements.</w:t>
      </w:r>
      <w:r>
        <w:rPr>
          <w:rFonts w:ascii="Arial" w:cs="Arial" w:eastAsia="Arial" w:hAnsi="Arial"/>
          <w:sz w:val="14"/>
          <w:szCs w:val="14"/>
          <w:b w:val="1"/>
          <w:bCs w:val="1"/>
          <w:color w:val="auto"/>
        </w:rPr>
        <w:t xml:space="preserve"> </w:t>
      </w:r>
      <w:r>
        <w:rPr>
          <w:rFonts w:ascii="Arial" w:cs="Arial" w:eastAsia="Arial" w:hAnsi="Arial"/>
          <w:sz w:val="14"/>
          <w:szCs w:val="14"/>
          <w:color w:val="auto"/>
        </w:rPr>
        <w:t>Such policy shall include a 'Waiver of Subrogation' endorsement. Lessee shall provide Lessor with a copy of such endorsement along with the certificate of insurance or copy of the policy required by paragraph 8.5.</w:t>
      </w:r>
    </w:p>
    <w:p>
      <w:pPr>
        <w:spacing w:after="0" w:line="1" w:lineRule="exact"/>
        <w:rPr>
          <w:rFonts w:ascii="Arial" w:cs="Arial" w:eastAsia="Arial" w:hAnsi="Arial"/>
          <w:sz w:val="14"/>
          <w:szCs w:val="14"/>
          <w:color w:val="auto"/>
        </w:rPr>
      </w:pPr>
    </w:p>
    <w:p>
      <w:pPr>
        <w:ind w:left="4" w:right="1780" w:firstLine="644"/>
        <w:spacing w:after="0" w:line="267" w:lineRule="auto"/>
        <w:tabs>
          <w:tab w:leader="none" w:pos="856" w:val="left"/>
        </w:tabs>
        <w:numPr>
          <w:ilvl w:val="1"/>
          <w:numId w:val="82"/>
        </w:numPr>
        <w:rPr>
          <w:rFonts w:ascii="Arial" w:cs="Arial" w:eastAsia="Arial" w:hAnsi="Arial"/>
          <w:sz w:val="14"/>
          <w:szCs w:val="14"/>
          <w:color w:val="auto"/>
        </w:rPr>
      </w:pPr>
      <w:r>
        <w:rPr>
          <w:rFonts w:ascii="Arial" w:cs="Arial" w:eastAsia="Arial" w:hAnsi="Arial"/>
          <w:sz w:val="14"/>
          <w:szCs w:val="14"/>
          <w:b w:val="1"/>
          <w:bCs w:val="1"/>
          <w:color w:val="auto"/>
        </w:rPr>
        <w:t>No Representation of Adequate Coverage</w:t>
      </w:r>
      <w:r>
        <w:rPr>
          <w:rFonts w:ascii="Arial" w:cs="Arial" w:eastAsia="Arial" w:hAnsi="Arial"/>
          <w:sz w:val="14"/>
          <w:szCs w:val="14"/>
          <w:color w:val="auto"/>
        </w:rPr>
        <w:t>. Lessor makes no representation that the limits or forms of coverage of insurance specified herein are</w:t>
      </w:r>
      <w:r>
        <w:rPr>
          <w:rFonts w:ascii="Arial" w:cs="Arial" w:eastAsia="Arial" w:hAnsi="Arial"/>
          <w:sz w:val="14"/>
          <w:szCs w:val="14"/>
          <w:b w:val="1"/>
          <w:bCs w:val="1"/>
          <w:color w:val="auto"/>
        </w:rPr>
        <w:t xml:space="preserve"> </w:t>
      </w:r>
      <w:r>
        <w:rPr>
          <w:rFonts w:ascii="Arial" w:cs="Arial" w:eastAsia="Arial" w:hAnsi="Arial"/>
          <w:sz w:val="14"/>
          <w:szCs w:val="14"/>
          <w:color w:val="auto"/>
        </w:rPr>
        <w:t>adequate to cover Lessee's property, business operations or obligations under this Lease.</w:t>
      </w:r>
    </w:p>
    <w:p>
      <w:pPr>
        <w:spacing w:after="0" w:line="1" w:lineRule="exact"/>
        <w:rPr>
          <w:rFonts w:ascii="Arial" w:cs="Arial" w:eastAsia="Arial" w:hAnsi="Arial"/>
          <w:sz w:val="14"/>
          <w:szCs w:val="14"/>
          <w:color w:val="auto"/>
        </w:rPr>
      </w:pPr>
    </w:p>
    <w:p>
      <w:pPr>
        <w:ind w:left="4" w:right="100" w:firstLine="324"/>
        <w:spacing w:after="0" w:line="264" w:lineRule="auto"/>
        <w:rPr>
          <w:rFonts w:ascii="Arial" w:cs="Arial" w:eastAsia="Arial" w:hAnsi="Arial"/>
          <w:sz w:val="14"/>
          <w:szCs w:val="14"/>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Insurance Policies</w:t>
      </w:r>
      <w:r>
        <w:rPr>
          <w:rFonts w:ascii="Arial" w:cs="Arial" w:eastAsia="Arial" w:hAnsi="Arial"/>
          <w:sz w:val="14"/>
          <w:szCs w:val="14"/>
          <w:color w:val="auto"/>
        </w:rPr>
        <w:t>.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w:t>
      </w:r>
    </w:p>
    <w:p>
      <w:pPr>
        <w:ind w:left="4" w:right="20"/>
        <w:spacing w:after="0" w:line="261" w:lineRule="auto"/>
        <w:rPr>
          <w:rFonts w:ascii="Arial" w:cs="Arial" w:eastAsia="Arial" w:hAnsi="Arial"/>
          <w:sz w:val="14"/>
          <w:szCs w:val="14"/>
          <w:color w:val="auto"/>
        </w:rPr>
      </w:pPr>
      <w:r>
        <w:rPr>
          <w:rFonts w:ascii="Arial" w:cs="Arial" w:eastAsia="Arial" w:hAnsi="Arial"/>
          <w:sz w:val="14"/>
          <w:szCs w:val="14"/>
          <w:color w:val="auto"/>
        </w:rPr>
        <w:t>to modification except after 30 days prior written notice to Lessor. Lessee shall, at least 10 days prior to the expiration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Waiver of Subrogation</w:t>
      </w:r>
      <w:r>
        <w:rPr>
          <w:rFonts w:ascii="Arial" w:cs="Arial" w:eastAsia="Arial" w:hAnsi="Arial"/>
          <w:sz w:val="14"/>
          <w:szCs w:val="14"/>
          <w:color w:val="auto"/>
        </w:rPr>
        <w:t>. Without acting any other rights or remedies, Lessee and Lessor each hereby release and relieve the other, and waive their entire</w:t>
      </w:r>
    </w:p>
    <w:p>
      <w:pPr>
        <w:spacing w:after="0" w:line="9" w:lineRule="exact"/>
        <w:rPr>
          <w:rFonts w:ascii="Arial" w:cs="Arial" w:eastAsia="Arial" w:hAnsi="Arial"/>
          <w:sz w:val="14"/>
          <w:szCs w:val="14"/>
          <w:color w:val="auto"/>
        </w:rPr>
      </w:pPr>
    </w:p>
    <w:p>
      <w:pPr>
        <w:ind w:left="4" w:right="260"/>
        <w:spacing w:after="0" w:line="281" w:lineRule="auto"/>
        <w:rPr>
          <w:rFonts w:ascii="Arial" w:cs="Arial" w:eastAsia="Arial" w:hAnsi="Arial"/>
          <w:sz w:val="14"/>
          <w:szCs w:val="14"/>
          <w:color w:val="auto"/>
        </w:rPr>
      </w:pPr>
      <w:r>
        <w:rPr>
          <w:rFonts w:ascii="Arial" w:cs="Arial" w:eastAsia="Arial" w:hAnsi="Arial"/>
          <w:sz w:val="13"/>
          <w:szCs w:val="13"/>
          <w:color w:val="auto"/>
        </w:rPr>
        <w:t>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 w:lineRule="exact"/>
        <w:rPr>
          <w:rFonts w:ascii="Arial" w:cs="Arial" w:eastAsia="Arial" w:hAnsi="Arial"/>
          <w:sz w:val="14"/>
          <w:szCs w:val="14"/>
          <w:color w:val="auto"/>
        </w:rPr>
      </w:pPr>
    </w:p>
    <w:p>
      <w:pPr>
        <w:ind w:left="4" w:right="120" w:firstLine="324"/>
        <w:spacing w:after="0" w:line="261" w:lineRule="auto"/>
        <w:rPr>
          <w:rFonts w:ascii="Arial" w:cs="Arial" w:eastAsia="Arial" w:hAnsi="Arial"/>
          <w:sz w:val="14"/>
          <w:szCs w:val="14"/>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Indemnity</w:t>
      </w:r>
      <w:r>
        <w:rPr>
          <w:rFonts w:ascii="Arial" w:cs="Arial" w:eastAsia="Arial" w:hAnsi="Arial"/>
          <w:sz w:val="14"/>
          <w:szCs w:val="14"/>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a Breach of the Lease by Lessee and/or the use and/or occupancy of the Premises and/or Project by Lessee and/or by Lessee's employees, contractors or invitees .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2" w:lineRule="exact"/>
        <w:rPr>
          <w:rFonts w:ascii="Arial" w:cs="Arial" w:eastAsia="Arial" w:hAnsi="Arial"/>
          <w:sz w:val="14"/>
          <w:szCs w:val="14"/>
          <w:color w:val="auto"/>
        </w:rPr>
      </w:pPr>
    </w:p>
    <w:p>
      <w:pPr>
        <w:ind w:left="4" w:right="20" w:firstLine="324"/>
        <w:spacing w:after="0" w:line="260" w:lineRule="auto"/>
        <w:rPr>
          <w:rFonts w:ascii="Arial" w:cs="Arial" w:eastAsia="Arial" w:hAnsi="Arial"/>
          <w:sz w:val="14"/>
          <w:szCs w:val="14"/>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Exemption of Lessor and its Agents from Liability</w:t>
      </w:r>
      <w:r>
        <w:rPr>
          <w:rFonts w:ascii="Arial" w:cs="Arial" w:eastAsia="Arial" w:hAnsi="Arial"/>
          <w:sz w:val="14"/>
          <w:szCs w:val="14"/>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ind w:left="324"/>
        <w:spacing w:after="0"/>
        <w:rPr>
          <w:rFonts w:ascii="Arial" w:cs="Arial" w:eastAsia="Arial" w:hAnsi="Arial"/>
          <w:sz w:val="14"/>
          <w:szCs w:val="14"/>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Failure to Provide Insurance</w:t>
      </w:r>
      <w:r>
        <w:rPr>
          <w:rFonts w:ascii="Arial" w:cs="Arial" w:eastAsia="Arial" w:hAnsi="Arial"/>
          <w:sz w:val="14"/>
          <w:szCs w:val="14"/>
          <w:color w:val="auto"/>
        </w:rPr>
        <w:t>. Lessee acknowledges that any failure on its part to obtain or maintain the insurance required herein will expose Lessor to</w:t>
      </w:r>
    </w:p>
    <w:p>
      <w:pPr>
        <w:spacing w:after="0" w:line="16" w:lineRule="exact"/>
        <w:rPr>
          <w:rFonts w:ascii="Arial" w:cs="Arial" w:eastAsia="Arial" w:hAnsi="Arial"/>
          <w:sz w:val="14"/>
          <w:szCs w:val="14"/>
          <w:color w:val="auto"/>
        </w:rPr>
      </w:pPr>
    </w:p>
    <w:p>
      <w:pPr>
        <w:ind w:left="4" w:right="60"/>
        <w:spacing w:after="0" w:line="264" w:lineRule="auto"/>
        <w:rPr>
          <w:rFonts w:ascii="Arial" w:cs="Arial" w:eastAsia="Arial" w:hAnsi="Arial"/>
          <w:sz w:val="14"/>
          <w:szCs w:val="14"/>
          <w:color w:val="auto"/>
        </w:rPr>
      </w:pPr>
      <w:r>
        <w:rPr>
          <w:rFonts w:ascii="Arial" w:cs="Arial" w:eastAsia="Arial" w:hAnsi="Arial"/>
          <w:sz w:val="14"/>
          <w:szCs w:val="14"/>
          <w:color w:val="auto"/>
        </w:rPr>
        <w:t>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w:t>
      </w:r>
    </w:p>
    <w:p>
      <w:pPr>
        <w:ind w:left="4" w:right="320"/>
        <w:spacing w:after="0" w:line="272" w:lineRule="auto"/>
        <w:rPr>
          <w:rFonts w:ascii="Arial" w:cs="Arial" w:eastAsia="Arial" w:hAnsi="Arial"/>
          <w:sz w:val="14"/>
          <w:szCs w:val="14"/>
          <w:color w:val="auto"/>
        </w:rPr>
      </w:pPr>
      <w:r>
        <w:rPr>
          <w:rFonts w:ascii="Arial" w:cs="Arial" w:eastAsia="Arial" w:hAnsi="Arial"/>
          <w:sz w:val="14"/>
          <w:szCs w:val="14"/>
          <w:color w:val="auto"/>
        </w:rPr>
        <w:t>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211" w:lineRule="exact"/>
        <w:rPr>
          <w:rFonts w:ascii="Arial" w:cs="Arial" w:eastAsia="Arial" w:hAnsi="Arial"/>
          <w:sz w:val="14"/>
          <w:szCs w:val="14"/>
          <w:color w:val="auto"/>
        </w:rPr>
      </w:pPr>
    </w:p>
    <w:p>
      <w:pPr>
        <w:ind w:left="144" w:hanging="144"/>
        <w:spacing w:after="0"/>
        <w:tabs>
          <w:tab w:leader="none" w:pos="144"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Damage or Destruction.</w:t>
      </w:r>
    </w:p>
    <w:p>
      <w:pPr>
        <w:spacing w:after="0" w:line="190" w:lineRule="exact"/>
        <w:rPr>
          <w:sz w:val="20"/>
          <w:szCs w:val="20"/>
          <w:color w:val="auto"/>
        </w:rPr>
      </w:pPr>
    </w:p>
    <w:p>
      <w:pPr>
        <w:jc w:val="both"/>
        <w:ind w:left="4" w:firstLine="644"/>
        <w:spacing w:after="0" w:line="266" w:lineRule="auto"/>
        <w:tabs>
          <w:tab w:leader="none" w:pos="848" w:val="left"/>
        </w:tabs>
        <w:numPr>
          <w:ilvl w:val="0"/>
          <w:numId w:val="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 Partial Damage</w:t>
      </w:r>
      <w:r>
        <w:rPr>
          <w:rFonts w:ascii="Arial" w:cs="Arial" w:eastAsia="Arial" w:hAnsi="Arial"/>
          <w:sz w:val="14"/>
          <w:szCs w:val="14"/>
          <w:color w:val="auto"/>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p>
      <w:pPr>
        <w:spacing w:after="0" w:line="1" w:lineRule="exact"/>
        <w:rPr>
          <w:rFonts w:ascii="Arial" w:cs="Arial" w:eastAsia="Arial" w:hAnsi="Arial"/>
          <w:sz w:val="14"/>
          <w:szCs w:val="14"/>
          <w:color w:val="auto"/>
        </w:rPr>
      </w:pPr>
    </w:p>
    <w:p>
      <w:pPr>
        <w:jc w:val="both"/>
        <w:ind w:left="4" w:right="80" w:firstLine="644"/>
        <w:spacing w:after="0" w:line="261" w:lineRule="auto"/>
        <w:tabs>
          <w:tab w:leader="none" w:pos="856" w:val="left"/>
        </w:tabs>
        <w:numPr>
          <w:ilvl w:val="0"/>
          <w:numId w:val="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Premises Total Destruction</w:t>
      </w:r>
      <w:r>
        <w:rPr>
          <w:rFonts w:ascii="Arial" w:cs="Arial" w:eastAsia="Arial" w:hAnsi="Arial"/>
          <w:sz w:val="14"/>
          <w:szCs w:val="14"/>
          <w:color w:val="auto"/>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1" w:lineRule="exact"/>
        <w:rPr>
          <w:rFonts w:ascii="Arial" w:cs="Arial" w:eastAsia="Arial" w:hAnsi="Arial"/>
          <w:sz w:val="14"/>
          <w:szCs w:val="14"/>
          <w:color w:val="auto"/>
        </w:rPr>
      </w:pPr>
    </w:p>
    <w:p>
      <w:pPr>
        <w:ind w:left="4" w:right="220" w:firstLine="644"/>
        <w:spacing w:after="0" w:line="264" w:lineRule="auto"/>
        <w:tabs>
          <w:tab w:leader="none" w:pos="848" w:val="left"/>
        </w:tabs>
        <w:numPr>
          <w:ilvl w:val="0"/>
          <w:numId w:val="8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Insured Loss</w:t>
      </w:r>
      <w:r>
        <w:rPr>
          <w:rFonts w:ascii="Arial" w:cs="Arial" w:eastAsia="Arial" w:hAnsi="Arial"/>
          <w:sz w:val="13"/>
          <w:szCs w:val="13"/>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ind w:left="844" w:hanging="196"/>
        <w:spacing w:after="0"/>
        <w:tabs>
          <w:tab w:leader="none" w:pos="844" w:val="left"/>
        </w:tabs>
        <w:numPr>
          <w:ilvl w:val="0"/>
          <w:numId w:val="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Cost</w:t>
      </w:r>
      <w:r>
        <w:rPr>
          <w:rFonts w:ascii="Arial" w:cs="Arial" w:eastAsia="Arial" w:hAnsi="Arial"/>
          <w:sz w:val="14"/>
          <w:szCs w:val="14"/>
          <w:color w:val="auto"/>
        </w:rPr>
        <w:t>" shall mean the cost to repair or rebuild the improvements owned by Lessor at the time of the occurrence to their condition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3"/>
          <w:szCs w:val="13"/>
          <w:color w:val="auto"/>
        </w:rPr>
        <w:t>existing immediately prior thereto, including demolition, debris removal and upgrading required by the operation of Applicable Requirements, and without deduction for depreciation.</w:t>
      </w:r>
    </w:p>
    <w:p>
      <w:pPr>
        <w:spacing w:after="0" w:line="18" w:lineRule="exact"/>
        <w:rPr>
          <w:sz w:val="20"/>
          <w:szCs w:val="20"/>
          <w:color w:val="auto"/>
        </w:rPr>
      </w:pPr>
    </w:p>
    <w:p>
      <w:pPr>
        <w:ind w:left="4" w:right="2020" w:firstLine="644"/>
        <w:spacing w:after="0" w:line="257" w:lineRule="auto"/>
        <w:tabs>
          <w:tab w:leader="none" w:pos="848" w:val="left"/>
        </w:tabs>
        <w:numPr>
          <w:ilvl w:val="0"/>
          <w:numId w:val="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Hazardous Substance Condition</w:t>
      </w:r>
      <w:r>
        <w:rPr>
          <w:rFonts w:ascii="Arial" w:cs="Arial" w:eastAsia="Arial" w:hAnsi="Arial"/>
          <w:sz w:val="14"/>
          <w:szCs w:val="14"/>
          <w:color w:val="auto"/>
        </w:rPr>
        <w:t>" shall mean the occurrence or discovery of a condition involving the presence of, or a contamination by, a Hazardous Substance, in, on, or under the Premises which requires restoration.</w:t>
      </w:r>
    </w:p>
    <w:p>
      <w:pPr>
        <w:ind w:left="4" w:right="60" w:firstLine="324"/>
        <w:spacing w:after="0" w:line="284" w:lineRule="auto"/>
        <w:rPr>
          <w:rFonts w:ascii="Arial" w:cs="Arial" w:eastAsia="Arial" w:hAnsi="Arial"/>
          <w:sz w:val="14"/>
          <w:szCs w:val="14"/>
          <w:color w:val="auto"/>
        </w:rPr>
      </w:pPr>
      <w:r>
        <w:rPr>
          <w:rFonts w:ascii="Arial" w:cs="Arial" w:eastAsia="Arial" w:hAnsi="Arial"/>
          <w:sz w:val="13"/>
          <w:szCs w:val="13"/>
          <w:color w:val="auto"/>
        </w:rPr>
        <w:t xml:space="preserve">9.2 </w:t>
      </w:r>
      <w:r>
        <w:rPr>
          <w:rFonts w:ascii="Arial" w:cs="Arial" w:eastAsia="Arial" w:hAnsi="Arial"/>
          <w:sz w:val="13"/>
          <w:szCs w:val="13"/>
          <w:b w:val="1"/>
          <w:bCs w:val="1"/>
          <w:color w:val="auto"/>
        </w:rPr>
        <w:t>Partial Damage Insured Loss</w:t>
      </w:r>
      <w:r>
        <w:rPr>
          <w:rFonts w:ascii="Arial" w:cs="Arial" w:eastAsia="Arial" w:hAnsi="Arial"/>
          <w:sz w:val="13"/>
          <w:szCs w:val="13"/>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w:t>
      </w:r>
    </w:p>
    <w:p>
      <w:pPr>
        <w:sectPr>
          <w:pgSz w:w="11900" w:h="16838" w:orient="portrait"/>
          <w:cols w:equalWidth="0" w:num="1">
            <w:col w:w="11044"/>
          </w:cols>
          <w:pgMar w:left="436" w:top="782" w:right="419" w:bottom="1082" w:gutter="0" w:footer="0" w:header="0"/>
        </w:sectPr>
      </w:pPr>
    </w:p>
    <w:bookmarkStart w:id="145" w:name="page146"/>
    <w:bookmarkEnd w:id="145"/>
    <w:p>
      <w:pPr>
        <w:ind w:left="4" w:right="60"/>
        <w:spacing w:after="0" w:line="281" w:lineRule="auto"/>
        <w:rPr>
          <w:sz w:val="20"/>
          <w:szCs w:val="20"/>
          <w:color w:val="auto"/>
        </w:rPr>
      </w:pPr>
      <w:r>
        <w:rPr>
          <w:rFonts w:ascii="Arial" w:cs="Arial" w:eastAsia="Arial" w:hAnsi="Arial"/>
          <w:sz w:val="13"/>
          <w:szCs w:val="13"/>
          <w:color w:val="auto"/>
        </w:rPr>
        <w:t>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Partial Damage Uninsured Loss</w:t>
      </w:r>
      <w:r>
        <w:rPr>
          <w:rFonts w:ascii="Arial" w:cs="Arial" w:eastAsia="Arial" w:hAnsi="Arial"/>
          <w:sz w:val="14"/>
          <w:szCs w:val="14"/>
          <w:color w:val="auto"/>
        </w:rPr>
        <w:t>. If a Premises Partial Damage that is not an Insured Loss occurs, unless caused by a negligent or willful act of Lessee (in</w:t>
      </w:r>
    </w:p>
    <w:p>
      <w:pPr>
        <w:spacing w:after="0" w:line="16" w:lineRule="exact"/>
        <w:rPr>
          <w:sz w:val="20"/>
          <w:szCs w:val="20"/>
          <w:color w:val="auto"/>
        </w:rPr>
      </w:pPr>
    </w:p>
    <w:p>
      <w:pPr>
        <w:ind w:left="4" w:right="380"/>
        <w:spacing w:after="0" w:line="283" w:lineRule="auto"/>
        <w:rPr>
          <w:sz w:val="20"/>
          <w:szCs w:val="20"/>
          <w:color w:val="auto"/>
        </w:rPr>
      </w:pPr>
      <w:r>
        <w:rPr>
          <w:rFonts w:ascii="Arial" w:cs="Arial" w:eastAsia="Arial" w:hAnsi="Arial"/>
          <w:sz w:val="13"/>
          <w:szCs w:val="13"/>
          <w:color w:val="auto"/>
        </w:rPr>
        <w:t>which event Lessee shall make the repairs at Lessee's expense), Lessor may either: (i) repair such damage as soon as reasonably possible at Lessor's expense (subject to reimbursement pursuant to Paragraph 4.2),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 w:lineRule="exact"/>
        <w:rPr>
          <w:sz w:val="20"/>
          <w:szCs w:val="20"/>
          <w:color w:val="auto"/>
        </w:rPr>
      </w:pPr>
    </w:p>
    <w:p>
      <w:pPr>
        <w:ind w:left="4" w:right="100" w:firstLine="324"/>
        <w:spacing w:after="0" w:line="298"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b w:val="1"/>
          <w:bCs w:val="1"/>
          <w:color w:val="auto"/>
        </w:rPr>
        <w:t>Total Destruction</w:t>
      </w:r>
      <w:r>
        <w:rPr>
          <w:rFonts w:ascii="Arial" w:cs="Arial" w:eastAsia="Arial" w:hAnsi="Arial"/>
          <w:sz w:val="12"/>
          <w:szCs w:val="12"/>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ind w:left="324"/>
        <w:spacing w:after="0"/>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color w:val="auto"/>
        </w:rPr>
        <w:t>Damage Near End of Term</w:t>
      </w:r>
      <w:r>
        <w:rPr>
          <w:rFonts w:ascii="Arial" w:cs="Arial" w:eastAsia="Arial" w:hAnsi="Arial"/>
          <w:sz w:val="14"/>
          <w:szCs w:val="14"/>
          <w:color w:val="auto"/>
        </w:rPr>
        <w:t>. If at any time during the last 6 months of this Lease there is damage for which the cost to repair exceeds one month's Base</w:t>
      </w:r>
    </w:p>
    <w:p>
      <w:pPr>
        <w:spacing w:after="0" w:line="16" w:lineRule="exact"/>
        <w:rPr>
          <w:sz w:val="20"/>
          <w:szCs w:val="20"/>
          <w:color w:val="auto"/>
        </w:rPr>
      </w:pPr>
    </w:p>
    <w:p>
      <w:pPr>
        <w:ind w:left="4" w:right="180"/>
        <w:spacing w:after="0" w:line="304" w:lineRule="auto"/>
        <w:rPr>
          <w:sz w:val="20"/>
          <w:szCs w:val="20"/>
          <w:color w:val="auto"/>
        </w:rPr>
      </w:pPr>
      <w:r>
        <w:rPr>
          <w:rFonts w:ascii="Arial" w:cs="Arial" w:eastAsia="Arial" w:hAnsi="Arial"/>
          <w:sz w:val="12"/>
          <w:szCs w:val="12"/>
          <w:color w:val="auto"/>
        </w:rPr>
        <w:t>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3"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b w:val="1"/>
          <w:bCs w:val="1"/>
          <w:color w:val="auto"/>
        </w:rPr>
        <w:t>Abatement of Rent; Lessee's Remedies</w:t>
      </w:r>
      <w:r>
        <w:rPr>
          <w:rFonts w:ascii="Arial" w:cs="Arial" w:eastAsia="Arial" w:hAnsi="Arial"/>
          <w:sz w:val="14"/>
          <w:szCs w:val="14"/>
          <w:color w:val="auto"/>
        </w:rPr>
        <w:t>.</w:t>
      </w:r>
    </w:p>
    <w:p>
      <w:pPr>
        <w:spacing w:after="0" w:line="9" w:lineRule="exact"/>
        <w:rPr>
          <w:sz w:val="20"/>
          <w:szCs w:val="20"/>
          <w:color w:val="auto"/>
        </w:rPr>
      </w:pPr>
    </w:p>
    <w:p>
      <w:pPr>
        <w:jc w:val="both"/>
        <w:ind w:left="4" w:right="180" w:firstLine="644"/>
        <w:spacing w:after="0" w:line="261" w:lineRule="auto"/>
        <w:tabs>
          <w:tab w:leader="none" w:pos="848" w:val="left"/>
        </w:tabs>
        <w:numPr>
          <w:ilvl w:val="1"/>
          <w:numId w:val="86"/>
        </w:numPr>
        <w:rPr>
          <w:rFonts w:ascii="Arial" w:cs="Arial" w:eastAsia="Arial" w:hAnsi="Arial"/>
          <w:sz w:val="14"/>
          <w:szCs w:val="14"/>
          <w:color w:val="auto"/>
        </w:rPr>
      </w:pPr>
      <w:r>
        <w:rPr>
          <w:rFonts w:ascii="Arial" w:cs="Arial" w:eastAsia="Arial" w:hAnsi="Arial"/>
          <w:sz w:val="14"/>
          <w:szCs w:val="14"/>
          <w:b w:val="1"/>
          <w:bCs w:val="1"/>
          <w:color w:val="auto"/>
        </w:rPr>
        <w:t>Abatement</w:t>
      </w:r>
      <w:r>
        <w:rPr>
          <w:rFonts w:ascii="Arial" w:cs="Arial" w:eastAsia="Arial" w:hAnsi="Arial"/>
          <w:sz w:val="14"/>
          <w:szCs w:val="14"/>
          <w:color w:val="auto"/>
        </w:rPr>
        <w:t>. In the event of Premises Partial Damage or Premises Total Destruction or a Hazardous Substance Condition for which Lessee is not responsible under this Lease,</w:t>
      </w:r>
      <w:r>
        <w:rPr>
          <w:rFonts w:ascii="Arial" w:cs="Arial" w:eastAsia="Arial" w:hAnsi="Arial"/>
          <w:sz w:val="14"/>
          <w:szCs w:val="14"/>
          <w:b w:val="1"/>
          <w:bCs w:val="1"/>
          <w:color w:val="auto"/>
        </w:rPr>
        <w:t xml:space="preserve"> </w:t>
      </w:r>
      <w:r>
        <w:rPr>
          <w:rFonts w:ascii="Arial" w:cs="Arial" w:eastAsia="Arial" w:hAnsi="Arial"/>
          <w:sz w:val="14"/>
          <w:szCs w:val="14"/>
          <w:color w:val="auto"/>
        </w:rPr>
        <w:t>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 w:lineRule="exact"/>
        <w:rPr>
          <w:rFonts w:ascii="Arial" w:cs="Arial" w:eastAsia="Arial" w:hAnsi="Arial"/>
          <w:sz w:val="14"/>
          <w:szCs w:val="14"/>
          <w:color w:val="auto"/>
        </w:rPr>
      </w:pPr>
    </w:p>
    <w:p>
      <w:pPr>
        <w:ind w:left="4" w:right="80" w:firstLine="644"/>
        <w:spacing w:after="0" w:line="261" w:lineRule="auto"/>
        <w:tabs>
          <w:tab w:leader="none" w:pos="856" w:val="left"/>
        </w:tabs>
        <w:numPr>
          <w:ilvl w:val="1"/>
          <w:numId w:val="86"/>
        </w:numPr>
        <w:rPr>
          <w:rFonts w:ascii="Arial" w:cs="Arial" w:eastAsia="Arial" w:hAnsi="Arial"/>
          <w:sz w:val="14"/>
          <w:szCs w:val="14"/>
          <w:color w:val="auto"/>
        </w:rPr>
      </w:pPr>
      <w:r>
        <w:rPr>
          <w:rFonts w:ascii="Arial" w:cs="Arial" w:eastAsia="Arial" w:hAnsi="Arial"/>
          <w:sz w:val="14"/>
          <w:szCs w:val="14"/>
          <w:b w:val="1"/>
          <w:bCs w:val="1"/>
          <w:color w:val="auto"/>
        </w:rPr>
        <w:t>Remedies</w:t>
      </w:r>
      <w:r>
        <w:rPr>
          <w:rFonts w:ascii="Arial" w:cs="Arial" w:eastAsia="Arial" w:hAnsi="Arial"/>
          <w:sz w:val="14"/>
          <w:szCs w:val="14"/>
          <w:color w:val="auto"/>
        </w:rPr>
        <w:t>. If Lessor is obligated to repair or restore the Premises and does not commence, in a substantial and meaningful way, such repair or restoration within 90 days after</w:t>
      </w:r>
      <w:r>
        <w:rPr>
          <w:rFonts w:ascii="Arial" w:cs="Arial" w:eastAsia="Arial" w:hAnsi="Arial"/>
          <w:sz w:val="14"/>
          <w:szCs w:val="14"/>
          <w:b w:val="1"/>
          <w:bCs w:val="1"/>
          <w:color w:val="auto"/>
        </w:rPr>
        <w:t xml:space="preserve"> </w:t>
      </w:r>
      <w:r>
        <w:rPr>
          <w:rFonts w:ascii="Arial" w:cs="Arial" w:eastAsia="Arial" w:hAnsi="Arial"/>
          <w:sz w:val="14"/>
          <w:szCs w:val="14"/>
          <w:color w:val="auto"/>
        </w:rPr>
        <w:t>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2" w:lineRule="exact"/>
        <w:rPr>
          <w:rFonts w:ascii="Arial" w:cs="Arial" w:eastAsia="Arial" w:hAnsi="Arial"/>
          <w:sz w:val="14"/>
          <w:szCs w:val="14"/>
          <w:color w:val="auto"/>
        </w:rPr>
      </w:pPr>
    </w:p>
    <w:p>
      <w:pPr>
        <w:jc w:val="both"/>
        <w:ind w:left="4" w:right="300" w:firstLine="324"/>
        <w:spacing w:after="0" w:line="272" w:lineRule="auto"/>
        <w:rPr>
          <w:rFonts w:ascii="Arial" w:cs="Arial" w:eastAsia="Arial" w:hAnsi="Arial"/>
          <w:sz w:val="14"/>
          <w:szCs w:val="14"/>
          <w:color w:val="auto"/>
        </w:rPr>
      </w:pPr>
      <w:r>
        <w:rPr>
          <w:rFonts w:ascii="Arial" w:cs="Arial" w:eastAsia="Arial" w:hAnsi="Arial"/>
          <w:sz w:val="14"/>
          <w:szCs w:val="14"/>
          <w:color w:val="auto"/>
        </w:rPr>
        <w:t xml:space="preserve">9.7 </w:t>
      </w:r>
      <w:r>
        <w:rPr>
          <w:rFonts w:ascii="Arial" w:cs="Arial" w:eastAsia="Arial" w:hAnsi="Arial"/>
          <w:sz w:val="14"/>
          <w:szCs w:val="14"/>
          <w:b w:val="1"/>
          <w:bCs w:val="1"/>
          <w:color w:val="auto"/>
        </w:rPr>
        <w:t>Termination; Advance Payments</w:t>
      </w:r>
      <w:r>
        <w:rPr>
          <w:rFonts w:ascii="Arial" w:cs="Arial" w:eastAsia="Arial" w:hAnsi="Arial"/>
          <w:sz w:val="14"/>
          <w:szCs w:val="14"/>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211" w:lineRule="exact"/>
        <w:rPr>
          <w:rFonts w:ascii="Arial" w:cs="Arial" w:eastAsia="Arial" w:hAnsi="Arial"/>
          <w:sz w:val="14"/>
          <w:szCs w:val="14"/>
          <w:color w:val="auto"/>
        </w:rPr>
      </w:pPr>
    </w:p>
    <w:p>
      <w:pPr>
        <w:ind w:left="224" w:hanging="224"/>
        <w:spacing w:after="0"/>
        <w:tabs>
          <w:tab w:leader="none" w:pos="224"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Real Property Taxes.</w:t>
      </w:r>
    </w:p>
    <w:p>
      <w:pPr>
        <w:spacing w:after="0" w:line="28" w:lineRule="exact"/>
        <w:rPr>
          <w:sz w:val="20"/>
          <w:szCs w:val="20"/>
          <w:color w:val="auto"/>
        </w:rPr>
      </w:pPr>
    </w:p>
    <w:p>
      <w:pPr>
        <w:ind w:left="4" w:firstLine="324"/>
        <w:spacing w:after="0" w:line="262"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Definition</w:t>
      </w:r>
      <w:r>
        <w:rPr>
          <w:rFonts w:ascii="Arial" w:cs="Arial" w:eastAsia="Arial" w:hAnsi="Arial"/>
          <w:sz w:val="14"/>
          <w:szCs w:val="14"/>
          <w:color w:val="auto"/>
        </w:rPr>
        <w:t>. As used herein, the term "</w:t>
      </w:r>
      <w:r>
        <w:rPr>
          <w:rFonts w:ascii="Arial" w:cs="Arial" w:eastAsia="Arial" w:hAnsi="Arial"/>
          <w:sz w:val="14"/>
          <w:szCs w:val="14"/>
          <w:b w:val="1"/>
          <w:bCs w:val="1"/>
          <w:color w:val="auto"/>
        </w:rPr>
        <w:t>Real Property Taxes</w:t>
      </w:r>
      <w:r>
        <w:rPr>
          <w:rFonts w:ascii="Arial" w:cs="Arial" w:eastAsia="Arial" w:hAnsi="Arial"/>
          <w:sz w:val="14"/>
          <w:szCs w:val="14"/>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estate tax year shall be included in the calculation of Real Property Taxes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for such calendar year based upon the number of days which such calendar year and tax year have in common.</w:t>
      </w:r>
    </w:p>
    <w:p>
      <w:pPr>
        <w:spacing w:after="0" w:line="12" w:lineRule="exact"/>
        <w:rPr>
          <w:sz w:val="20"/>
          <w:szCs w:val="20"/>
          <w:color w:val="auto"/>
        </w:rPr>
      </w:pPr>
    </w:p>
    <w:p>
      <w:pPr>
        <w:ind w:left="4" w:right="180" w:firstLine="324"/>
        <w:spacing w:after="0" w:line="269"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b w:val="1"/>
          <w:bCs w:val="1"/>
          <w:color w:val="auto"/>
        </w:rPr>
        <w:t>Payment of Taxes</w:t>
      </w:r>
      <w:r>
        <w:rPr>
          <w:rFonts w:ascii="Arial" w:cs="Arial" w:eastAsia="Arial" w:hAnsi="Arial"/>
          <w:sz w:val="14"/>
          <w:szCs w:val="14"/>
          <w:color w:val="auto"/>
        </w:rPr>
        <w:t>. Except as otherwise provided in Paragraph 10.3, Lessor shall pay the Real Property Taxes applicable to the Project, and said payments shall be included in the calculation of Common Area Operating Expenses in accordance with the provisions of Paragraph 4.2.</w:t>
      </w:r>
    </w:p>
    <w:p>
      <w:pPr>
        <w:spacing w:after="0" w:line="1" w:lineRule="exact"/>
        <w:rPr>
          <w:sz w:val="20"/>
          <w:szCs w:val="20"/>
          <w:color w:val="auto"/>
        </w:rPr>
      </w:pPr>
    </w:p>
    <w:p>
      <w:pPr>
        <w:ind w:left="4" w:right="160" w:firstLine="324"/>
        <w:spacing w:after="0" w:line="259"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Additional Improvements</w:t>
      </w:r>
      <w:r>
        <w:rPr>
          <w:rFonts w:ascii="Arial" w:cs="Arial" w:eastAsia="Arial" w:hAnsi="Arial"/>
          <w:sz w:val="14"/>
          <w:szCs w:val="14"/>
          <w:color w:val="auto"/>
        </w:rPr>
        <w:t>. 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Joint Assessment</w:t>
      </w:r>
      <w:r>
        <w:rPr>
          <w:rFonts w:ascii="Arial" w:cs="Arial" w:eastAsia="Arial" w:hAnsi="Arial"/>
          <w:sz w:val="14"/>
          <w:szCs w:val="14"/>
          <w:color w:val="auto"/>
        </w:rPr>
        <w:t>. If the Building is not separately assessed, Real Property Taxes allocated to the Building shall be an equitable proportion of the Real</w:t>
      </w:r>
    </w:p>
    <w:p>
      <w:pPr>
        <w:spacing w:after="0" w:line="9" w:lineRule="exact"/>
        <w:rPr>
          <w:sz w:val="20"/>
          <w:szCs w:val="20"/>
          <w:color w:val="auto"/>
        </w:rPr>
      </w:pPr>
    </w:p>
    <w:p>
      <w:pPr>
        <w:ind w:left="4" w:right="520"/>
        <w:spacing w:after="0" w:line="275" w:lineRule="auto"/>
        <w:rPr>
          <w:sz w:val="20"/>
          <w:szCs w:val="20"/>
          <w:color w:val="auto"/>
        </w:rPr>
      </w:pPr>
      <w:r>
        <w:rPr>
          <w:rFonts w:ascii="Arial" w:cs="Arial" w:eastAsia="Arial" w:hAnsi="Arial"/>
          <w:sz w:val="13"/>
          <w:szCs w:val="13"/>
          <w:color w:val="auto"/>
        </w:rPr>
        <w:t>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ind w:left="324"/>
        <w:spacing w:after="0"/>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Personal Property Taxes</w:t>
      </w:r>
      <w:r>
        <w:rPr>
          <w:rFonts w:ascii="Arial" w:cs="Arial" w:eastAsia="Arial" w:hAnsi="Arial"/>
          <w:sz w:val="14"/>
          <w:szCs w:val="14"/>
          <w:color w:val="auto"/>
        </w:rPr>
        <w:t>. Lessee shall pay prior to delinquency all taxes assessed against and levied upon Lessee Owned Alterations and Utility</w:t>
      </w:r>
    </w:p>
    <w:p>
      <w:pPr>
        <w:spacing w:after="0" w:line="16" w:lineRule="exact"/>
        <w:rPr>
          <w:sz w:val="20"/>
          <w:szCs w:val="20"/>
          <w:color w:val="auto"/>
        </w:rPr>
      </w:pPr>
    </w:p>
    <w:p>
      <w:pPr>
        <w:ind w:left="4" w:right="300"/>
        <w:spacing w:after="0" w:line="272" w:lineRule="auto"/>
        <w:rPr>
          <w:sz w:val="20"/>
          <w:szCs w:val="20"/>
          <w:color w:val="auto"/>
        </w:rPr>
      </w:pPr>
      <w:r>
        <w:rPr>
          <w:rFonts w:ascii="Arial" w:cs="Arial" w:eastAsia="Arial" w:hAnsi="Arial"/>
          <w:sz w:val="14"/>
          <w:szCs w:val="14"/>
          <w:color w:val="auto"/>
        </w:rPr>
        <w:t>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211" w:lineRule="exact"/>
        <w:rPr>
          <w:sz w:val="20"/>
          <w:szCs w:val="20"/>
          <w:color w:val="auto"/>
        </w:rPr>
      </w:pPr>
    </w:p>
    <w:p>
      <w:pPr>
        <w:ind w:left="4" w:right="280" w:hanging="4"/>
        <w:spacing w:after="0" w:line="265" w:lineRule="auto"/>
        <w:tabs>
          <w:tab w:leader="none" w:pos="212"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Utilities and Services. </w:t>
      </w:r>
      <w:r>
        <w:rPr>
          <w:rFonts w:ascii="Arial" w:cs="Arial" w:eastAsia="Arial" w:hAnsi="Arial"/>
          <w:sz w:val="14"/>
          <w:szCs w:val="14"/>
          <w:color w:val="auto"/>
        </w:rPr>
        <w:t>Lessee shall pay for all water, gas, heat, light, power, telephone, trash disposal and other utilities and services supplied to the Premises, together with any taxes</w:t>
      </w:r>
      <w:r>
        <w:rPr>
          <w:rFonts w:ascii="Arial" w:cs="Arial" w:eastAsia="Arial" w:hAnsi="Arial"/>
          <w:sz w:val="14"/>
          <w:szCs w:val="14"/>
          <w:b w:val="1"/>
          <w:bCs w:val="1"/>
          <w:color w:val="auto"/>
        </w:rPr>
        <w:t xml:space="preserve"> </w:t>
      </w:r>
      <w:r>
        <w:rPr>
          <w:rFonts w:ascii="Arial" w:cs="Arial" w:eastAsia="Arial" w:hAnsi="Arial"/>
          <w:sz w:val="14"/>
          <w:szCs w:val="14"/>
          <w:color w:val="auto"/>
        </w:rPr>
        <w:t>thereon.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trash receptacle and/or an increase in the number of times per month that it is emptied, then Lessor may increase Lessee's Base Rent by an amount</w:t>
      </w:r>
    </w:p>
    <w:p>
      <w:pPr>
        <w:spacing w:after="0" w:line="1" w:lineRule="exact"/>
        <w:rPr>
          <w:rFonts w:ascii="Arial" w:cs="Arial" w:eastAsia="Arial" w:hAnsi="Arial"/>
          <w:sz w:val="14"/>
          <w:szCs w:val="14"/>
          <w:b w:val="1"/>
          <w:bCs w:val="1"/>
          <w:color w:val="auto"/>
        </w:rPr>
      </w:pPr>
    </w:p>
    <w:p>
      <w:pPr>
        <w:ind w:left="4" w:right="100"/>
        <w:spacing w:after="0" w:line="323" w:lineRule="auto"/>
        <w:rPr>
          <w:rFonts w:ascii="Arial" w:cs="Arial" w:eastAsia="Arial" w:hAnsi="Arial"/>
          <w:sz w:val="14"/>
          <w:szCs w:val="14"/>
          <w:b w:val="1"/>
          <w:bCs w:val="1"/>
          <w:color w:val="auto"/>
        </w:rPr>
      </w:pPr>
      <w:r>
        <w:rPr>
          <w:rFonts w:ascii="Arial" w:cs="Arial" w:eastAsia="Arial" w:hAnsi="Arial"/>
          <w:sz w:val="13"/>
          <w:szCs w:val="13"/>
          <w:color w:val="auto"/>
        </w:rPr>
        <w:t>equal to such increased costs.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171" w:lineRule="exact"/>
        <w:rPr>
          <w:sz w:val="20"/>
          <w:szCs w:val="20"/>
          <w:color w:val="auto"/>
        </w:rPr>
      </w:pPr>
    </w:p>
    <w:p>
      <w:pPr>
        <w:ind w:left="4" w:right="1820"/>
        <w:spacing w:after="0" w:line="334" w:lineRule="auto"/>
        <w:rPr>
          <w:sz w:val="20"/>
          <w:szCs w:val="20"/>
          <w:color w:val="auto"/>
        </w:rPr>
      </w:pPr>
      <w:r>
        <w:rPr>
          <w:rFonts w:ascii="Arial" w:cs="Arial" w:eastAsia="Arial" w:hAnsi="Arial"/>
          <w:sz w:val="13"/>
          <w:szCs w:val="13"/>
          <w:color w:val="auto"/>
        </w:rPr>
        <w:t>Within fifteen days of Lessor’s written request, Lessee agrees to deliver to Lessor such information, documents and/or authorization as Lessor needs in order for Lessor to comply with new or existing Applicable Requirements relating to commercial building energy usage, ratings, and/or the reporting thereof.</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12. Assignment and Subletting.</w:t>
      </w:r>
    </w:p>
    <w:p>
      <w:pPr>
        <w:spacing w:after="0" w:line="25"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b w:val="1"/>
          <w:bCs w:val="1"/>
          <w:color w:val="auto"/>
        </w:rPr>
        <w:t>Lessor's Consent Required</w:t>
      </w:r>
      <w:r>
        <w:rPr>
          <w:rFonts w:ascii="Arial" w:cs="Arial" w:eastAsia="Arial" w:hAnsi="Arial"/>
          <w:sz w:val="14"/>
          <w:szCs w:val="14"/>
          <w:color w:val="auto"/>
        </w:rPr>
        <w:t>.</w:t>
      </w:r>
    </w:p>
    <w:p>
      <w:pPr>
        <w:spacing w:after="0" w:line="17" w:lineRule="exact"/>
        <w:rPr>
          <w:sz w:val="20"/>
          <w:szCs w:val="20"/>
          <w:color w:val="auto"/>
        </w:rPr>
      </w:pPr>
    </w:p>
    <w:p>
      <w:pPr>
        <w:ind w:left="4" w:right="280" w:firstLine="644"/>
        <w:spacing w:after="0" w:line="269" w:lineRule="auto"/>
        <w:tabs>
          <w:tab w:leader="none" w:pos="8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Lessee shall not voluntarily or by operation of law assign, transfer, mortgage or encumber (collectively, "</w:t>
      </w:r>
      <w:r>
        <w:rPr>
          <w:rFonts w:ascii="Arial" w:cs="Arial" w:eastAsia="Arial" w:hAnsi="Arial"/>
          <w:sz w:val="14"/>
          <w:szCs w:val="14"/>
          <w:b w:val="1"/>
          <w:bCs w:val="1"/>
          <w:color w:val="auto"/>
        </w:rPr>
        <w:t>assign or assignment</w:t>
      </w:r>
      <w:r>
        <w:rPr>
          <w:rFonts w:ascii="Arial" w:cs="Arial" w:eastAsia="Arial" w:hAnsi="Arial"/>
          <w:sz w:val="14"/>
          <w:szCs w:val="14"/>
          <w:color w:val="auto"/>
        </w:rPr>
        <w:t>") or sublet all or any part of Lessee's interest in this Lease or in the Premises without Lessor's prior written consent.</w:t>
      </w:r>
    </w:p>
    <w:p>
      <w:pPr>
        <w:ind w:left="4" w:right="160" w:firstLine="644"/>
        <w:spacing w:after="0" w:line="261" w:lineRule="auto"/>
        <w:tabs>
          <w:tab w:leader="none" w:pos="8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p>
      <w:pPr>
        <w:ind w:left="4" w:right="160" w:firstLine="644"/>
        <w:spacing w:after="0" w:line="268" w:lineRule="auto"/>
        <w:tabs>
          <w:tab w:leader="none" w:pos="8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w:t>
      </w:r>
    </w:p>
    <w:p>
      <w:pPr>
        <w:sectPr>
          <w:pgSz w:w="11900" w:h="16838" w:orient="portrait"/>
          <w:cols w:equalWidth="0" w:num="1">
            <w:col w:w="11044"/>
          </w:cols>
          <w:pgMar w:left="436" w:top="782" w:right="419" w:bottom="658" w:gutter="0" w:footer="0" w:header="0"/>
        </w:sectPr>
      </w:pPr>
    </w:p>
    <w:bookmarkStart w:id="146" w:name="page147"/>
    <w:bookmarkEnd w:id="146"/>
    <w:p>
      <w:pPr>
        <w:ind w:left="4" w:right="1900"/>
        <w:spacing w:after="0" w:line="274" w:lineRule="auto"/>
        <w:rPr>
          <w:sz w:val="20"/>
          <w:szCs w:val="20"/>
          <w:color w:val="auto"/>
        </w:rPr>
      </w:pPr>
      <w:r>
        <w:rPr>
          <w:rFonts w:ascii="Arial" w:cs="Arial" w:eastAsia="Arial" w:hAnsi="Arial"/>
          <w:sz w:val="14"/>
          <w:szCs w:val="14"/>
          <w:color w:val="auto"/>
        </w:rPr>
        <w:t>greater, shall be considered an assignment of this Lease to which Lessor may withhold its consent. "</w:t>
      </w:r>
      <w:r>
        <w:rPr>
          <w:rFonts w:ascii="Arial" w:cs="Arial" w:eastAsia="Arial" w:hAnsi="Arial"/>
          <w:sz w:val="14"/>
          <w:szCs w:val="14"/>
          <w:b w:val="1"/>
          <w:bCs w:val="1"/>
          <w:color w:val="auto"/>
        </w:rPr>
        <w:t>Net Worth of Lessee</w:t>
      </w:r>
      <w:r>
        <w:rPr>
          <w:rFonts w:ascii="Arial" w:cs="Arial" w:eastAsia="Arial" w:hAnsi="Arial"/>
          <w:sz w:val="14"/>
          <w:szCs w:val="14"/>
          <w:color w:val="auto"/>
        </w:rPr>
        <w:t>" shall mean the net worth of Lessee (excluding any guarantors) established under generally accepted accounting principles.</w:t>
      </w:r>
    </w:p>
    <w:p>
      <w:pPr>
        <w:spacing w:after="0" w:line="1" w:lineRule="exact"/>
        <w:rPr>
          <w:sz w:val="20"/>
          <w:szCs w:val="20"/>
          <w:color w:val="auto"/>
        </w:rPr>
      </w:pPr>
    </w:p>
    <w:p>
      <w:pPr>
        <w:ind w:left="4" w:right="20" w:firstLine="644"/>
        <w:spacing w:after="0" w:line="261" w:lineRule="auto"/>
        <w:tabs>
          <w:tab w:leader="none" w:pos="8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 assignment or subletting without consent shall, at Lessor's option, be a Default curable after notice per Paragraph 13.1(d),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ind w:left="844" w:hanging="196"/>
        <w:spacing w:after="0"/>
        <w:tabs>
          <w:tab w:leader="none" w:pos="844"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Lessee's remedy for any breach of Paragraph 12.1 by Lessor shall be limited to compensatory damages and/or injunctive relief.</w:t>
      </w:r>
    </w:p>
    <w:p>
      <w:pPr>
        <w:spacing w:after="0" w:line="1" w:lineRule="exact"/>
        <w:rPr>
          <w:rFonts w:ascii="Arial" w:cs="Arial" w:eastAsia="Arial" w:hAnsi="Arial"/>
          <w:sz w:val="14"/>
          <w:szCs w:val="14"/>
          <w:color w:val="auto"/>
        </w:rPr>
      </w:pPr>
    </w:p>
    <w:p>
      <w:pPr>
        <w:ind w:left="824" w:hanging="176"/>
        <w:spacing w:after="0"/>
        <w:tabs>
          <w:tab w:leader="none" w:pos="8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Lessor may reasonably withhold consent to a proposed assignment or subletting if Lessee is in Default at the time consent is requested.</w:t>
      </w:r>
    </w:p>
    <w:p>
      <w:pPr>
        <w:spacing w:after="0" w:line="16" w:lineRule="exact"/>
        <w:rPr>
          <w:rFonts w:ascii="Arial" w:cs="Arial" w:eastAsia="Arial" w:hAnsi="Arial"/>
          <w:sz w:val="14"/>
          <w:szCs w:val="14"/>
          <w:color w:val="auto"/>
        </w:rPr>
      </w:pPr>
    </w:p>
    <w:p>
      <w:pPr>
        <w:ind w:left="844" w:hanging="196"/>
        <w:spacing w:after="0"/>
        <w:tabs>
          <w:tab w:leader="none" w:pos="844" w:val="left"/>
        </w:tabs>
        <w:numPr>
          <w:ilvl w:val="0"/>
          <w:numId w:val="90"/>
        </w:numPr>
        <w:rPr>
          <w:rFonts w:ascii="Arial" w:cs="Arial" w:eastAsia="Arial" w:hAnsi="Arial"/>
          <w:sz w:val="14"/>
          <w:szCs w:val="14"/>
          <w:color w:val="auto"/>
        </w:rPr>
      </w:pPr>
      <w:r>
        <w:rPr>
          <w:rFonts w:ascii="Arial" w:cs="Arial" w:eastAsia="Arial" w:hAnsi="Arial"/>
          <w:sz w:val="14"/>
          <w:szCs w:val="14"/>
          <w:color w:val="auto"/>
        </w:rPr>
        <w:t>Notwithstanding the foregoing, allowing a de minimis portion of the Premises, ie. 20 square feet or less, to be used by a third party vendor in connection with the</w:t>
      </w:r>
    </w:p>
    <w:p>
      <w:pPr>
        <w:spacing w:after="0" w:line="21" w:lineRule="exact"/>
        <w:rPr>
          <w:sz w:val="20"/>
          <w:szCs w:val="20"/>
          <w:color w:val="auto"/>
        </w:rPr>
      </w:pPr>
    </w:p>
    <w:p>
      <w:pPr>
        <w:jc w:val="right"/>
        <w:ind w:right="6460"/>
        <w:spacing w:after="0"/>
        <w:rPr>
          <w:sz w:val="20"/>
          <w:szCs w:val="20"/>
          <w:color w:val="auto"/>
        </w:rPr>
      </w:pPr>
      <w:r>
        <w:rPr>
          <w:rFonts w:ascii="Arial" w:cs="Arial" w:eastAsia="Arial" w:hAnsi="Arial"/>
          <w:sz w:val="13"/>
          <w:szCs w:val="13"/>
          <w:color w:val="auto"/>
        </w:rPr>
        <w:t>installation of a vending machine or payphone shall not constitute a subletting.</w:t>
      </w:r>
    </w:p>
    <w:p>
      <w:pPr>
        <w:spacing w:after="0" w:line="18" w:lineRule="exact"/>
        <w:rPr>
          <w:sz w:val="20"/>
          <w:szCs w:val="20"/>
          <w:color w:val="auto"/>
        </w:rPr>
      </w:pPr>
    </w:p>
    <w:p>
      <w:pPr>
        <w:jc w:val="right"/>
        <w:ind w:right="6420"/>
        <w:spacing w:after="0"/>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b w:val="1"/>
          <w:bCs w:val="1"/>
          <w:color w:val="auto"/>
        </w:rPr>
        <w:t>Terms and Conditions Applicable to Assignment and Subletting</w:t>
      </w:r>
      <w:r>
        <w:rPr>
          <w:rFonts w:ascii="Arial" w:cs="Arial" w:eastAsia="Arial" w:hAnsi="Arial"/>
          <w:sz w:val="13"/>
          <w:szCs w:val="13"/>
          <w:color w:val="auto"/>
        </w:rPr>
        <w:t>.</w:t>
      </w:r>
    </w:p>
    <w:p>
      <w:pPr>
        <w:spacing w:after="0" w:line="28" w:lineRule="exact"/>
        <w:rPr>
          <w:sz w:val="20"/>
          <w:szCs w:val="20"/>
          <w:color w:val="auto"/>
        </w:rPr>
      </w:pPr>
    </w:p>
    <w:p>
      <w:pPr>
        <w:ind w:left="4" w:right="160" w:firstLine="644"/>
        <w:spacing w:after="0" w:line="260" w:lineRule="auto"/>
        <w:tabs>
          <w:tab w:leader="none" w:pos="848"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Regardless of Lessor's consent, no assignment or subletting shall :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Lessor may accept Rent or performance of Lessee's obligations from any person other than Lessee pending approval or disapproval of an assignment.</w:t>
      </w:r>
    </w:p>
    <w:p>
      <w:pPr>
        <w:spacing w:after="0" w:line="9" w:lineRule="exact"/>
        <w:rPr>
          <w:sz w:val="20"/>
          <w:szCs w:val="20"/>
          <w:color w:val="auto"/>
        </w:rPr>
      </w:pPr>
    </w:p>
    <w:p>
      <w:pPr>
        <w:ind w:left="4" w:right="60"/>
        <w:spacing w:after="0" w:line="255" w:lineRule="auto"/>
        <w:rPr>
          <w:sz w:val="20"/>
          <w:szCs w:val="20"/>
          <w:color w:val="auto"/>
        </w:rPr>
      </w:pPr>
      <w:r>
        <w:rPr>
          <w:rFonts w:ascii="Arial" w:cs="Arial" w:eastAsia="Arial" w:hAnsi="Arial"/>
          <w:sz w:val="14"/>
          <w:szCs w:val="14"/>
          <w:color w:val="auto"/>
        </w:rPr>
        <w:t>Neither a delay in the approval or disapproval of such assignment nor the acceptance of Rent or performance shall constitute a waiver or estoppel of Lessor's right to exercise its remedies for Lessee's Default or Breach.</w:t>
      </w:r>
    </w:p>
    <w:p>
      <w:pPr>
        <w:spacing w:after="0" w:line="1" w:lineRule="exact"/>
        <w:rPr>
          <w:sz w:val="20"/>
          <w:szCs w:val="20"/>
          <w:color w:val="auto"/>
        </w:rPr>
      </w:pPr>
    </w:p>
    <w:p>
      <w:pPr>
        <w:ind w:left="844" w:hanging="196"/>
        <w:spacing w:after="0"/>
        <w:tabs>
          <w:tab w:leader="none" w:pos="844" w:val="left"/>
        </w:tabs>
        <w:numPr>
          <w:ilvl w:val="0"/>
          <w:numId w:val="92"/>
        </w:numPr>
        <w:rPr>
          <w:rFonts w:ascii="Arial" w:cs="Arial" w:eastAsia="Arial" w:hAnsi="Arial"/>
          <w:sz w:val="14"/>
          <w:szCs w:val="14"/>
          <w:color w:val="auto"/>
        </w:rPr>
      </w:pPr>
      <w:r>
        <w:rPr>
          <w:rFonts w:ascii="Arial" w:cs="Arial" w:eastAsia="Arial" w:hAnsi="Arial"/>
          <w:sz w:val="14"/>
          <w:szCs w:val="14"/>
          <w:color w:val="auto"/>
        </w:rPr>
        <w:t>Lessor's consent to any assignment or subletting shall not constitute a consent to any subsequent assignment or subletting.</w:t>
      </w:r>
    </w:p>
    <w:p>
      <w:pPr>
        <w:spacing w:after="0" w:line="16" w:lineRule="exact"/>
        <w:rPr>
          <w:rFonts w:ascii="Arial" w:cs="Arial" w:eastAsia="Arial" w:hAnsi="Arial"/>
          <w:sz w:val="14"/>
          <w:szCs w:val="14"/>
          <w:color w:val="auto"/>
        </w:rPr>
      </w:pPr>
    </w:p>
    <w:p>
      <w:pPr>
        <w:ind w:left="4" w:right="440" w:firstLine="644"/>
        <w:spacing w:after="0" w:line="264" w:lineRule="auto"/>
        <w:tabs>
          <w:tab w:leader="none" w:pos="8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spacing w:after="0" w:line="1" w:lineRule="exact"/>
        <w:rPr>
          <w:rFonts w:ascii="Arial" w:cs="Arial" w:eastAsia="Arial" w:hAnsi="Arial"/>
          <w:sz w:val="14"/>
          <w:szCs w:val="14"/>
          <w:color w:val="auto"/>
        </w:rPr>
      </w:pPr>
    </w:p>
    <w:p>
      <w:pPr>
        <w:ind w:left="4" w:right="60" w:firstLine="644"/>
        <w:spacing w:after="0" w:line="253" w:lineRule="auto"/>
        <w:tabs>
          <w:tab w:leader="none" w:pos="848"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 w:lineRule="exact"/>
        <w:rPr>
          <w:rFonts w:ascii="Arial" w:cs="Arial" w:eastAsia="Arial" w:hAnsi="Arial"/>
          <w:sz w:val="14"/>
          <w:szCs w:val="14"/>
          <w:color w:val="auto"/>
        </w:rPr>
      </w:pPr>
    </w:p>
    <w:p>
      <w:pPr>
        <w:ind w:left="824" w:hanging="176"/>
        <w:spacing w:after="0"/>
        <w:tabs>
          <w:tab w:leader="none" w:pos="8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Any assignee of, or sublessee under, this Lease shall, by reason of accepting such assignment, entering into such sublease, or entering into possession</w:t>
      </w:r>
    </w:p>
    <w:p>
      <w:pPr>
        <w:spacing w:after="0" w:line="9" w:lineRule="exact"/>
        <w:rPr>
          <w:sz w:val="20"/>
          <w:szCs w:val="20"/>
          <w:color w:val="auto"/>
        </w:rPr>
      </w:pPr>
    </w:p>
    <w:p>
      <w:pPr>
        <w:ind w:left="4" w:right="100"/>
        <w:spacing w:after="0" w:line="257" w:lineRule="auto"/>
        <w:rPr>
          <w:sz w:val="20"/>
          <w:szCs w:val="20"/>
          <w:color w:val="auto"/>
        </w:rPr>
      </w:pPr>
      <w:r>
        <w:rPr>
          <w:rFonts w:ascii="Arial" w:cs="Arial" w:eastAsia="Arial" w:hAnsi="Arial"/>
          <w:sz w:val="14"/>
          <w:szCs w:val="14"/>
          <w:color w:val="auto"/>
        </w:rPr>
        <w:t>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 w:lineRule="exact"/>
        <w:rPr>
          <w:sz w:val="20"/>
          <w:szCs w:val="20"/>
          <w:color w:val="auto"/>
        </w:rPr>
      </w:pPr>
    </w:p>
    <w:p>
      <w:pPr>
        <w:ind w:left="4" w:right="1520" w:firstLine="644"/>
        <w:spacing w:after="0" w:line="257" w:lineRule="auto"/>
        <w:tabs>
          <w:tab w:leader="none" w:pos="856" w:val="left"/>
        </w:tabs>
        <w:numPr>
          <w:ilvl w:val="1"/>
          <w:numId w:val="93"/>
        </w:numPr>
        <w:rPr>
          <w:rFonts w:ascii="Arial" w:cs="Arial" w:eastAsia="Arial" w:hAnsi="Arial"/>
          <w:sz w:val="14"/>
          <w:szCs w:val="14"/>
          <w:color w:val="auto"/>
        </w:rPr>
      </w:pPr>
      <w:r>
        <w:rPr>
          <w:rFonts w:ascii="Arial" w:cs="Arial" w:eastAsia="Arial" w:hAnsi="Arial"/>
          <w:sz w:val="14"/>
          <w:szCs w:val="14"/>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ind w:left="4" w:right="240" w:firstLine="324"/>
        <w:spacing w:after="0" w:line="255" w:lineRule="auto"/>
        <w:rPr>
          <w:rFonts w:ascii="Arial" w:cs="Arial" w:eastAsia="Arial" w:hAnsi="Arial"/>
          <w:sz w:val="14"/>
          <w:szCs w:val="14"/>
          <w:color w:val="auto"/>
        </w:rPr>
      </w:pPr>
      <w:r>
        <w:rPr>
          <w:rFonts w:ascii="Arial" w:cs="Arial" w:eastAsia="Arial" w:hAnsi="Arial"/>
          <w:sz w:val="14"/>
          <w:szCs w:val="14"/>
          <w:color w:val="auto"/>
        </w:rPr>
        <w:t xml:space="preserve">12.3 </w:t>
      </w:r>
      <w:r>
        <w:rPr>
          <w:rFonts w:ascii="Arial" w:cs="Arial" w:eastAsia="Arial" w:hAnsi="Arial"/>
          <w:sz w:val="14"/>
          <w:szCs w:val="14"/>
          <w:b w:val="1"/>
          <w:bCs w:val="1"/>
          <w:color w:val="auto"/>
        </w:rPr>
        <w:t>Additional Terms and Conditions Applicable to Subletting</w:t>
      </w:r>
      <w:r>
        <w:rPr>
          <w:rFonts w:ascii="Arial" w:cs="Arial" w:eastAsia="Arial" w:hAnsi="Arial"/>
          <w:sz w:val="14"/>
          <w:szCs w:val="14"/>
          <w:color w:val="auto"/>
        </w:rPr>
        <w:t>. The following terms and conditions shall apply to any subletting by Lessee of all or any part of the Premises and shall be deemed included in all subleases under this Lease whether or not expressly incorporated therein:</w:t>
      </w:r>
    </w:p>
    <w:p>
      <w:pPr>
        <w:ind w:left="844" w:hanging="196"/>
        <w:spacing w:after="0"/>
        <w:tabs>
          <w:tab w:leader="none" w:pos="844" w:val="left"/>
        </w:tabs>
        <w:numPr>
          <w:ilvl w:val="1"/>
          <w:numId w:val="94"/>
        </w:numPr>
        <w:rPr>
          <w:rFonts w:ascii="Arial" w:cs="Arial" w:eastAsia="Arial" w:hAnsi="Arial"/>
          <w:sz w:val="14"/>
          <w:szCs w:val="14"/>
          <w:color w:val="auto"/>
        </w:rPr>
      </w:pPr>
      <w:r>
        <w:rPr>
          <w:rFonts w:ascii="Arial" w:cs="Arial" w:eastAsia="Arial" w:hAnsi="Arial"/>
          <w:sz w:val="14"/>
          <w:szCs w:val="14"/>
          <w:color w:val="auto"/>
        </w:rPr>
        <w:t>Lessee hereby assigns and transfers to Lessor all of Lessee's interest in all Rent payable on any sublease, and Lessor may collect such Rent and apply</w:t>
      </w:r>
    </w:p>
    <w:p>
      <w:pPr>
        <w:spacing w:after="0" w:line="16" w:lineRule="exact"/>
        <w:rPr>
          <w:rFonts w:ascii="Arial" w:cs="Arial" w:eastAsia="Arial" w:hAnsi="Arial"/>
          <w:sz w:val="14"/>
          <w:szCs w:val="14"/>
          <w:color w:val="auto"/>
        </w:rPr>
      </w:pPr>
    </w:p>
    <w:p>
      <w:pPr>
        <w:ind w:left="4" w:right="20"/>
        <w:spacing w:after="0" w:line="281" w:lineRule="auto"/>
        <w:rPr>
          <w:rFonts w:ascii="Arial" w:cs="Arial" w:eastAsia="Arial" w:hAnsi="Arial"/>
          <w:sz w:val="14"/>
          <w:szCs w:val="14"/>
          <w:color w:val="auto"/>
        </w:rPr>
      </w:pPr>
      <w:r>
        <w:rPr>
          <w:rFonts w:ascii="Arial" w:cs="Arial" w:eastAsia="Arial" w:hAnsi="Arial"/>
          <w:sz w:val="13"/>
          <w:szCs w:val="13"/>
          <w:color w:val="auto"/>
        </w:rPr>
        <w:t>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1"/>
          <w:numId w:val="94"/>
        </w:numPr>
        <w:rPr>
          <w:rFonts w:ascii="Arial" w:cs="Arial" w:eastAsia="Arial" w:hAnsi="Arial"/>
          <w:sz w:val="14"/>
          <w:szCs w:val="14"/>
          <w:color w:val="auto"/>
        </w:rPr>
      </w:pPr>
      <w:r>
        <w:rPr>
          <w:rFonts w:ascii="Arial" w:cs="Arial" w:eastAsia="Arial" w:hAnsi="Arial"/>
          <w:sz w:val="14"/>
          <w:szCs w:val="14"/>
          <w:color w:val="auto"/>
        </w:rPr>
        <w:t>In the event of a Breach by Lessee, Lessor may, at its option, require sublessee to attorn to Lessor, in which event Lessor shall undertake the</w:t>
      </w:r>
    </w:p>
    <w:p>
      <w:pPr>
        <w:spacing w:after="0" w:line="16" w:lineRule="exact"/>
        <w:rPr>
          <w:rFonts w:ascii="Arial" w:cs="Arial" w:eastAsia="Arial" w:hAnsi="Arial"/>
          <w:sz w:val="14"/>
          <w:szCs w:val="14"/>
          <w:color w:val="auto"/>
        </w:rPr>
      </w:pPr>
    </w:p>
    <w:p>
      <w:pPr>
        <w:ind w:left="4" w:right="160"/>
        <w:spacing w:after="0" w:line="260" w:lineRule="auto"/>
        <w:rPr>
          <w:rFonts w:ascii="Arial" w:cs="Arial" w:eastAsia="Arial" w:hAnsi="Arial"/>
          <w:sz w:val="14"/>
          <w:szCs w:val="14"/>
          <w:color w:val="auto"/>
        </w:rPr>
      </w:pPr>
      <w:r>
        <w:rPr>
          <w:rFonts w:ascii="Arial" w:cs="Arial" w:eastAsia="Arial" w:hAnsi="Arial"/>
          <w:sz w:val="14"/>
          <w:szCs w:val="14"/>
          <w:color w:val="auto"/>
        </w:rPr>
        <w:t>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ind w:left="844" w:hanging="196"/>
        <w:spacing w:after="0"/>
        <w:tabs>
          <w:tab w:leader="none" w:pos="844" w:val="left"/>
        </w:tabs>
        <w:numPr>
          <w:ilvl w:val="1"/>
          <w:numId w:val="94"/>
        </w:numPr>
        <w:rPr>
          <w:rFonts w:ascii="Arial" w:cs="Arial" w:eastAsia="Arial" w:hAnsi="Arial"/>
          <w:sz w:val="14"/>
          <w:szCs w:val="14"/>
          <w:color w:val="auto"/>
        </w:rPr>
      </w:pPr>
      <w:r>
        <w:rPr>
          <w:rFonts w:ascii="Arial" w:cs="Arial" w:eastAsia="Arial" w:hAnsi="Arial"/>
          <w:sz w:val="14"/>
          <w:szCs w:val="14"/>
          <w:color w:val="auto"/>
        </w:rPr>
        <w:t>Any matter requiring the consent of the sublessor under a sublease shall also require the consent of Lessor.</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1"/>
          <w:numId w:val="94"/>
        </w:numPr>
        <w:rPr>
          <w:rFonts w:ascii="Arial" w:cs="Arial" w:eastAsia="Arial" w:hAnsi="Arial"/>
          <w:sz w:val="14"/>
          <w:szCs w:val="14"/>
          <w:color w:val="auto"/>
        </w:rPr>
      </w:pPr>
      <w:r>
        <w:rPr>
          <w:rFonts w:ascii="Arial" w:cs="Arial" w:eastAsia="Arial" w:hAnsi="Arial"/>
          <w:sz w:val="14"/>
          <w:szCs w:val="14"/>
          <w:color w:val="auto"/>
        </w:rPr>
        <w:t>No sublessee shall further assign or sublet all or any part of the Premises without Lessor's prior written consent.</w:t>
      </w:r>
    </w:p>
    <w:p>
      <w:pPr>
        <w:spacing w:after="0" w:line="16" w:lineRule="exact"/>
        <w:rPr>
          <w:rFonts w:ascii="Arial" w:cs="Arial" w:eastAsia="Arial" w:hAnsi="Arial"/>
          <w:sz w:val="14"/>
          <w:szCs w:val="14"/>
          <w:color w:val="auto"/>
        </w:rPr>
      </w:pPr>
    </w:p>
    <w:p>
      <w:pPr>
        <w:ind w:left="4" w:right="20" w:firstLine="644"/>
        <w:spacing w:after="0" w:line="293" w:lineRule="auto"/>
        <w:tabs>
          <w:tab w:leader="none" w:pos="848" w:val="left"/>
        </w:tabs>
        <w:numPr>
          <w:ilvl w:val="1"/>
          <w:numId w:val="94"/>
        </w:numPr>
        <w:rPr>
          <w:rFonts w:ascii="Arial" w:cs="Arial" w:eastAsia="Arial" w:hAnsi="Arial"/>
          <w:sz w:val="14"/>
          <w:szCs w:val="14"/>
          <w:color w:val="auto"/>
        </w:rPr>
      </w:pPr>
      <w:r>
        <w:rPr>
          <w:rFonts w:ascii="Arial" w:cs="Arial" w:eastAsia="Arial" w:hAnsi="Arial"/>
          <w:sz w:val="14"/>
          <w:szCs w:val="14"/>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196" w:lineRule="exact"/>
        <w:rPr>
          <w:rFonts w:ascii="Arial" w:cs="Arial" w:eastAsia="Arial" w:hAnsi="Arial"/>
          <w:sz w:val="14"/>
          <w:szCs w:val="14"/>
          <w:color w:val="auto"/>
        </w:rPr>
      </w:pPr>
    </w:p>
    <w:p>
      <w:pPr>
        <w:ind w:left="224" w:hanging="224"/>
        <w:spacing w:after="0"/>
        <w:tabs>
          <w:tab w:leader="none" w:pos="224"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Default; Breach; Remedies.</w:t>
      </w:r>
    </w:p>
    <w:p>
      <w:pPr>
        <w:spacing w:after="0" w:line="25" w:lineRule="exact"/>
        <w:rPr>
          <w:sz w:val="20"/>
          <w:szCs w:val="20"/>
          <w:color w:val="auto"/>
        </w:rPr>
      </w:pPr>
    </w:p>
    <w:p>
      <w:pPr>
        <w:ind w:left="324"/>
        <w:spacing w:after="0"/>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b w:val="1"/>
          <w:bCs w:val="1"/>
          <w:color w:val="auto"/>
        </w:rPr>
        <w:t>Default; Breach</w:t>
      </w:r>
      <w:r>
        <w:rPr>
          <w:rFonts w:ascii="Arial" w:cs="Arial" w:eastAsia="Arial" w:hAnsi="Arial"/>
          <w:sz w:val="13"/>
          <w:szCs w:val="13"/>
          <w:color w:val="auto"/>
        </w:rPr>
        <w:t>. A "</w:t>
      </w:r>
      <w:r>
        <w:rPr>
          <w:rFonts w:ascii="Arial" w:cs="Arial" w:eastAsia="Arial" w:hAnsi="Arial"/>
          <w:sz w:val="13"/>
          <w:szCs w:val="13"/>
          <w:b w:val="1"/>
          <w:bCs w:val="1"/>
          <w:color w:val="auto"/>
        </w:rPr>
        <w:t>Default</w:t>
      </w:r>
      <w:r>
        <w:rPr>
          <w:rFonts w:ascii="Arial" w:cs="Arial" w:eastAsia="Arial" w:hAnsi="Arial"/>
          <w:sz w:val="13"/>
          <w:szCs w:val="13"/>
          <w:color w:val="auto"/>
        </w:rPr>
        <w:t>" is defined as a failure by the Lessee to comply with or perform any of the terms, covenants, conditions or Rules and Regulations under this Lease.</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4"/>
          <w:szCs w:val="14"/>
          <w:color w:val="auto"/>
        </w:rPr>
        <w:t>A "</w:t>
      </w:r>
      <w:r>
        <w:rPr>
          <w:rFonts w:ascii="Arial" w:cs="Arial" w:eastAsia="Arial" w:hAnsi="Arial"/>
          <w:sz w:val="14"/>
          <w:szCs w:val="14"/>
          <w:b w:val="1"/>
          <w:bCs w:val="1"/>
          <w:color w:val="auto"/>
        </w:rPr>
        <w:t>Breach</w:t>
      </w:r>
      <w:r>
        <w:rPr>
          <w:rFonts w:ascii="Arial" w:cs="Arial" w:eastAsia="Arial" w:hAnsi="Arial"/>
          <w:sz w:val="14"/>
          <w:szCs w:val="14"/>
          <w:color w:val="auto"/>
        </w:rPr>
        <w:t>" is defined as the occurrence of one or more of the following Defaults, and the failure of Lessee to cure such Default within any applicable grace period:</w:t>
      </w:r>
    </w:p>
    <w:p>
      <w:pPr>
        <w:spacing w:after="0" w:line="6" w:lineRule="exact"/>
        <w:rPr>
          <w:sz w:val="20"/>
          <w:szCs w:val="20"/>
          <w:color w:val="auto"/>
        </w:rPr>
      </w:pPr>
    </w:p>
    <w:p>
      <w:pPr>
        <w:ind w:left="644"/>
        <w:spacing w:after="0"/>
        <w:rPr>
          <w:sz w:val="20"/>
          <w:szCs w:val="20"/>
          <w:color w:val="auto"/>
        </w:rPr>
      </w:pPr>
      <w:r>
        <w:rPr>
          <w:rFonts w:ascii="Arial" w:cs="Arial" w:eastAsia="Arial" w:hAnsi="Arial"/>
          <w:sz w:val="14"/>
          <w:szCs w:val="14"/>
          <w:color w:val="auto"/>
        </w:rPr>
        <w:t>(a) The abandonment of the Premises; or the vacating of the Premises without providing a commercially reasonable level of security, or where the</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4"/>
          <w:szCs w:val="14"/>
          <w:color w:val="auto"/>
        </w:rPr>
        <w:t>coverage of the property insurance described in Paragraph 8.3 is jeopardized as a result thereof, or without providing reasonable assurances to minimize potential vandalism.</w:t>
      </w:r>
    </w:p>
    <w:p>
      <w:pPr>
        <w:spacing w:after="0" w:line="21" w:lineRule="exact"/>
        <w:rPr>
          <w:sz w:val="20"/>
          <w:szCs w:val="20"/>
          <w:color w:val="auto"/>
        </w:rPr>
      </w:pPr>
    </w:p>
    <w:p>
      <w:pPr>
        <w:ind w:left="4" w:right="140" w:firstLine="644"/>
        <w:spacing w:after="0" w:line="258" w:lineRule="auto"/>
        <w:tabs>
          <w:tab w:leader="none" w:pos="856"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failure of Lessee to allow Lessor and/or its agents access to the Premises or the commission of waste, act or acts constituting public or private</w:t>
      </w:r>
    </w:p>
    <w:p>
      <w:pPr>
        <w:spacing w:after="0" w:line="16" w:lineRule="exact"/>
        <w:rPr>
          <w:sz w:val="20"/>
          <w:szCs w:val="20"/>
          <w:color w:val="auto"/>
        </w:rPr>
      </w:pPr>
    </w:p>
    <w:p>
      <w:pPr>
        <w:ind w:left="4"/>
        <w:spacing w:after="0" w:line="260" w:lineRule="auto"/>
        <w:rPr>
          <w:sz w:val="20"/>
          <w:szCs w:val="20"/>
          <w:color w:val="auto"/>
        </w:rPr>
      </w:pPr>
      <w:r>
        <w:rPr>
          <w:rFonts w:ascii="Arial" w:cs="Arial" w:eastAsia="Arial" w:hAnsi="Arial"/>
          <w:sz w:val="14"/>
          <w:szCs w:val="14"/>
          <w:color w:val="auto"/>
        </w:rPr>
        <w:t>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4"/>
          <w:szCs w:val="14"/>
          <w:color w:val="auto"/>
        </w:rPr>
        <w:t>(d) The failure by Lessee to provide (i) reasonable written evidence of compliance with Applicable Requirements, (ii) the service contracts, (iii) the</w:t>
      </w:r>
    </w:p>
    <w:p>
      <w:pPr>
        <w:spacing w:after="0" w:line="16" w:lineRule="exact"/>
        <w:rPr>
          <w:sz w:val="20"/>
          <w:szCs w:val="20"/>
          <w:color w:val="auto"/>
        </w:rPr>
      </w:pPr>
    </w:p>
    <w:p>
      <w:pPr>
        <w:ind w:left="4" w:right="440"/>
        <w:spacing w:after="0" w:line="266" w:lineRule="auto"/>
        <w:rPr>
          <w:sz w:val="20"/>
          <w:szCs w:val="20"/>
          <w:color w:val="auto"/>
        </w:rPr>
      </w:pPr>
      <w:r>
        <w:rPr>
          <w:rFonts w:ascii="Arial" w:cs="Arial" w:eastAsia="Arial" w:hAnsi="Arial"/>
          <w:sz w:val="14"/>
          <w:szCs w:val="14"/>
          <w:color w:val="auto"/>
        </w:rPr>
        <w:t>rescission of an unauthorized assignment or subletting, (iv) an Estoppel Certificate or financial statements, (v) a requested subordination, (vi) evidence concerning any guaranty and/or Guarantor, (vii) any document requested under Paragraph 41, (viii) material safety data sheets (MSDS), or (ix) any other documentation or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3"/>
          <w:szCs w:val="13"/>
          <w:color w:val="auto"/>
        </w:rPr>
        <w:t>information which Lessor may reasonably require of Lessee under the terms of this Lease, where any such failure continues for a period of 10 days following written notice to Lessee.</w:t>
      </w:r>
    </w:p>
    <w:p>
      <w:pPr>
        <w:spacing w:after="0" w:line="26" w:lineRule="exact"/>
        <w:rPr>
          <w:sz w:val="20"/>
          <w:szCs w:val="20"/>
          <w:color w:val="auto"/>
        </w:rPr>
      </w:pPr>
    </w:p>
    <w:p>
      <w:pPr>
        <w:ind w:left="4" w:right="220" w:firstLine="644"/>
        <w:spacing w:after="0" w:line="253" w:lineRule="auto"/>
        <w:tabs>
          <w:tab w:leader="none" w:pos="848" w:val="left"/>
        </w:tabs>
        <w:numPr>
          <w:ilvl w:val="0"/>
          <w:numId w:val="97"/>
        </w:numPr>
        <w:rPr>
          <w:rFonts w:ascii="Arial" w:cs="Arial" w:eastAsia="Arial" w:hAnsi="Arial"/>
          <w:sz w:val="14"/>
          <w:szCs w:val="14"/>
          <w:color w:val="auto"/>
        </w:rPr>
      </w:pPr>
      <w:r>
        <w:rPr>
          <w:rFonts w:ascii="Arial" w:cs="Arial" w:eastAsia="Arial" w:hAnsi="Arial"/>
          <w:sz w:val="14"/>
          <w:szCs w:val="14"/>
          <w:color w:val="auto"/>
        </w:rPr>
        <w:t>A Default by Lessee as to the terms, covenants, conditions or provisions of this Lease, or of the rules adopted under Paragraph 2.9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 w:lineRule="exact"/>
        <w:rPr>
          <w:rFonts w:ascii="Arial" w:cs="Arial" w:eastAsia="Arial" w:hAnsi="Arial"/>
          <w:sz w:val="14"/>
          <w:szCs w:val="14"/>
          <w:color w:val="auto"/>
        </w:rPr>
      </w:pPr>
    </w:p>
    <w:p>
      <w:pPr>
        <w:ind w:left="824" w:hanging="176"/>
        <w:spacing w:after="0"/>
        <w:tabs>
          <w:tab w:leader="none" w:pos="824"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occurrence of any of the following events: (i) the making of any general arrangement or assignment for the benefit of creditors; (ii) becoming a</w:t>
      </w:r>
    </w:p>
    <w:p>
      <w:pPr>
        <w:spacing w:after="0" w:line="9" w:lineRule="exact"/>
        <w:rPr>
          <w:sz w:val="20"/>
          <w:szCs w:val="20"/>
          <w:color w:val="auto"/>
        </w:rPr>
      </w:pPr>
    </w:p>
    <w:p>
      <w:pPr>
        <w:ind w:left="4" w:right="120"/>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debtor</w:t>
      </w:r>
      <w:r>
        <w:rPr>
          <w:rFonts w:ascii="Arial" w:cs="Arial" w:eastAsia="Arial" w:hAnsi="Arial"/>
          <w:sz w:val="14"/>
          <w:szCs w:val="14"/>
          <w:color w:val="auto"/>
        </w:rPr>
        <w:t>"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 w:lineRule="exact"/>
        <w:rPr>
          <w:sz w:val="20"/>
          <w:szCs w:val="20"/>
          <w:color w:val="auto"/>
        </w:rPr>
      </w:pPr>
    </w:p>
    <w:p>
      <w:pPr>
        <w:ind w:left="844" w:hanging="196"/>
        <w:spacing w:after="0"/>
        <w:tabs>
          <w:tab w:leader="none" w:pos="844"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discovery that any financial statement of Lessee or of any Guarantor given to Lessor was materially false.</w:t>
      </w:r>
    </w:p>
    <w:p>
      <w:pPr>
        <w:spacing w:after="0" w:line="9" w:lineRule="exact"/>
        <w:rPr>
          <w:rFonts w:ascii="Arial" w:cs="Arial" w:eastAsia="Arial" w:hAnsi="Arial"/>
          <w:sz w:val="14"/>
          <w:szCs w:val="14"/>
          <w:color w:val="auto"/>
        </w:rPr>
      </w:pPr>
    </w:p>
    <w:p>
      <w:pPr>
        <w:ind w:left="4" w:right="80" w:firstLine="644"/>
        <w:spacing w:after="0" w:line="259" w:lineRule="auto"/>
        <w:tabs>
          <w:tab w:leader="none" w:pos="856" w:val="left"/>
        </w:tabs>
        <w:numPr>
          <w:ilvl w:val="0"/>
          <w:numId w:val="98"/>
        </w:numPr>
        <w:rPr>
          <w:rFonts w:ascii="Arial" w:cs="Arial" w:eastAsia="Arial" w:hAnsi="Arial"/>
          <w:sz w:val="14"/>
          <w:szCs w:val="14"/>
          <w:color w:val="auto"/>
        </w:rPr>
      </w:pPr>
      <w:r>
        <w:rPr>
          <w:rFonts w:ascii="Arial" w:cs="Arial" w:eastAsia="Arial" w:hAnsi="Arial"/>
          <w:sz w:val="14"/>
          <w:szCs w:val="14"/>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ind w:left="1024"/>
        <w:spacing w:after="0"/>
        <w:rPr>
          <w:rFonts w:ascii="Arial" w:cs="Arial" w:eastAsia="Arial" w:hAnsi="Arial"/>
          <w:sz w:val="14"/>
          <w:szCs w:val="14"/>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Remedies</w:t>
      </w:r>
      <w:r>
        <w:rPr>
          <w:rFonts w:ascii="Arial" w:cs="Arial" w:eastAsia="Arial" w:hAnsi="Arial"/>
          <w:sz w:val="14"/>
          <w:szCs w:val="14"/>
          <w:color w:val="auto"/>
        </w:rPr>
        <w:t>. If Lessee fails to perform any of its affirmative duties or obligations, within 10 days after written notice (or in case of an emergency, without</w:t>
      </w:r>
    </w:p>
    <w:p>
      <w:pPr>
        <w:sectPr>
          <w:pgSz w:w="11900" w:h="16838" w:orient="portrait"/>
          <w:cols w:equalWidth="0" w:num="1">
            <w:col w:w="10984"/>
          </w:cols>
          <w:pgMar w:left="436" w:top="765" w:right="479" w:bottom="1440" w:gutter="0" w:footer="0" w:header="0"/>
        </w:sectPr>
      </w:pPr>
    </w:p>
    <w:bookmarkStart w:id="147" w:name="page148"/>
    <w:bookmarkEnd w:id="147"/>
    <w:p>
      <w:pPr>
        <w:ind w:left="4" w:right="280"/>
        <w:spacing w:after="0" w:line="261" w:lineRule="auto"/>
        <w:rPr>
          <w:sz w:val="20"/>
          <w:szCs w:val="20"/>
          <w:color w:val="auto"/>
        </w:rPr>
      </w:pPr>
      <w:r>
        <w:rPr>
          <w:rFonts w:ascii="Arial" w:cs="Arial" w:eastAsia="Arial" w:hAnsi="Arial"/>
          <w:sz w:val="14"/>
          <w:szCs w:val="14"/>
          <w:color w:val="auto"/>
        </w:rPr>
        <w:t>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ind w:left="644"/>
        <w:spacing w:after="0"/>
        <w:rPr>
          <w:sz w:val="20"/>
          <w:szCs w:val="20"/>
          <w:color w:val="auto"/>
        </w:rPr>
      </w:pPr>
      <w:r>
        <w:rPr>
          <w:rFonts w:ascii="Arial" w:cs="Arial" w:eastAsia="Arial" w:hAnsi="Arial"/>
          <w:sz w:val="14"/>
          <w:szCs w:val="14"/>
          <w:color w:val="auto"/>
        </w:rPr>
        <w:t>(a) Terminate Lessee's right to possession of the Premises by any lawful means, in which case this Lease shall terminate and Lessee shall immediately</w:t>
      </w:r>
    </w:p>
    <w:p>
      <w:pPr>
        <w:spacing w:after="0" w:line="16" w:lineRule="exact"/>
        <w:rPr>
          <w:sz w:val="20"/>
          <w:szCs w:val="20"/>
          <w:color w:val="auto"/>
        </w:rPr>
      </w:pPr>
    </w:p>
    <w:p>
      <w:pPr>
        <w:ind w:left="4"/>
        <w:spacing w:after="0" w:line="283" w:lineRule="auto"/>
        <w:rPr>
          <w:sz w:val="20"/>
          <w:szCs w:val="20"/>
          <w:color w:val="auto"/>
        </w:rPr>
      </w:pPr>
      <w:r>
        <w:rPr>
          <w:rFonts w:ascii="Arial" w:cs="Arial" w:eastAsia="Arial" w:hAnsi="Arial"/>
          <w:sz w:val="13"/>
          <w:szCs w:val="13"/>
          <w:color w:val="auto"/>
        </w:rPr>
        <w:t>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w:t>
      </w:r>
    </w:p>
    <w:p>
      <w:pPr>
        <w:spacing w:after="0" w:line="1" w:lineRule="exact"/>
        <w:rPr>
          <w:sz w:val="20"/>
          <w:szCs w:val="20"/>
          <w:color w:val="auto"/>
        </w:rPr>
      </w:pPr>
    </w:p>
    <w:p>
      <w:pPr>
        <w:ind w:left="4" w:right="40"/>
        <w:spacing w:after="0" w:line="281" w:lineRule="auto"/>
        <w:rPr>
          <w:sz w:val="20"/>
          <w:szCs w:val="20"/>
          <w:color w:val="auto"/>
        </w:rPr>
      </w:pPr>
      <w:r>
        <w:rPr>
          <w:rFonts w:ascii="Arial" w:cs="Arial" w:eastAsia="Arial" w:hAnsi="Arial"/>
          <w:sz w:val="13"/>
          <w:szCs w:val="13"/>
          <w:color w:val="auto"/>
        </w:rPr>
        <w:t>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3" w:lineRule="exact"/>
        <w:rPr>
          <w:sz w:val="20"/>
          <w:szCs w:val="20"/>
          <w:color w:val="auto"/>
        </w:rPr>
      </w:pPr>
    </w:p>
    <w:p>
      <w:pPr>
        <w:ind w:left="4" w:right="120" w:firstLine="644"/>
        <w:spacing w:after="0" w:line="275" w:lineRule="auto"/>
        <w:tabs>
          <w:tab w:leader="none" w:pos="856"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ind w:left="844" w:hanging="196"/>
        <w:spacing w:after="0"/>
        <w:tabs>
          <w:tab w:leader="none" w:pos="844" w:val="left"/>
        </w:tabs>
        <w:numPr>
          <w:ilvl w:val="0"/>
          <w:numId w:val="99"/>
        </w:numPr>
        <w:rPr>
          <w:rFonts w:ascii="Arial" w:cs="Arial" w:eastAsia="Arial" w:hAnsi="Arial"/>
          <w:sz w:val="14"/>
          <w:szCs w:val="14"/>
          <w:color w:val="auto"/>
        </w:rPr>
      </w:pPr>
      <w:r>
        <w:rPr>
          <w:rFonts w:ascii="Arial" w:cs="Arial" w:eastAsia="Arial" w:hAnsi="Arial"/>
          <w:sz w:val="14"/>
          <w:szCs w:val="14"/>
          <w:color w:val="auto"/>
        </w:rPr>
        <w:t>Pursue any other remedy now or hereafter available under the laws or judicial decisions of the state wherein the Premises are located. The expiration</w:t>
      </w:r>
    </w:p>
    <w:p>
      <w:pPr>
        <w:spacing w:after="0" w:line="30" w:lineRule="exact"/>
        <w:rPr>
          <w:sz w:val="20"/>
          <w:szCs w:val="20"/>
          <w:color w:val="auto"/>
        </w:rPr>
      </w:pPr>
    </w:p>
    <w:p>
      <w:pPr>
        <w:ind w:left="4" w:right="200"/>
        <w:spacing w:after="0" w:line="260" w:lineRule="auto"/>
        <w:rPr>
          <w:sz w:val="20"/>
          <w:szCs w:val="20"/>
          <w:color w:val="auto"/>
        </w:rPr>
      </w:pPr>
      <w:r>
        <w:rPr>
          <w:rFonts w:ascii="Arial" w:cs="Arial" w:eastAsia="Arial" w:hAnsi="Arial"/>
          <w:sz w:val="14"/>
          <w:szCs w:val="14"/>
          <w:color w:val="auto"/>
        </w:rPr>
        <w:t>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Inducement Recapture.</w:t>
      </w:r>
      <w:r>
        <w:rPr>
          <w:rFonts w:ascii="Arial" w:cs="Arial" w:eastAsia="Arial" w:hAnsi="Arial"/>
          <w:sz w:val="14"/>
          <w:szCs w:val="14"/>
          <w:color w:val="auto"/>
        </w:rPr>
        <w:t xml:space="preserve"> Any agreement for free or abated rent or other charges, the cost of tenant improvements for Lessee paid for or performed by</w:t>
      </w:r>
    </w:p>
    <w:p>
      <w:pPr>
        <w:spacing w:after="0" w:line="9" w:lineRule="exact"/>
        <w:rPr>
          <w:sz w:val="20"/>
          <w:szCs w:val="20"/>
          <w:color w:val="auto"/>
        </w:rPr>
      </w:pPr>
    </w:p>
    <w:p>
      <w:pPr>
        <w:ind w:left="4" w:right="120"/>
        <w:spacing w:after="0" w:line="279" w:lineRule="auto"/>
        <w:rPr>
          <w:sz w:val="20"/>
          <w:szCs w:val="20"/>
          <w:color w:val="auto"/>
        </w:rPr>
      </w:pPr>
      <w:r>
        <w:rPr>
          <w:rFonts w:ascii="Arial" w:cs="Arial" w:eastAsia="Arial" w:hAnsi="Arial"/>
          <w:sz w:val="13"/>
          <w:szCs w:val="13"/>
          <w:color w:val="auto"/>
        </w:rPr>
        <w:t>Lessor,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3"/>
          <w:szCs w:val="13"/>
          <w:b w:val="1"/>
          <w:bCs w:val="1"/>
          <w:color w:val="auto"/>
        </w:rPr>
        <w:t>Inducement Provisions</w:t>
      </w:r>
      <w:r>
        <w:rPr>
          <w:rFonts w:ascii="Arial" w:cs="Arial" w:eastAsia="Arial" w:hAnsi="Arial"/>
          <w:sz w:val="13"/>
          <w:szCs w:val="13"/>
          <w:color w:val="auto"/>
        </w:rPr>
        <w:t>,"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2"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13.4 </w:t>
      </w:r>
      <w:r>
        <w:rPr>
          <w:rFonts w:ascii="Arial" w:cs="Arial" w:eastAsia="Arial" w:hAnsi="Arial"/>
          <w:sz w:val="14"/>
          <w:szCs w:val="14"/>
          <w:b w:val="1"/>
          <w:bCs w:val="1"/>
          <w:color w:val="auto"/>
        </w:rPr>
        <w:t>Late Charges</w:t>
      </w:r>
      <w:r>
        <w:rPr>
          <w:rFonts w:ascii="Arial" w:cs="Arial" w:eastAsia="Arial" w:hAnsi="Arial"/>
          <w:sz w:val="14"/>
          <w:szCs w:val="14"/>
          <w:color w:val="auto"/>
        </w:rPr>
        <w:t>. Lessee hereby acknowledges that late payment by Lessee of Rent will cause Lessor to incur costs not contemplated by this Lease, the exact</w:t>
      </w:r>
    </w:p>
    <w:p>
      <w:pPr>
        <w:spacing w:after="0" w:line="16" w:lineRule="exact"/>
        <w:rPr>
          <w:sz w:val="20"/>
          <w:szCs w:val="20"/>
          <w:color w:val="auto"/>
        </w:rPr>
      </w:pPr>
    </w:p>
    <w:p>
      <w:pPr>
        <w:ind w:left="4" w:right="60"/>
        <w:spacing w:after="0" w:line="263" w:lineRule="auto"/>
        <w:rPr>
          <w:sz w:val="20"/>
          <w:szCs w:val="20"/>
          <w:color w:val="auto"/>
        </w:rPr>
      </w:pPr>
      <w:r>
        <w:rPr>
          <w:rFonts w:ascii="Arial" w:cs="Arial" w:eastAsia="Arial" w:hAnsi="Arial"/>
          <w:sz w:val="14"/>
          <w:szCs w:val="14"/>
          <w:color w:val="auto"/>
        </w:rPr>
        <w:t>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ind w:left="4" w:right="120" w:firstLine="324"/>
        <w:spacing w:after="0" w:line="257" w:lineRule="auto"/>
        <w:rPr>
          <w:sz w:val="20"/>
          <w:szCs w:val="20"/>
          <w:color w:val="auto"/>
        </w:rPr>
      </w:pPr>
      <w:r>
        <w:rPr>
          <w:rFonts w:ascii="Arial" w:cs="Arial" w:eastAsia="Arial" w:hAnsi="Arial"/>
          <w:sz w:val="14"/>
          <w:szCs w:val="14"/>
          <w:color w:val="auto"/>
        </w:rPr>
        <w:t xml:space="preserve">13.5 </w:t>
      </w:r>
      <w:r>
        <w:rPr>
          <w:rFonts w:ascii="Arial" w:cs="Arial" w:eastAsia="Arial" w:hAnsi="Arial"/>
          <w:sz w:val="14"/>
          <w:szCs w:val="14"/>
          <w:b w:val="1"/>
          <w:bCs w:val="1"/>
          <w:color w:val="auto"/>
        </w:rPr>
        <w:t>Interest</w:t>
      </w:r>
      <w:r>
        <w:rPr>
          <w:rFonts w:ascii="Arial" w:cs="Arial" w:eastAsia="Arial" w:hAnsi="Arial"/>
          <w:sz w:val="14"/>
          <w:szCs w:val="14"/>
          <w:color w:val="auto"/>
        </w:rPr>
        <w:t>. Any monetary payment due Lessor hereunder, other than late charges, not received by Lessor, when due shall bear interest from the 31st day after it was due. The interest ("</w:t>
      </w:r>
      <w:r>
        <w:rPr>
          <w:rFonts w:ascii="Arial" w:cs="Arial" w:eastAsia="Arial" w:hAnsi="Arial"/>
          <w:sz w:val="14"/>
          <w:szCs w:val="14"/>
          <w:b w:val="1"/>
          <w:bCs w:val="1"/>
          <w:color w:val="auto"/>
        </w:rPr>
        <w:t>Interest</w:t>
      </w:r>
      <w:r>
        <w:rPr>
          <w:rFonts w:ascii="Arial" w:cs="Arial" w:eastAsia="Arial" w:hAnsi="Arial"/>
          <w:sz w:val="14"/>
          <w:szCs w:val="14"/>
          <w:color w:val="auto"/>
        </w:rPr>
        <w:t>") charged shall be computed at the rate of 10% per annum but shall not exceed the maximum rate allowed by law. Interest is payable in addition to the potential late charge provided for in Paragraph 13.4.</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13.6 </w:t>
      </w:r>
      <w:r>
        <w:rPr>
          <w:rFonts w:ascii="Arial" w:cs="Arial" w:eastAsia="Arial" w:hAnsi="Arial"/>
          <w:sz w:val="14"/>
          <w:szCs w:val="14"/>
          <w:b w:val="1"/>
          <w:bCs w:val="1"/>
          <w:color w:val="auto"/>
        </w:rPr>
        <w:t>Breach by Lessor</w:t>
      </w:r>
      <w:r>
        <w:rPr>
          <w:rFonts w:ascii="Arial" w:cs="Arial" w:eastAsia="Arial" w:hAnsi="Arial"/>
          <w:sz w:val="14"/>
          <w:szCs w:val="14"/>
          <w:color w:val="auto"/>
        </w:rPr>
        <w:t>.</w:t>
      </w:r>
    </w:p>
    <w:p>
      <w:pPr>
        <w:spacing w:after="0" w:line="12" w:lineRule="exact"/>
        <w:rPr>
          <w:sz w:val="20"/>
          <w:szCs w:val="20"/>
          <w:color w:val="auto"/>
        </w:rPr>
      </w:pPr>
    </w:p>
    <w:p>
      <w:pPr>
        <w:ind w:left="4" w:right="60" w:firstLine="644"/>
        <w:spacing w:after="0" w:line="262" w:lineRule="auto"/>
        <w:tabs>
          <w:tab w:leader="none" w:pos="848" w:val="left"/>
        </w:tabs>
        <w:numPr>
          <w:ilvl w:val="0"/>
          <w:numId w:val="100"/>
        </w:numPr>
        <w:rPr>
          <w:rFonts w:ascii="Arial" w:cs="Arial" w:eastAsia="Arial" w:hAnsi="Arial"/>
          <w:sz w:val="14"/>
          <w:szCs w:val="14"/>
          <w:color w:val="auto"/>
        </w:rPr>
      </w:pPr>
      <w:r>
        <w:rPr>
          <w:rFonts w:ascii="Arial" w:cs="Arial" w:eastAsia="Arial" w:hAnsi="Arial"/>
          <w:sz w:val="14"/>
          <w:szCs w:val="14"/>
          <w:b w:val="1"/>
          <w:bCs w:val="1"/>
          <w:color w:val="auto"/>
        </w:rPr>
        <w:t>Notice of Breach</w:t>
      </w:r>
      <w:r>
        <w:rPr>
          <w:rFonts w:ascii="Arial" w:cs="Arial" w:eastAsia="Arial" w:hAnsi="Arial"/>
          <w:sz w:val="14"/>
          <w:szCs w:val="14"/>
          <w:color w:val="auto"/>
        </w:rPr>
        <w:t>. Lessor shall not be deemed in breach of this Lease unless Lessor fails within a reasonable time to perform an obligation required to be performed by Lessor.</w:t>
      </w:r>
      <w:r>
        <w:rPr>
          <w:rFonts w:ascii="Arial" w:cs="Arial" w:eastAsia="Arial" w:hAnsi="Arial"/>
          <w:sz w:val="14"/>
          <w:szCs w:val="14"/>
          <w:b w:val="1"/>
          <w:bCs w:val="1"/>
          <w:color w:val="auto"/>
        </w:rPr>
        <w:t xml:space="preserve"> </w:t>
      </w:r>
      <w:r>
        <w:rPr>
          <w:rFonts w:ascii="Arial" w:cs="Arial" w:eastAsia="Arial" w:hAnsi="Arial"/>
          <w:sz w:val="14"/>
          <w:szCs w:val="14"/>
          <w:color w:val="auto"/>
        </w:rPr>
        <w:t>For purposes of this Paragraph,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0"/>
          <w:numId w:val="100"/>
        </w:numPr>
        <w:rPr>
          <w:rFonts w:ascii="Arial" w:cs="Arial" w:eastAsia="Arial" w:hAnsi="Arial"/>
          <w:sz w:val="14"/>
          <w:szCs w:val="14"/>
          <w:color w:val="auto"/>
        </w:rPr>
      </w:pPr>
      <w:r>
        <w:rPr>
          <w:rFonts w:ascii="Arial" w:cs="Arial" w:eastAsia="Arial" w:hAnsi="Arial"/>
          <w:sz w:val="14"/>
          <w:szCs w:val="14"/>
          <w:b w:val="1"/>
          <w:bCs w:val="1"/>
          <w:color w:val="auto"/>
        </w:rPr>
        <w:t>Performance by Lessee on Behalf of Lessor</w:t>
      </w:r>
      <w:r>
        <w:rPr>
          <w:rFonts w:ascii="Arial" w:cs="Arial" w:eastAsia="Arial" w:hAnsi="Arial"/>
          <w:sz w:val="14"/>
          <w:szCs w:val="14"/>
          <w:color w:val="auto"/>
        </w:rPr>
        <w:t>. In the event that neither Lessor nor Lender cures said breach within 30 days after receipt of said notice,</w:t>
      </w:r>
    </w:p>
    <w:p>
      <w:pPr>
        <w:spacing w:after="0" w:line="16" w:lineRule="exact"/>
        <w:rPr>
          <w:sz w:val="20"/>
          <w:szCs w:val="20"/>
          <w:color w:val="auto"/>
        </w:rPr>
      </w:pPr>
    </w:p>
    <w:p>
      <w:pPr>
        <w:ind w:left="4" w:right="140"/>
        <w:spacing w:after="0" w:line="308" w:lineRule="auto"/>
        <w:rPr>
          <w:sz w:val="20"/>
          <w:szCs w:val="20"/>
          <w:color w:val="auto"/>
        </w:rPr>
      </w:pPr>
      <w:r>
        <w:rPr>
          <w:rFonts w:ascii="Arial" w:cs="Arial" w:eastAsia="Arial" w:hAnsi="Arial"/>
          <w:sz w:val="13"/>
          <w:szCs w:val="13"/>
          <w:color w:val="auto"/>
        </w:rPr>
        <w:t>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spacing w:after="0" w:line="190" w:lineRule="exact"/>
        <w:rPr>
          <w:sz w:val="20"/>
          <w:szCs w:val="20"/>
          <w:color w:val="auto"/>
        </w:rPr>
      </w:pPr>
    </w:p>
    <w:p>
      <w:pPr>
        <w:ind w:left="4" w:right="60" w:hanging="4"/>
        <w:spacing w:after="0" w:line="264" w:lineRule="auto"/>
        <w:tabs>
          <w:tab w:leader="none" w:pos="22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Condemnation</w:t>
      </w:r>
      <w:r>
        <w:rPr>
          <w:rFonts w:ascii="Arial" w:cs="Arial" w:eastAsia="Arial" w:hAnsi="Arial"/>
          <w:sz w:val="14"/>
          <w:szCs w:val="14"/>
          <w:color w:val="auto"/>
        </w:rPr>
        <w:t>. If the Premises or any portion thereof are taken under the power of eminent domain or sold under the threat of the exercise of said power (collectively "</w:t>
      </w:r>
      <w:r>
        <w:rPr>
          <w:rFonts w:ascii="Arial" w:cs="Arial" w:eastAsia="Arial" w:hAnsi="Arial"/>
          <w:sz w:val="14"/>
          <w:szCs w:val="14"/>
          <w:b w:val="1"/>
          <w:bCs w:val="1"/>
          <w:color w:val="auto"/>
        </w:rPr>
        <w:t>Condemnation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w:t>
      </w:r>
    </w:p>
    <w:p>
      <w:pPr>
        <w:spacing w:after="0" w:line="1" w:lineRule="exact"/>
        <w:rPr>
          <w:rFonts w:ascii="Arial" w:cs="Arial" w:eastAsia="Arial" w:hAnsi="Arial"/>
          <w:sz w:val="14"/>
          <w:szCs w:val="14"/>
          <w:b w:val="1"/>
          <w:bCs w:val="1"/>
          <w:color w:val="auto"/>
        </w:rPr>
      </w:pPr>
    </w:p>
    <w:p>
      <w:pPr>
        <w:ind w:left="4" w:right="1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205" w:lineRule="exact"/>
        <w:rPr>
          <w:rFonts w:ascii="Arial" w:cs="Arial" w:eastAsia="Arial" w:hAnsi="Arial"/>
          <w:sz w:val="14"/>
          <w:szCs w:val="14"/>
          <w:b w:val="1"/>
          <w:bCs w:val="1"/>
          <w:color w:val="auto"/>
        </w:rPr>
      </w:pPr>
    </w:p>
    <w:p>
      <w:pPr>
        <w:ind w:left="224" w:hanging="224"/>
        <w:spacing w:after="0"/>
        <w:tabs>
          <w:tab w:leader="none" w:pos="224"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Brokerage Fees.</w:t>
      </w:r>
    </w:p>
    <w:p>
      <w:pPr>
        <w:spacing w:after="0" w:line="28" w:lineRule="exact"/>
        <w:rPr>
          <w:sz w:val="20"/>
          <w:szCs w:val="20"/>
          <w:color w:val="auto"/>
        </w:rPr>
      </w:pPr>
    </w:p>
    <w:p>
      <w:pPr>
        <w:ind w:left="4" w:right="100" w:firstLine="324"/>
        <w:spacing w:after="0" w:line="262"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Additional Commission</w:t>
      </w:r>
      <w:r>
        <w:rPr>
          <w:rFonts w:ascii="Arial" w:cs="Arial" w:eastAsia="Arial" w:hAnsi="Arial"/>
          <w:sz w:val="14"/>
          <w:szCs w:val="14"/>
          <w:color w:val="auto"/>
        </w:rPr>
        <w:t>. In addition to the payments owed pursuant to Paragraph 1.10 above, Lessor agrees that: (a) if Lessee exercises any Option, (b) if Lessee or anyone affiliated with Lessee acquires from Lessor any rights to the Premises or other premises owned by Lessor and located within the Project, (c) if Lessee remains in possession of the Premises, with the consent of Lessor, after the expiration of this Lease, or (d) if Base Rent is increased, whether by agreement or operation of an escalation clause herein, then, Lessor shall pay Brokers a fee in accordance with the fee schedule of the Brokers in effect at the time the Lease was executed.</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b w:val="1"/>
          <w:bCs w:val="1"/>
          <w:color w:val="auto"/>
        </w:rPr>
        <w:t>Assumption of Obligations</w:t>
      </w:r>
      <w:r>
        <w:rPr>
          <w:rFonts w:ascii="Arial" w:cs="Arial" w:eastAsia="Arial" w:hAnsi="Arial"/>
          <w:sz w:val="14"/>
          <w:szCs w:val="14"/>
          <w:color w:val="auto"/>
        </w:rPr>
        <w:t>. Any buyer or transferee of Lessor's interest in this Lease shall be deemed to have assumed Lessor's obligation hereunder.</w:t>
      </w:r>
    </w:p>
    <w:p>
      <w:pPr>
        <w:spacing w:after="0" w:line="16" w:lineRule="exact"/>
        <w:rPr>
          <w:sz w:val="20"/>
          <w:szCs w:val="20"/>
          <w:color w:val="auto"/>
        </w:rPr>
      </w:pPr>
    </w:p>
    <w:p>
      <w:pPr>
        <w:ind w:left="4" w:right="140"/>
        <w:spacing w:after="0" w:line="263" w:lineRule="auto"/>
        <w:rPr>
          <w:sz w:val="20"/>
          <w:szCs w:val="20"/>
          <w:color w:val="auto"/>
        </w:rPr>
      </w:pPr>
      <w:r>
        <w:rPr>
          <w:rFonts w:ascii="Arial" w:cs="Arial" w:eastAsia="Arial" w:hAnsi="Arial"/>
          <w:sz w:val="14"/>
          <w:szCs w:val="14"/>
          <w:color w:val="auto"/>
        </w:rPr>
        <w:t>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2" w:lineRule="exact"/>
        <w:rPr>
          <w:sz w:val="20"/>
          <w:szCs w:val="20"/>
          <w:color w:val="auto"/>
        </w:rPr>
      </w:pPr>
    </w:p>
    <w:p>
      <w:pPr>
        <w:ind w:left="4" w:right="200" w:firstLine="324"/>
        <w:spacing w:after="0" w:line="267"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b w:val="1"/>
          <w:bCs w:val="1"/>
          <w:color w:val="auto"/>
        </w:rPr>
        <w:t>Representations and Indemnities of Broker Relationships</w:t>
      </w:r>
      <w:r>
        <w:rPr>
          <w:rFonts w:ascii="Arial" w:cs="Arial" w:eastAsia="Arial" w:hAnsi="Arial"/>
          <w:sz w:val="14"/>
          <w:szCs w:val="14"/>
          <w:color w:val="auto"/>
        </w:rPr>
        <w:t>. Lessee and Lessor each represent and warrant to the other that it has had no dealings with any person, firm, broker, agent or finder (other than the Brokers and Agents, if any) in connection with this Lease, and that no one other than said named Brokers and Agents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ectPr>
          <w:pgSz w:w="11900" w:h="16838" w:orient="portrait"/>
          <w:cols w:equalWidth="0" w:num="1">
            <w:col w:w="11044"/>
          </w:cols>
          <w:pgMar w:left="436" w:top="782" w:right="419" w:bottom="940" w:gutter="0" w:footer="0" w:header="0"/>
        </w:sectPr>
      </w:pPr>
    </w:p>
    <w:bookmarkStart w:id="148" w:name="page149"/>
    <w:bookmarkEnd w:id="148"/>
    <w:p>
      <w:pPr>
        <w:ind w:left="224" w:hanging="224"/>
        <w:spacing w:after="0"/>
        <w:tabs>
          <w:tab w:leader="none" w:pos="224" w:val="left"/>
        </w:tabs>
        <w:numPr>
          <w:ilvl w:val="0"/>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Estoppel Certificates.</w:t>
      </w:r>
    </w:p>
    <w:p>
      <w:pPr>
        <w:spacing w:after="0" w:line="28" w:lineRule="exact"/>
        <w:rPr>
          <w:rFonts w:ascii="Arial" w:cs="Arial" w:eastAsia="Arial" w:hAnsi="Arial"/>
          <w:sz w:val="14"/>
          <w:szCs w:val="14"/>
          <w:b w:val="1"/>
          <w:bCs w:val="1"/>
          <w:color w:val="auto"/>
        </w:rPr>
      </w:pPr>
    </w:p>
    <w:p>
      <w:pPr>
        <w:ind w:left="4" w:right="140" w:firstLine="644"/>
        <w:spacing w:after="0" w:line="262" w:lineRule="auto"/>
        <w:tabs>
          <w:tab w:leader="none" w:pos="84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Each Party (as "</w:t>
      </w:r>
      <w:r>
        <w:rPr>
          <w:rFonts w:ascii="Arial" w:cs="Arial" w:eastAsia="Arial" w:hAnsi="Arial"/>
          <w:sz w:val="14"/>
          <w:szCs w:val="14"/>
          <w:b w:val="1"/>
          <w:bCs w:val="1"/>
          <w:color w:val="auto"/>
        </w:rPr>
        <w:t>Responding Party</w:t>
      </w:r>
      <w:r>
        <w:rPr>
          <w:rFonts w:ascii="Arial" w:cs="Arial" w:eastAsia="Arial" w:hAnsi="Arial"/>
          <w:sz w:val="14"/>
          <w:szCs w:val="14"/>
          <w:color w:val="auto"/>
        </w:rPr>
        <w:t>") shall within 10 days after written notice from the other Party (the "</w:t>
      </w:r>
      <w:r>
        <w:rPr>
          <w:rFonts w:ascii="Arial" w:cs="Arial" w:eastAsia="Arial" w:hAnsi="Arial"/>
          <w:sz w:val="14"/>
          <w:szCs w:val="14"/>
          <w:b w:val="1"/>
          <w:bCs w:val="1"/>
          <w:color w:val="auto"/>
        </w:rPr>
        <w:t>Requesting Party</w:t>
      </w:r>
      <w:r>
        <w:rPr>
          <w:rFonts w:ascii="Arial" w:cs="Arial" w:eastAsia="Arial" w:hAnsi="Arial"/>
          <w:sz w:val="14"/>
          <w:szCs w:val="14"/>
          <w:color w:val="auto"/>
        </w:rPr>
        <w:t>") execute, acknowledge and deliver to the Requesting Party a statement in writing in form similar to the then most current "</w:t>
      </w:r>
      <w:r>
        <w:rPr>
          <w:rFonts w:ascii="Arial" w:cs="Arial" w:eastAsia="Arial" w:hAnsi="Arial"/>
          <w:sz w:val="14"/>
          <w:szCs w:val="14"/>
          <w:b w:val="1"/>
          <w:bCs w:val="1"/>
          <w:color w:val="auto"/>
        </w:rPr>
        <w:t>Estoppel Certificate</w:t>
      </w:r>
      <w:r>
        <w:rPr>
          <w:rFonts w:ascii="Arial" w:cs="Arial" w:eastAsia="Arial" w:hAnsi="Arial"/>
          <w:sz w:val="14"/>
          <w:szCs w:val="14"/>
          <w:color w:val="auto"/>
        </w:rPr>
        <w:t>" form published BY AIR CRE, plus such additional information, confirmation and/or statements as may be reasonably requested by the Requesting Party.</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1"/>
          <w:numId w:val="102"/>
        </w:numPr>
        <w:rPr>
          <w:rFonts w:ascii="Arial" w:cs="Arial" w:eastAsia="Arial" w:hAnsi="Arial"/>
          <w:sz w:val="14"/>
          <w:szCs w:val="14"/>
          <w:color w:val="auto"/>
        </w:rPr>
      </w:pPr>
      <w:r>
        <w:rPr>
          <w:rFonts w:ascii="Arial" w:cs="Arial" w:eastAsia="Arial" w:hAnsi="Arial"/>
          <w:sz w:val="14"/>
          <w:szCs w:val="14"/>
          <w:color w:val="auto"/>
        </w:rPr>
        <w:t>If the Responding Party shall fail to execute or deliver the Estoppel Certificate within such 10 day period, the Requesting Party may execute an</w:t>
      </w:r>
    </w:p>
    <w:p>
      <w:pPr>
        <w:spacing w:after="0" w:line="16" w:lineRule="exact"/>
        <w:rPr>
          <w:sz w:val="20"/>
          <w:szCs w:val="20"/>
          <w:color w:val="auto"/>
        </w:rPr>
      </w:pPr>
    </w:p>
    <w:p>
      <w:pPr>
        <w:ind w:left="4" w:right="100"/>
        <w:spacing w:after="0" w:line="282" w:lineRule="auto"/>
        <w:rPr>
          <w:sz w:val="20"/>
          <w:szCs w:val="20"/>
          <w:color w:val="auto"/>
        </w:rPr>
      </w:pPr>
      <w:r>
        <w:rPr>
          <w:rFonts w:ascii="Arial" w:cs="Arial" w:eastAsia="Arial" w:hAnsi="Arial"/>
          <w:sz w:val="13"/>
          <w:szCs w:val="13"/>
          <w:color w:val="auto"/>
        </w:rPr>
        <w:t>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spacing w:after="0" w:line="5" w:lineRule="exact"/>
        <w:rPr>
          <w:sz w:val="20"/>
          <w:szCs w:val="20"/>
          <w:color w:val="auto"/>
        </w:rPr>
      </w:pPr>
    </w:p>
    <w:p>
      <w:pPr>
        <w:ind w:left="4" w:hanging="4"/>
        <w:spacing w:after="0" w:line="302" w:lineRule="auto"/>
        <w:tabs>
          <w:tab w:leader="none" w:pos="2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94" w:lineRule="exact"/>
        <w:rPr>
          <w:sz w:val="20"/>
          <w:szCs w:val="20"/>
          <w:color w:val="auto"/>
        </w:rPr>
      </w:pPr>
    </w:p>
    <w:p>
      <w:pPr>
        <w:ind w:left="4" w:right="100" w:hanging="4"/>
        <w:spacing w:after="0" w:line="271" w:lineRule="auto"/>
        <w:tabs>
          <w:tab w:leader="none" w:pos="22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Definition of Lessor. </w:t>
      </w:r>
      <w:r>
        <w:rPr>
          <w:rFonts w:ascii="Arial" w:cs="Arial" w:eastAsia="Arial" w:hAnsi="Arial"/>
          <w:sz w:val="14"/>
          <w:szCs w:val="14"/>
          <w:color w:val="auto"/>
        </w:rPr>
        <w:t>The term "</w:t>
      </w:r>
      <w:r>
        <w:rPr>
          <w:rFonts w:ascii="Arial" w:cs="Arial" w:eastAsia="Arial" w:hAnsi="Arial"/>
          <w:sz w:val="14"/>
          <w:szCs w:val="14"/>
          <w:b w:val="1"/>
          <w:bCs w:val="1"/>
          <w:color w:val="auto"/>
        </w:rPr>
        <w:t>Lessor</w:t>
      </w:r>
      <w:r>
        <w:rPr>
          <w:rFonts w:ascii="Arial" w:cs="Arial" w:eastAsia="Arial" w:hAnsi="Arial"/>
          <w:sz w:val="14"/>
          <w:szCs w:val="14"/>
          <w:color w:val="auto"/>
        </w:rPr>
        <w:t>" as used herein shall mean the owner or owners at the time in question of the fee title to the Premises, or, if this is a sublease, of the Lessee's</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211" w:lineRule="exact"/>
        <w:rPr>
          <w:rFonts w:ascii="Arial" w:cs="Arial" w:eastAsia="Arial" w:hAnsi="Arial"/>
          <w:sz w:val="14"/>
          <w:szCs w:val="14"/>
          <w:b w:val="1"/>
          <w:bCs w:val="1"/>
          <w:color w:val="auto"/>
        </w:rPr>
      </w:pPr>
    </w:p>
    <w:p>
      <w:pPr>
        <w:ind w:left="224" w:hanging="224"/>
        <w:spacing w:after="0"/>
        <w:tabs>
          <w:tab w:leader="none" w:pos="224"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Severability. </w:t>
      </w:r>
      <w:r>
        <w:rPr>
          <w:rFonts w:ascii="Arial" w:cs="Arial" w:eastAsia="Arial" w:hAnsi="Arial"/>
          <w:sz w:val="14"/>
          <w:szCs w:val="14"/>
          <w:color w:val="auto"/>
        </w:rPr>
        <w:t>The invalidity of any provision of this Lease, as determined by a court of competent jurisdiction, shall in no way affect the validity of any other provision hereof.</w:t>
      </w:r>
    </w:p>
    <w:p>
      <w:pPr>
        <w:spacing w:after="0" w:line="271" w:lineRule="exact"/>
        <w:rPr>
          <w:rFonts w:ascii="Arial" w:cs="Arial" w:eastAsia="Arial" w:hAnsi="Arial"/>
          <w:sz w:val="14"/>
          <w:szCs w:val="14"/>
          <w:b w:val="1"/>
          <w:bCs w:val="1"/>
          <w:color w:val="auto"/>
        </w:rPr>
      </w:pPr>
    </w:p>
    <w:p>
      <w:pPr>
        <w:ind w:left="224" w:hanging="224"/>
        <w:spacing w:after="0"/>
        <w:tabs>
          <w:tab w:leader="none" w:pos="224"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Days. </w:t>
      </w:r>
      <w:r>
        <w:rPr>
          <w:rFonts w:ascii="Arial" w:cs="Arial" w:eastAsia="Arial" w:hAnsi="Arial"/>
          <w:sz w:val="14"/>
          <w:szCs w:val="14"/>
          <w:color w:val="auto"/>
        </w:rPr>
        <w:t>Unless otherwise specifically indicated to the contrary, the word "</w:t>
      </w:r>
      <w:r>
        <w:rPr>
          <w:rFonts w:ascii="Arial" w:cs="Arial" w:eastAsia="Arial" w:hAnsi="Arial"/>
          <w:sz w:val="14"/>
          <w:szCs w:val="14"/>
          <w:b w:val="1"/>
          <w:bCs w:val="1"/>
          <w:color w:val="auto"/>
        </w:rPr>
        <w:t>days</w:t>
      </w:r>
      <w:r>
        <w:rPr>
          <w:rFonts w:ascii="Arial" w:cs="Arial" w:eastAsia="Arial" w:hAnsi="Arial"/>
          <w:sz w:val="14"/>
          <w:szCs w:val="14"/>
          <w:color w:val="auto"/>
        </w:rPr>
        <w:t>" as used in this Lease shall mean and refer to calendar days.</w:t>
      </w:r>
    </w:p>
    <w:p>
      <w:pPr>
        <w:spacing w:after="0" w:line="257" w:lineRule="exact"/>
        <w:rPr>
          <w:rFonts w:ascii="Arial" w:cs="Arial" w:eastAsia="Arial" w:hAnsi="Arial"/>
          <w:sz w:val="14"/>
          <w:szCs w:val="14"/>
          <w:b w:val="1"/>
          <w:bCs w:val="1"/>
          <w:color w:val="auto"/>
        </w:rPr>
      </w:pPr>
    </w:p>
    <w:p>
      <w:pPr>
        <w:ind w:left="224" w:hanging="224"/>
        <w:spacing w:after="0"/>
        <w:tabs>
          <w:tab w:leader="none" w:pos="224"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Limitation on Liability. </w:t>
      </w:r>
      <w:r>
        <w:rPr>
          <w:rFonts w:ascii="Arial" w:cs="Arial" w:eastAsia="Arial" w:hAnsi="Arial"/>
          <w:sz w:val="13"/>
          <w:szCs w:val="13"/>
          <w:color w:val="auto"/>
        </w:rPr>
        <w:t>The obligations of Lessor under this Lease shall not constitute personal obligations of Lessor, or its partners, members, directors, officers or shareholders, and</w:t>
      </w:r>
    </w:p>
    <w:p>
      <w:pPr>
        <w:spacing w:after="0" w:line="36" w:lineRule="exact"/>
        <w:rPr>
          <w:rFonts w:ascii="Arial" w:cs="Arial" w:eastAsia="Arial" w:hAnsi="Arial"/>
          <w:sz w:val="13"/>
          <w:szCs w:val="13"/>
          <w:b w:val="1"/>
          <w:bCs w:val="1"/>
          <w:color w:val="auto"/>
        </w:rPr>
      </w:pPr>
    </w:p>
    <w:p>
      <w:pPr>
        <w:ind w:left="4" w:right="20"/>
        <w:spacing w:after="0" w:line="283" w:lineRule="auto"/>
        <w:rPr>
          <w:rFonts w:ascii="Arial" w:cs="Arial" w:eastAsia="Arial" w:hAnsi="Arial"/>
          <w:sz w:val="13"/>
          <w:szCs w:val="13"/>
          <w:b w:val="1"/>
          <w:bCs w:val="1"/>
          <w:color w:val="auto"/>
        </w:rPr>
      </w:pPr>
      <w:r>
        <w:rPr>
          <w:rFonts w:ascii="Arial" w:cs="Arial" w:eastAsia="Arial" w:hAnsi="Arial"/>
          <w:sz w:val="14"/>
          <w:szCs w:val="14"/>
          <w:color w:val="auto"/>
        </w:rPr>
        <w:t>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90" w:lineRule="exact"/>
        <w:rPr>
          <w:rFonts w:ascii="Arial" w:cs="Arial" w:eastAsia="Arial" w:hAnsi="Arial"/>
          <w:sz w:val="13"/>
          <w:szCs w:val="13"/>
          <w:b w:val="1"/>
          <w:bCs w:val="1"/>
          <w:color w:val="auto"/>
        </w:rPr>
      </w:pPr>
    </w:p>
    <w:p>
      <w:pPr>
        <w:ind w:left="224" w:hanging="224"/>
        <w:spacing w:after="0"/>
        <w:tabs>
          <w:tab w:leader="none" w:pos="224"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Time of Essence. </w:t>
      </w:r>
      <w:r>
        <w:rPr>
          <w:rFonts w:ascii="Arial" w:cs="Arial" w:eastAsia="Arial" w:hAnsi="Arial"/>
          <w:sz w:val="14"/>
          <w:szCs w:val="14"/>
          <w:color w:val="auto"/>
        </w:rPr>
        <w:t>Time is of the essence with respect to the performance of all obligations to be performed or observed by the Parties under this Lease.</w:t>
      </w:r>
    </w:p>
    <w:p>
      <w:pPr>
        <w:spacing w:after="0" w:line="257" w:lineRule="exact"/>
        <w:rPr>
          <w:rFonts w:ascii="Arial" w:cs="Arial" w:eastAsia="Arial" w:hAnsi="Arial"/>
          <w:sz w:val="14"/>
          <w:szCs w:val="14"/>
          <w:b w:val="1"/>
          <w:bCs w:val="1"/>
          <w:color w:val="auto"/>
        </w:rPr>
      </w:pPr>
    </w:p>
    <w:p>
      <w:pPr>
        <w:ind w:left="4" w:right="260" w:hanging="4"/>
        <w:spacing w:after="0" w:line="274" w:lineRule="auto"/>
        <w:tabs>
          <w:tab w:leader="none" w:pos="22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No Prior or Other Agreements; Broker Disclaimer</w:t>
      </w:r>
      <w:r>
        <w:rPr>
          <w:rFonts w:ascii="Arial" w:cs="Arial" w:eastAsia="Arial" w:hAnsi="Arial"/>
          <w:sz w:val="14"/>
          <w:szCs w:val="14"/>
          <w:color w:val="auto"/>
        </w:rPr>
        <w:t>. This Lease contains all agreements between the Parties with respect to any matter mentioned herein, and no other prior or</w:t>
      </w:r>
      <w:r>
        <w:rPr>
          <w:rFonts w:ascii="Arial" w:cs="Arial" w:eastAsia="Arial" w:hAnsi="Arial"/>
          <w:sz w:val="14"/>
          <w:szCs w:val="14"/>
          <w:b w:val="1"/>
          <w:bCs w:val="1"/>
          <w:color w:val="auto"/>
        </w:rPr>
        <w:t xml:space="preserve"> </w:t>
      </w:r>
      <w:r>
        <w:rPr>
          <w:rFonts w:ascii="Arial" w:cs="Arial" w:eastAsia="Arial" w:hAnsi="Arial"/>
          <w:sz w:val="14"/>
          <w:szCs w:val="14"/>
          <w:color w:val="auto"/>
        </w:rPr>
        <w:t>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209" w:lineRule="exact"/>
        <w:rPr>
          <w:rFonts w:ascii="Arial" w:cs="Arial" w:eastAsia="Arial" w:hAnsi="Arial"/>
          <w:sz w:val="14"/>
          <w:szCs w:val="14"/>
          <w:b w:val="1"/>
          <w:bCs w:val="1"/>
          <w:color w:val="auto"/>
        </w:rPr>
      </w:pPr>
    </w:p>
    <w:p>
      <w:pPr>
        <w:ind w:left="224" w:hanging="224"/>
        <w:spacing w:after="0"/>
        <w:tabs>
          <w:tab w:leader="none" w:pos="224"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Notices.</w:t>
      </w:r>
    </w:p>
    <w:p>
      <w:pPr>
        <w:spacing w:after="0" w:line="25" w:lineRule="exact"/>
        <w:rPr>
          <w:sz w:val="20"/>
          <w:szCs w:val="20"/>
          <w:color w:val="auto"/>
        </w:rPr>
      </w:pPr>
    </w:p>
    <w:p>
      <w:pPr>
        <w:ind w:left="4" w:right="60" w:firstLine="324"/>
        <w:spacing w:after="0" w:line="281" w:lineRule="auto"/>
        <w:rPr>
          <w:sz w:val="20"/>
          <w:szCs w:val="20"/>
          <w:color w:val="auto"/>
        </w:rPr>
      </w:pPr>
      <w:r>
        <w:rPr>
          <w:rFonts w:ascii="Arial" w:cs="Arial" w:eastAsia="Arial" w:hAnsi="Arial"/>
          <w:sz w:val="13"/>
          <w:szCs w:val="13"/>
          <w:color w:val="auto"/>
        </w:rPr>
        <w:t xml:space="preserve">23.1 </w:t>
      </w:r>
      <w:r>
        <w:rPr>
          <w:rFonts w:ascii="Arial" w:cs="Arial" w:eastAsia="Arial" w:hAnsi="Arial"/>
          <w:sz w:val="13"/>
          <w:szCs w:val="13"/>
          <w:b w:val="1"/>
          <w:bCs w:val="1"/>
          <w:color w:val="auto"/>
        </w:rPr>
        <w:t>Notice Requirements</w:t>
      </w:r>
      <w:r>
        <w:rPr>
          <w:rFonts w:ascii="Arial" w:cs="Arial" w:eastAsia="Arial" w:hAnsi="Arial"/>
          <w:sz w:val="13"/>
          <w:szCs w:val="13"/>
          <w:color w:val="auto"/>
        </w:rPr>
        <w:t>. All notices required or permitted by this Lease or applicable law shall be in writing and may be delivered in person (by hand or by courier) or may be sent by regular, certified or registered mail or U.S. Postal Service Express Mail, with postage prepaid, or by facsimile transmission, or by email,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2" w:lineRule="exact"/>
        <w:rPr>
          <w:sz w:val="20"/>
          <w:szCs w:val="20"/>
          <w:color w:val="auto"/>
        </w:rPr>
      </w:pPr>
    </w:p>
    <w:p>
      <w:pPr>
        <w:ind w:left="4" w:right="180" w:firstLine="324"/>
        <w:spacing w:after="0" w:line="267"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b w:val="1"/>
          <w:bCs w:val="1"/>
          <w:color w:val="auto"/>
        </w:rPr>
        <w:t>Date of Notice</w:t>
      </w:r>
      <w:r>
        <w:rPr>
          <w:rFonts w:ascii="Arial" w:cs="Arial" w:eastAsia="Arial" w:hAnsi="Arial"/>
          <w:sz w:val="14"/>
          <w:szCs w:val="14"/>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p>
      <w:pPr>
        <w:spacing w:after="0" w:line="228" w:lineRule="exact"/>
        <w:rPr>
          <w:sz w:val="20"/>
          <w:szCs w:val="20"/>
          <w:color w:val="auto"/>
        </w:rPr>
      </w:pPr>
    </w:p>
    <w:p>
      <w:pPr>
        <w:ind w:left="4" w:right="260" w:firstLine="324"/>
        <w:spacing w:after="0" w:line="299" w:lineRule="auto"/>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b w:val="1"/>
          <w:bCs w:val="1"/>
          <w:color w:val="auto"/>
        </w:rPr>
        <w:t>Options.</w:t>
      </w:r>
      <w:r>
        <w:rPr>
          <w:rFonts w:ascii="Arial" w:cs="Arial" w:eastAsia="Arial" w:hAnsi="Arial"/>
          <w:sz w:val="14"/>
          <w:szCs w:val="14"/>
          <w:color w:val="auto"/>
        </w:rPr>
        <w:t xml:space="preserve"> Notwithstanding the foregoing, in order to exercise any Options (see paragraph 39), the Notice must be sent by Certified Mail (return receipt requested), Express Mail (signature required), courier (signature required) or some other methodology that provides a receipt establishing the date the notice was received by the Lessor.</w:t>
      </w:r>
    </w:p>
    <w:p>
      <w:pPr>
        <w:spacing w:after="0" w:line="179" w:lineRule="exact"/>
        <w:rPr>
          <w:sz w:val="20"/>
          <w:szCs w:val="20"/>
          <w:color w:val="auto"/>
        </w:rPr>
      </w:pPr>
    </w:p>
    <w:p>
      <w:pPr>
        <w:ind w:left="224" w:hanging="224"/>
        <w:spacing w:after="0"/>
        <w:tabs>
          <w:tab w:leader="none" w:pos="224"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Waivers.</w:t>
      </w:r>
    </w:p>
    <w:p>
      <w:pPr>
        <w:spacing w:after="0" w:line="32" w:lineRule="exact"/>
        <w:rPr>
          <w:rFonts w:ascii="Arial" w:cs="Arial" w:eastAsia="Arial" w:hAnsi="Arial"/>
          <w:sz w:val="14"/>
          <w:szCs w:val="14"/>
          <w:b w:val="1"/>
          <w:bCs w:val="1"/>
          <w:color w:val="auto"/>
        </w:rPr>
      </w:pPr>
    </w:p>
    <w:p>
      <w:pPr>
        <w:ind w:left="4" w:right="140" w:firstLine="644"/>
        <w:spacing w:after="0" w:line="261" w:lineRule="auto"/>
        <w:tabs>
          <w:tab w:leader="none" w:pos="84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ind w:left="844" w:hanging="196"/>
        <w:spacing w:after="0"/>
        <w:tabs>
          <w:tab w:leader="none" w:pos="844" w:val="left"/>
        </w:tabs>
        <w:numPr>
          <w:ilvl w:val="1"/>
          <w:numId w:val="105"/>
        </w:numPr>
        <w:rPr>
          <w:rFonts w:ascii="Arial" w:cs="Arial" w:eastAsia="Arial" w:hAnsi="Arial"/>
          <w:sz w:val="14"/>
          <w:szCs w:val="14"/>
          <w:color w:val="auto"/>
        </w:rPr>
      </w:pPr>
      <w:r>
        <w:rPr>
          <w:rFonts w:ascii="Arial" w:cs="Arial" w:eastAsia="Arial" w:hAnsi="Arial"/>
          <w:sz w:val="14"/>
          <w:szCs w:val="14"/>
          <w:color w:val="auto"/>
        </w:rPr>
        <w:t>The acceptance of Rent by Lessor shall not be a waiver of any Default or Breach by Lessee. Any payment by Lessee may be accepted by Lessor on</w:t>
      </w:r>
    </w:p>
    <w:p>
      <w:pPr>
        <w:spacing w:after="0" w:line="9" w:lineRule="exact"/>
        <w:rPr>
          <w:sz w:val="20"/>
          <w:szCs w:val="20"/>
          <w:color w:val="auto"/>
        </w:rPr>
      </w:pPr>
    </w:p>
    <w:p>
      <w:pPr>
        <w:ind w:left="4" w:right="60"/>
        <w:spacing w:after="0" w:line="261" w:lineRule="auto"/>
        <w:rPr>
          <w:sz w:val="20"/>
          <w:szCs w:val="20"/>
          <w:color w:val="auto"/>
        </w:rPr>
      </w:pPr>
      <w:r>
        <w:rPr>
          <w:rFonts w:ascii="Arial" w:cs="Arial" w:eastAsia="Arial" w:hAnsi="Arial"/>
          <w:sz w:val="14"/>
          <w:szCs w:val="14"/>
          <w:color w:val="auto"/>
        </w:rPr>
        <w:t>account of monies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 w:lineRule="exact"/>
        <w:rPr>
          <w:sz w:val="20"/>
          <w:szCs w:val="20"/>
          <w:color w:val="auto"/>
        </w:rPr>
      </w:pPr>
    </w:p>
    <w:p>
      <w:pPr>
        <w:ind w:left="4" w:right="240" w:firstLine="644"/>
        <w:spacing w:after="0" w:line="283" w:lineRule="auto"/>
        <w:tabs>
          <w:tab w:leader="none" w:pos="848" w:val="left"/>
        </w:tabs>
        <w:numPr>
          <w:ilvl w:val="1"/>
          <w:numId w:val="106"/>
        </w:numPr>
        <w:rPr>
          <w:rFonts w:ascii="Arial" w:cs="Arial" w:eastAsia="Arial" w:hAnsi="Arial"/>
          <w:sz w:val="14"/>
          <w:szCs w:val="14"/>
          <w:color w:val="auto"/>
        </w:rPr>
      </w:pPr>
      <w:r>
        <w:rPr>
          <w:rFonts w:ascii="Arial" w:cs="Arial" w:eastAsia="Arial" w:hAnsi="Arial"/>
          <w:sz w:val="14"/>
          <w:szCs w:val="14"/>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203" w:lineRule="exact"/>
        <w:rPr>
          <w:rFonts w:ascii="Arial" w:cs="Arial" w:eastAsia="Arial" w:hAnsi="Arial"/>
          <w:sz w:val="14"/>
          <w:szCs w:val="14"/>
          <w:color w:val="auto"/>
        </w:rPr>
      </w:pPr>
    </w:p>
    <w:p>
      <w:pPr>
        <w:ind w:left="224" w:hanging="224"/>
        <w:spacing w:after="0"/>
        <w:tabs>
          <w:tab w:leader="none" w:pos="224"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Disclosures Regarding The Nature of a Real Estate Agency Relationship.</w:t>
      </w:r>
    </w:p>
    <w:p>
      <w:pPr>
        <w:spacing w:after="0" w:line="25" w:lineRule="exact"/>
        <w:rPr>
          <w:rFonts w:ascii="Arial" w:cs="Arial" w:eastAsia="Arial" w:hAnsi="Arial"/>
          <w:sz w:val="14"/>
          <w:szCs w:val="14"/>
          <w:b w:val="1"/>
          <w:bCs w:val="1"/>
          <w:color w:val="auto"/>
        </w:rPr>
      </w:pPr>
    </w:p>
    <w:p>
      <w:pPr>
        <w:ind w:left="4" w:right="660" w:firstLine="644"/>
        <w:spacing w:after="0" w:line="305" w:lineRule="auto"/>
        <w:tabs>
          <w:tab w:leader="none" w:pos="84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ind w:left="1144" w:hanging="172"/>
        <w:spacing w:after="0"/>
        <w:tabs>
          <w:tab w:leader="none" w:pos="1144" w:val="left"/>
        </w:tabs>
        <w:numPr>
          <w:ilvl w:val="2"/>
          <w:numId w:val="107"/>
        </w:numPr>
        <w:rPr>
          <w:rFonts w:ascii="Arial" w:cs="Arial" w:eastAsia="Arial" w:hAnsi="Arial"/>
          <w:sz w:val="13"/>
          <w:szCs w:val="13"/>
          <w:color w:val="auto"/>
        </w:rPr>
      </w:pPr>
      <w:r>
        <w:rPr>
          <w:rFonts w:ascii="Arial" w:cs="Arial" w:eastAsia="Arial" w:hAnsi="Arial"/>
          <w:sz w:val="13"/>
          <w:szCs w:val="13"/>
          <w:i w:val="1"/>
          <w:iCs w:val="1"/>
          <w:u w:val="single" w:color="auto"/>
          <w:color w:val="auto"/>
        </w:rPr>
        <w:t>Lessor's Agent</w:t>
      </w:r>
      <w:r>
        <w:rPr>
          <w:rFonts w:ascii="Arial" w:cs="Arial" w:eastAsia="Arial" w:hAnsi="Arial"/>
          <w:sz w:val="13"/>
          <w:szCs w:val="13"/>
          <w:color w:val="auto"/>
        </w:rPr>
        <w:t>. A Lessor's agent under a listing agreement with the Lessor acts as the agent for the Lessor only. A Lessor's agent or subagent has the following affirmative</w:t>
      </w:r>
    </w:p>
    <w:p>
      <w:pPr>
        <w:spacing w:after="0" w:line="26" w:lineRule="exact"/>
        <w:rPr>
          <w:rFonts w:ascii="Arial" w:cs="Arial" w:eastAsia="Arial" w:hAnsi="Arial"/>
          <w:sz w:val="13"/>
          <w:szCs w:val="13"/>
          <w:color w:val="auto"/>
        </w:rPr>
      </w:pPr>
    </w:p>
    <w:p>
      <w:pPr>
        <w:ind w:left="4" w:right="160"/>
        <w:spacing w:after="0" w:line="261" w:lineRule="auto"/>
        <w:rPr>
          <w:rFonts w:ascii="Arial" w:cs="Arial" w:eastAsia="Arial" w:hAnsi="Arial"/>
          <w:sz w:val="13"/>
          <w:szCs w:val="13"/>
          <w:color w:val="auto"/>
        </w:rPr>
      </w:pPr>
      <w:r>
        <w:rPr>
          <w:rFonts w:ascii="Arial" w:cs="Arial" w:eastAsia="Arial" w:hAnsi="Arial"/>
          <w:sz w:val="14"/>
          <w:szCs w:val="14"/>
          <w:color w:val="auto"/>
        </w:rPr>
        <w:t xml:space="preserve">obligations: </w:t>
      </w:r>
      <w:r>
        <w:rPr>
          <w:rFonts w:ascii="Arial" w:cs="Arial" w:eastAsia="Arial" w:hAnsi="Arial"/>
          <w:sz w:val="14"/>
          <w:szCs w:val="14"/>
          <w:i w:val="1"/>
          <w:iCs w:val="1"/>
          <w:u w:val="single" w:color="auto"/>
          <w:color w:val="auto"/>
        </w:rPr>
        <w:t>To the Lessor</w:t>
      </w:r>
      <w:r>
        <w:rPr>
          <w:rFonts w:ascii="Arial" w:cs="Arial" w:eastAsia="Arial" w:hAnsi="Arial"/>
          <w:sz w:val="14"/>
          <w:szCs w:val="14"/>
          <w:color w:val="auto"/>
        </w:rPr>
        <w:t xml:space="preserve">: A fiduciary duty of utmost care, integrity, honesty, and loyalty in dealings with the Lessor. </w:t>
      </w:r>
      <w:r>
        <w:rPr>
          <w:rFonts w:ascii="Arial" w:cs="Arial" w:eastAsia="Arial" w:hAnsi="Arial"/>
          <w:sz w:val="14"/>
          <w:szCs w:val="14"/>
          <w:i w:val="1"/>
          <w:iCs w:val="1"/>
          <w:u w:val="single" w:color="auto"/>
          <w:color w:val="auto"/>
        </w:rPr>
        <w:t>To the Lessee and the Lessor</w:t>
      </w:r>
      <w:r>
        <w:rPr>
          <w:rFonts w:ascii="Arial" w:cs="Arial" w:eastAsia="Arial" w:hAnsi="Arial"/>
          <w:sz w:val="14"/>
          <w:szCs w:val="14"/>
          <w:color w:val="auto"/>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 w:lineRule="exact"/>
        <w:rPr>
          <w:rFonts w:ascii="Arial" w:cs="Arial" w:eastAsia="Arial" w:hAnsi="Arial"/>
          <w:sz w:val="13"/>
          <w:szCs w:val="13"/>
          <w:color w:val="auto"/>
        </w:rPr>
      </w:pPr>
    </w:p>
    <w:p>
      <w:pPr>
        <w:ind w:left="4" w:right="120" w:firstLine="968"/>
        <w:spacing w:after="0" w:line="305" w:lineRule="auto"/>
        <w:tabs>
          <w:tab w:leader="none" w:pos="1188" w:val="left"/>
        </w:tabs>
        <w:numPr>
          <w:ilvl w:val="2"/>
          <w:numId w:val="107"/>
        </w:numPr>
        <w:rPr>
          <w:rFonts w:ascii="Arial" w:cs="Arial" w:eastAsia="Arial" w:hAnsi="Arial"/>
          <w:sz w:val="12"/>
          <w:szCs w:val="12"/>
          <w:color w:val="auto"/>
        </w:rPr>
      </w:pPr>
      <w:r>
        <w:rPr>
          <w:rFonts w:ascii="Arial" w:cs="Arial" w:eastAsia="Arial" w:hAnsi="Arial"/>
          <w:sz w:val="12"/>
          <w:szCs w:val="12"/>
          <w:i w:val="1"/>
          <w:iCs w:val="1"/>
          <w:u w:val="single" w:color="auto"/>
          <w:color w:val="auto"/>
        </w:rPr>
        <w:t>Lessee's Agent</w:t>
      </w:r>
      <w:r>
        <w:rPr>
          <w:rFonts w:ascii="Arial" w:cs="Arial" w:eastAsia="Arial" w:hAnsi="Arial"/>
          <w:sz w:val="12"/>
          <w:szCs w:val="12"/>
          <w:color w:val="auto"/>
        </w:rPr>
        <w:t>. An agent can agree to act as agent for the Lessee only. In these situations, the agent is not the Lessor's agent, even if by agreement the agent may receive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compensation for services rendered, either in full or in part from the Lessor. An agent acting only for a Lessee has the following affirmative obligations. </w:t>
      </w:r>
      <w:r>
        <w:rPr>
          <w:rFonts w:ascii="Arial" w:cs="Arial" w:eastAsia="Arial" w:hAnsi="Arial"/>
          <w:sz w:val="12"/>
          <w:szCs w:val="12"/>
          <w:i w:val="1"/>
          <w:iCs w:val="1"/>
          <w:u w:val="single" w:color="auto"/>
          <w:color w:val="auto"/>
        </w:rPr>
        <w:t>To the Lessee</w:t>
      </w:r>
      <w:r>
        <w:rPr>
          <w:rFonts w:ascii="Arial" w:cs="Arial" w:eastAsia="Arial" w:hAnsi="Arial"/>
          <w:sz w:val="12"/>
          <w:szCs w:val="12"/>
          <w:color w:val="auto"/>
        </w:rPr>
        <w:t xml:space="preserve">: A fiduciary duty of utmost care, integrity, honesty, and loyalty in dealings with the Lessee. </w:t>
      </w:r>
      <w:r>
        <w:rPr>
          <w:rFonts w:ascii="Arial" w:cs="Arial" w:eastAsia="Arial" w:hAnsi="Arial"/>
          <w:sz w:val="12"/>
          <w:szCs w:val="12"/>
          <w:i w:val="1"/>
          <w:iCs w:val="1"/>
          <w:u w:val="single" w:color="auto"/>
          <w:color w:val="auto"/>
        </w:rPr>
        <w:t>To the Lessee and the Lessor</w:t>
      </w:r>
      <w:r>
        <w:rPr>
          <w:rFonts w:ascii="Arial" w:cs="Arial" w:eastAsia="Arial" w:hAnsi="Arial"/>
          <w:sz w:val="12"/>
          <w:szCs w:val="12"/>
          <w:color w:val="auto"/>
        </w:rPr>
        <w:t>: (a) Diligent exercise of reasonable skills and care in performance of the agent's duties.</w:t>
      </w:r>
    </w:p>
    <w:p>
      <w:pPr>
        <w:ind w:left="4" w:right="200"/>
        <w:spacing w:after="0" w:line="257" w:lineRule="auto"/>
        <w:rPr>
          <w:rFonts w:ascii="Arial" w:cs="Arial" w:eastAsia="Arial" w:hAnsi="Arial"/>
          <w:sz w:val="12"/>
          <w:szCs w:val="12"/>
          <w:color w:val="auto"/>
        </w:rPr>
      </w:pPr>
      <w:r>
        <w:rPr>
          <w:rFonts w:ascii="Arial" w:cs="Arial" w:eastAsia="Arial" w:hAnsi="Arial"/>
          <w:sz w:val="14"/>
          <w:szCs w:val="14"/>
          <w:color w:val="auto"/>
        </w:rPr>
        <w:t>(b)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 w:lineRule="exact"/>
        <w:rPr>
          <w:rFonts w:ascii="Arial" w:cs="Arial" w:eastAsia="Arial" w:hAnsi="Arial"/>
          <w:sz w:val="12"/>
          <w:szCs w:val="12"/>
          <w:color w:val="auto"/>
        </w:rPr>
      </w:pPr>
    </w:p>
    <w:p>
      <w:pPr>
        <w:ind w:left="1224" w:hanging="252"/>
        <w:spacing w:after="0"/>
        <w:tabs>
          <w:tab w:leader="none" w:pos="1224" w:val="left"/>
        </w:tabs>
        <w:numPr>
          <w:ilvl w:val="2"/>
          <w:numId w:val="107"/>
        </w:numPr>
        <w:rPr>
          <w:rFonts w:ascii="Arial" w:cs="Arial" w:eastAsia="Arial" w:hAnsi="Arial"/>
          <w:sz w:val="14"/>
          <w:szCs w:val="14"/>
          <w:color w:val="auto"/>
        </w:rPr>
      </w:pPr>
      <w:r>
        <w:rPr>
          <w:rFonts w:ascii="Arial" w:cs="Arial" w:eastAsia="Arial" w:hAnsi="Arial"/>
          <w:sz w:val="14"/>
          <w:szCs w:val="14"/>
          <w:i w:val="1"/>
          <w:iCs w:val="1"/>
          <w:u w:val="single" w:color="auto"/>
          <w:color w:val="auto"/>
        </w:rPr>
        <w:t>Agent Representing Both Lessor and Lessee</w:t>
      </w:r>
      <w:r>
        <w:rPr>
          <w:rFonts w:ascii="Arial" w:cs="Arial" w:eastAsia="Arial" w:hAnsi="Arial"/>
          <w:sz w:val="14"/>
          <w:szCs w:val="14"/>
          <w:color w:val="auto"/>
        </w:rPr>
        <w:t>. A real estate agent, either acting directly or through one or more associate licenses, can legally be</w:t>
      </w:r>
    </w:p>
    <w:p>
      <w:pPr>
        <w:spacing w:after="0" w:line="16" w:lineRule="exact"/>
        <w:rPr>
          <w:sz w:val="20"/>
          <w:szCs w:val="20"/>
          <w:color w:val="auto"/>
        </w:rPr>
      </w:pPr>
    </w:p>
    <w:p>
      <w:pPr>
        <w:ind w:left="4" w:right="20"/>
        <w:spacing w:after="0" w:line="272" w:lineRule="auto"/>
        <w:rPr>
          <w:sz w:val="20"/>
          <w:szCs w:val="20"/>
          <w:color w:val="auto"/>
        </w:rPr>
      </w:pPr>
      <w:r>
        <w:rPr>
          <w:rFonts w:ascii="Arial" w:cs="Arial" w:eastAsia="Arial" w:hAnsi="Arial"/>
          <w:sz w:val="14"/>
          <w:szCs w:val="14"/>
          <w:color w:val="auto"/>
        </w:rPr>
        <w:t>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confidential information, including, but not limited to, facts relating to either</w:t>
      </w:r>
    </w:p>
    <w:p>
      <w:pPr>
        <w:sectPr>
          <w:pgSz w:w="11900" w:h="16838" w:orient="portrait"/>
          <w:cols w:equalWidth="0" w:num="1">
            <w:col w:w="11004"/>
          </w:cols>
          <w:pgMar w:left="436" w:top="765" w:right="459" w:bottom="46" w:gutter="0" w:footer="0" w:header="0"/>
        </w:sectPr>
      </w:pPr>
    </w:p>
    <w:bookmarkStart w:id="149" w:name="page150"/>
    <w:bookmarkEnd w:id="149"/>
    <w:p>
      <w:pPr>
        <w:ind w:left="4" w:right="20"/>
        <w:spacing w:after="0" w:line="283" w:lineRule="auto"/>
        <w:rPr>
          <w:sz w:val="20"/>
          <w:szCs w:val="20"/>
          <w:color w:val="auto"/>
        </w:rPr>
      </w:pPr>
      <w:r>
        <w:rPr>
          <w:rFonts w:ascii="Arial" w:cs="Arial" w:eastAsia="Arial" w:hAnsi="Arial"/>
          <w:sz w:val="13"/>
          <w:szCs w:val="13"/>
          <w:color w:val="auto"/>
        </w:rPr>
        <w:t>Lessee’s or Lessor’s financial position, motivations, bargaining position, or other personal information that may impact rent, including Lessor’s willingness to accept a rent less than the listing rent or Lessee’s willingness to pay rent greater than the rent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 Both Lessor and Lessee should strongly consider obtaining tax advice from a competent professional because the federal and state tax consequences of a transaction can be complex and subject to change.</w:t>
      </w:r>
    </w:p>
    <w:p>
      <w:pPr>
        <w:spacing w:after="0" w:line="3" w:lineRule="exact"/>
        <w:rPr>
          <w:sz w:val="20"/>
          <w:szCs w:val="20"/>
          <w:color w:val="auto"/>
        </w:rPr>
      </w:pPr>
    </w:p>
    <w:p>
      <w:pPr>
        <w:ind w:left="4" w:right="160" w:firstLine="644"/>
        <w:spacing w:after="0" w:line="258" w:lineRule="auto"/>
        <w:tabs>
          <w:tab w:leader="none" w:pos="85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0"/>
          <w:numId w:val="108"/>
        </w:numPr>
        <w:rPr>
          <w:rFonts w:ascii="Arial" w:cs="Arial" w:eastAsia="Arial" w:hAnsi="Arial"/>
          <w:sz w:val="14"/>
          <w:szCs w:val="14"/>
          <w:color w:val="auto"/>
        </w:rPr>
      </w:pPr>
      <w:r>
        <w:rPr>
          <w:rFonts w:ascii="Arial" w:cs="Arial" w:eastAsia="Arial" w:hAnsi="Arial"/>
          <w:sz w:val="14"/>
          <w:szCs w:val="14"/>
          <w:color w:val="auto"/>
        </w:rPr>
        <w:t>Lessor and Lessee agree to identify to Brokers as "Confidential" any communication or information given Brokers that is considered by such Party to</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be confidential.</w:t>
      </w:r>
    </w:p>
    <w:p>
      <w:pPr>
        <w:spacing w:after="0" w:line="242" w:lineRule="exact"/>
        <w:rPr>
          <w:sz w:val="20"/>
          <w:szCs w:val="20"/>
          <w:color w:val="auto"/>
        </w:rPr>
      </w:pPr>
    </w:p>
    <w:p>
      <w:pPr>
        <w:jc w:val="both"/>
        <w:ind w:left="4" w:right="340" w:hanging="4"/>
        <w:spacing w:after="0" w:line="280" w:lineRule="auto"/>
        <w:tabs>
          <w:tab w:leader="none" w:pos="220"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No Right To Holdover</w:t>
      </w:r>
      <w:r>
        <w:rPr>
          <w:rFonts w:ascii="Arial" w:cs="Arial" w:eastAsia="Arial" w:hAnsi="Arial"/>
          <w:sz w:val="14"/>
          <w:szCs w:val="14"/>
          <w:color w:val="auto"/>
        </w:rPr>
        <w:t>. Lessee has no right to retain possession of the Premises or any part thereof beyond the expiration or termination of this Lease. In the event that Lessee holds</w:t>
      </w:r>
      <w:r>
        <w:rPr>
          <w:rFonts w:ascii="Arial" w:cs="Arial" w:eastAsia="Arial" w:hAnsi="Arial"/>
          <w:sz w:val="14"/>
          <w:szCs w:val="14"/>
          <w:b w:val="1"/>
          <w:bCs w:val="1"/>
          <w:color w:val="auto"/>
        </w:rPr>
        <w:t xml:space="preserve"> </w:t>
      </w:r>
      <w:r>
        <w:rPr>
          <w:rFonts w:ascii="Arial" w:cs="Arial" w:eastAsia="Arial" w:hAnsi="Arial"/>
          <w:sz w:val="14"/>
          <w:szCs w:val="14"/>
          <w:color w:val="auto"/>
        </w:rPr>
        <w:t>over, then the Base Rent shall be increased to 150% of the Base Rent applicable immediately preceding the expiration or termination. Holdover Base Rent shall be calculated on monthly basis. Nothing contained herein shall be construed as consent by Lessor to any holding over by Lessee.</w:t>
      </w:r>
    </w:p>
    <w:p>
      <w:pPr>
        <w:spacing w:after="0" w:line="219" w:lineRule="exact"/>
        <w:rPr>
          <w:rFonts w:ascii="Arial" w:cs="Arial" w:eastAsia="Arial" w:hAnsi="Arial"/>
          <w:sz w:val="14"/>
          <w:szCs w:val="14"/>
          <w:b w:val="1"/>
          <w:bCs w:val="1"/>
          <w:color w:val="auto"/>
        </w:rPr>
      </w:pPr>
    </w:p>
    <w:p>
      <w:pPr>
        <w:ind w:left="224" w:hanging="224"/>
        <w:spacing w:after="0"/>
        <w:tabs>
          <w:tab w:leader="none" w:pos="224"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Cumulative Remedies. </w:t>
      </w:r>
      <w:r>
        <w:rPr>
          <w:rFonts w:ascii="Arial" w:cs="Arial" w:eastAsia="Arial" w:hAnsi="Arial"/>
          <w:sz w:val="14"/>
          <w:szCs w:val="14"/>
          <w:color w:val="auto"/>
        </w:rPr>
        <w:t>No remedy or election hereunder shall be deemed exclusive but shall, wherever possible, be cumulative with all other remedies at law or in equity.</w:t>
      </w:r>
    </w:p>
    <w:p>
      <w:pPr>
        <w:spacing w:after="0" w:line="257" w:lineRule="exact"/>
        <w:rPr>
          <w:rFonts w:ascii="Arial" w:cs="Arial" w:eastAsia="Arial" w:hAnsi="Arial"/>
          <w:sz w:val="14"/>
          <w:szCs w:val="14"/>
          <w:b w:val="1"/>
          <w:bCs w:val="1"/>
          <w:color w:val="auto"/>
        </w:rPr>
      </w:pPr>
    </w:p>
    <w:p>
      <w:pPr>
        <w:jc w:val="both"/>
        <w:ind w:left="4" w:right="420" w:hanging="4"/>
        <w:spacing w:after="0" w:line="347" w:lineRule="auto"/>
        <w:tabs>
          <w:tab w:leader="none" w:pos="22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Covenants and Conditions; Construction of Agreement. </w:t>
      </w:r>
      <w:r>
        <w:rPr>
          <w:rFonts w:ascii="Arial" w:cs="Arial" w:eastAsia="Arial" w:hAnsi="Arial"/>
          <w:sz w:val="12"/>
          <w:szCs w:val="12"/>
          <w:color w:val="auto"/>
        </w:rPr>
        <w:t>All provisions of this Lease to be observed or performed by Lessee are both covenants and conditions. In construing this</w:t>
      </w:r>
      <w:r>
        <w:rPr>
          <w:rFonts w:ascii="Arial" w:cs="Arial" w:eastAsia="Arial" w:hAnsi="Arial"/>
          <w:sz w:val="12"/>
          <w:szCs w:val="12"/>
          <w:b w:val="1"/>
          <w:bCs w:val="1"/>
          <w:color w:val="auto"/>
        </w:rPr>
        <w:t xml:space="preserve"> </w:t>
      </w:r>
      <w:r>
        <w:rPr>
          <w:rFonts w:ascii="Arial" w:cs="Arial" w:eastAsia="Arial" w:hAnsi="Arial"/>
          <w:sz w:val="12"/>
          <w:szCs w:val="12"/>
          <w:color w:val="auto"/>
        </w:rPr>
        <w:t>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70" w:lineRule="exact"/>
        <w:rPr>
          <w:rFonts w:ascii="Arial" w:cs="Arial" w:eastAsia="Arial" w:hAnsi="Arial"/>
          <w:sz w:val="12"/>
          <w:szCs w:val="12"/>
          <w:b w:val="1"/>
          <w:bCs w:val="1"/>
          <w:color w:val="auto"/>
        </w:rPr>
      </w:pPr>
    </w:p>
    <w:p>
      <w:pPr>
        <w:jc w:val="both"/>
        <w:ind w:left="4" w:right="120" w:hanging="4"/>
        <w:spacing w:after="0" w:line="280" w:lineRule="auto"/>
        <w:tabs>
          <w:tab w:leader="none" w:pos="220"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Binding Effect; Choice of Law. </w:t>
      </w:r>
      <w:r>
        <w:rPr>
          <w:rFonts w:ascii="Arial" w:cs="Arial" w:eastAsia="Arial" w:hAnsi="Arial"/>
          <w:sz w:val="14"/>
          <w:szCs w:val="14"/>
          <w:color w:val="auto"/>
        </w:rPr>
        <w:t>This Lease shall be binding upon the Parties, their personal representatives, successors and assigns and be governed by the laws of the State in which</w:t>
      </w:r>
      <w:r>
        <w:rPr>
          <w:rFonts w:ascii="Arial" w:cs="Arial" w:eastAsia="Arial" w:hAnsi="Arial"/>
          <w:sz w:val="14"/>
          <w:szCs w:val="14"/>
          <w:b w:val="1"/>
          <w:bCs w:val="1"/>
          <w:color w:val="auto"/>
        </w:rPr>
        <w:t xml:space="preserve"> </w:t>
      </w:r>
      <w:r>
        <w:rPr>
          <w:rFonts w:ascii="Arial" w:cs="Arial" w:eastAsia="Arial" w:hAnsi="Arial"/>
          <w:sz w:val="14"/>
          <w:szCs w:val="14"/>
          <w:color w:val="auto"/>
        </w:rPr>
        <w:t>the Premises are located. Any litigation between the Parties hereto concerning this Lease shall be initiated in the county in which the Premises are located. Signatures to this Lease accomplished by means of electronic signature or similar technology shall be legal and binding.</w:t>
      </w:r>
    </w:p>
    <w:p>
      <w:pPr>
        <w:spacing w:after="0" w:line="192" w:lineRule="exact"/>
        <w:rPr>
          <w:rFonts w:ascii="Arial" w:cs="Arial" w:eastAsia="Arial" w:hAnsi="Arial"/>
          <w:sz w:val="14"/>
          <w:szCs w:val="14"/>
          <w:b w:val="1"/>
          <w:bCs w:val="1"/>
          <w:color w:val="auto"/>
        </w:rPr>
      </w:pPr>
    </w:p>
    <w:p>
      <w:pPr>
        <w:ind w:left="224" w:hanging="224"/>
        <w:spacing w:after="0"/>
        <w:tabs>
          <w:tab w:leader="none" w:pos="224"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Subordination; Attornment; Non-Disturbance.</w:t>
      </w:r>
    </w:p>
    <w:p>
      <w:pPr>
        <w:spacing w:after="0" w:line="42" w:lineRule="exact"/>
        <w:rPr>
          <w:sz w:val="20"/>
          <w:szCs w:val="20"/>
          <w:color w:val="auto"/>
        </w:rPr>
      </w:pPr>
    </w:p>
    <w:p>
      <w:pPr>
        <w:ind w:left="4" w:right="100" w:firstLine="324"/>
        <w:spacing w:after="0" w:line="282" w:lineRule="auto"/>
        <w:rPr>
          <w:sz w:val="20"/>
          <w:szCs w:val="20"/>
          <w:color w:val="auto"/>
        </w:rPr>
      </w:pPr>
      <w:r>
        <w:rPr>
          <w:rFonts w:ascii="Arial" w:cs="Arial" w:eastAsia="Arial" w:hAnsi="Arial"/>
          <w:sz w:val="13"/>
          <w:szCs w:val="13"/>
          <w:color w:val="auto"/>
        </w:rPr>
        <w:t xml:space="preserve">30.1 </w:t>
      </w:r>
      <w:r>
        <w:rPr>
          <w:rFonts w:ascii="Arial" w:cs="Arial" w:eastAsia="Arial" w:hAnsi="Arial"/>
          <w:sz w:val="13"/>
          <w:szCs w:val="13"/>
          <w:b w:val="1"/>
          <w:bCs w:val="1"/>
          <w:color w:val="auto"/>
        </w:rPr>
        <w:t>Subordination</w:t>
      </w:r>
      <w:r>
        <w:rPr>
          <w:rFonts w:ascii="Arial" w:cs="Arial" w:eastAsia="Arial" w:hAnsi="Arial"/>
          <w:sz w:val="13"/>
          <w:szCs w:val="13"/>
          <w:color w:val="auto"/>
        </w:rPr>
        <w:t>. This Lease and any Option granted hereby shall be subject and subordinate to any ground lease, mortgage, deed of trust, or other hypothecation or security device (collectively, "</w:t>
      </w:r>
      <w:r>
        <w:rPr>
          <w:rFonts w:ascii="Arial" w:cs="Arial" w:eastAsia="Arial" w:hAnsi="Arial"/>
          <w:sz w:val="13"/>
          <w:szCs w:val="13"/>
          <w:b w:val="1"/>
          <w:bCs w:val="1"/>
          <w:color w:val="auto"/>
        </w:rPr>
        <w:t>Security Device</w:t>
      </w:r>
      <w:r>
        <w:rPr>
          <w:rFonts w:ascii="Arial" w:cs="Arial" w:eastAsia="Arial" w:hAnsi="Arial"/>
          <w:sz w:val="13"/>
          <w:szCs w:val="13"/>
          <w:color w:val="auto"/>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3"/>
          <w:szCs w:val="13"/>
          <w:b w:val="1"/>
          <w:bCs w:val="1"/>
          <w:color w:val="auto"/>
        </w:rPr>
        <w:t>Lender</w:t>
      </w:r>
      <w:r>
        <w:rPr>
          <w:rFonts w:ascii="Arial" w:cs="Arial" w:eastAsia="Arial" w:hAnsi="Arial"/>
          <w:sz w:val="13"/>
          <w:szCs w:val="13"/>
          <w:color w:val="auto"/>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2"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30.2 </w:t>
      </w:r>
      <w:r>
        <w:rPr>
          <w:rFonts w:ascii="Arial" w:cs="Arial" w:eastAsia="Arial" w:hAnsi="Arial"/>
          <w:sz w:val="14"/>
          <w:szCs w:val="14"/>
          <w:b w:val="1"/>
          <w:bCs w:val="1"/>
          <w:color w:val="auto"/>
        </w:rPr>
        <w:t>Attornment</w:t>
      </w:r>
      <w:r>
        <w:rPr>
          <w:rFonts w:ascii="Arial" w:cs="Arial" w:eastAsia="Arial" w:hAnsi="Arial"/>
          <w:sz w:val="14"/>
          <w:szCs w:val="14"/>
          <w:color w:val="auto"/>
        </w:rPr>
        <w:t>. In the event that Lessor transfers title to the Premises, or the Premises are acquired by another upon the foreclosure or termination of a</w:t>
      </w:r>
    </w:p>
    <w:p>
      <w:pPr>
        <w:spacing w:after="0" w:line="16" w:lineRule="exact"/>
        <w:rPr>
          <w:sz w:val="20"/>
          <w:szCs w:val="20"/>
          <w:color w:val="auto"/>
        </w:rPr>
      </w:pPr>
    </w:p>
    <w:p>
      <w:pPr>
        <w:ind w:left="4" w:right="20"/>
        <w:spacing w:after="0" w:line="261" w:lineRule="auto"/>
        <w:rPr>
          <w:sz w:val="20"/>
          <w:szCs w:val="20"/>
          <w:color w:val="auto"/>
        </w:rPr>
      </w:pPr>
      <w:r>
        <w:rPr>
          <w:rFonts w:ascii="Arial" w:cs="Arial" w:eastAsia="Arial" w:hAnsi="Arial"/>
          <w:sz w:val="14"/>
          <w:szCs w:val="14"/>
          <w:color w:val="auto"/>
        </w:rPr>
        <w:t>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30.3 </w:t>
      </w:r>
      <w:r>
        <w:rPr>
          <w:rFonts w:ascii="Arial" w:cs="Arial" w:eastAsia="Arial" w:hAnsi="Arial"/>
          <w:sz w:val="14"/>
          <w:szCs w:val="14"/>
          <w:b w:val="1"/>
          <w:bCs w:val="1"/>
          <w:color w:val="auto"/>
        </w:rPr>
        <w:t>Non-Disturbance</w:t>
      </w:r>
      <w:r>
        <w:rPr>
          <w:rFonts w:ascii="Arial" w:cs="Arial" w:eastAsia="Arial" w:hAnsi="Arial"/>
          <w:sz w:val="14"/>
          <w:szCs w:val="14"/>
          <w:color w:val="auto"/>
        </w:rPr>
        <w:t>. With respect to Security Devices entered into by Lessor after the execution of this Lease, Lessee's subordination of this Lease shall be</w:t>
      </w:r>
    </w:p>
    <w:p>
      <w:pPr>
        <w:spacing w:after="0" w:line="12" w:lineRule="exact"/>
        <w:rPr>
          <w:sz w:val="20"/>
          <w:szCs w:val="20"/>
          <w:color w:val="auto"/>
        </w:rPr>
      </w:pPr>
    </w:p>
    <w:p>
      <w:pPr>
        <w:ind w:left="4" w:right="120"/>
        <w:spacing w:after="0" w:line="285" w:lineRule="auto"/>
        <w:rPr>
          <w:sz w:val="20"/>
          <w:szCs w:val="20"/>
          <w:color w:val="auto"/>
        </w:rPr>
      </w:pPr>
      <w:r>
        <w:rPr>
          <w:rFonts w:ascii="Arial" w:cs="Arial" w:eastAsia="Arial" w:hAnsi="Arial"/>
          <w:sz w:val="13"/>
          <w:szCs w:val="13"/>
          <w:color w:val="auto"/>
        </w:rPr>
        <w:t>subject to receiving a commercially reasonable non-disturbance agreement (a "</w:t>
      </w:r>
      <w:r>
        <w:rPr>
          <w:rFonts w:ascii="Arial" w:cs="Arial" w:eastAsia="Arial" w:hAnsi="Arial"/>
          <w:sz w:val="13"/>
          <w:szCs w:val="13"/>
          <w:b w:val="1"/>
          <w:bCs w:val="1"/>
          <w:color w:val="auto"/>
        </w:rPr>
        <w:t>Non-Disturbance Agreement</w:t>
      </w:r>
      <w:r>
        <w:rPr>
          <w:rFonts w:ascii="Arial" w:cs="Arial" w:eastAsia="Arial" w:hAnsi="Arial"/>
          <w:sz w:val="13"/>
          <w:szCs w:val="13"/>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 w:lineRule="exact"/>
        <w:rPr>
          <w:sz w:val="20"/>
          <w:szCs w:val="20"/>
          <w:color w:val="auto"/>
        </w:rPr>
      </w:pPr>
    </w:p>
    <w:p>
      <w:pPr>
        <w:jc w:val="both"/>
        <w:ind w:left="4" w:firstLine="324"/>
        <w:spacing w:after="0" w:line="272" w:lineRule="auto"/>
        <w:rPr>
          <w:sz w:val="20"/>
          <w:szCs w:val="20"/>
          <w:color w:val="auto"/>
        </w:rPr>
      </w:pPr>
      <w:r>
        <w:rPr>
          <w:rFonts w:ascii="Arial" w:cs="Arial" w:eastAsia="Arial" w:hAnsi="Arial"/>
          <w:sz w:val="14"/>
          <w:szCs w:val="14"/>
          <w:color w:val="auto"/>
        </w:rPr>
        <w:t xml:space="preserve">30.4 </w:t>
      </w:r>
      <w:r>
        <w:rPr>
          <w:rFonts w:ascii="Arial" w:cs="Arial" w:eastAsia="Arial" w:hAnsi="Arial"/>
          <w:sz w:val="14"/>
          <w:szCs w:val="14"/>
          <w:b w:val="1"/>
          <w:bCs w:val="1"/>
          <w:color w:val="auto"/>
        </w:rPr>
        <w:t>Self-Executing</w:t>
      </w:r>
      <w:r>
        <w:rPr>
          <w:rFonts w:ascii="Arial" w:cs="Arial" w:eastAsia="Arial" w:hAnsi="Arial"/>
          <w:sz w:val="14"/>
          <w:szCs w:val="14"/>
          <w:color w:val="auto"/>
        </w:rPr>
        <w:t>. The agreements contained in this Paragraph 30 shall be elective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211" w:lineRule="exact"/>
        <w:rPr>
          <w:sz w:val="20"/>
          <w:szCs w:val="20"/>
          <w:color w:val="auto"/>
        </w:rPr>
      </w:pPr>
    </w:p>
    <w:p>
      <w:pPr>
        <w:ind w:left="4" w:right="60" w:hanging="4"/>
        <w:spacing w:after="0" w:line="291" w:lineRule="auto"/>
        <w:tabs>
          <w:tab w:leader="none" w:pos="22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Attorneys’ Fees. </w:t>
      </w:r>
      <w:r>
        <w:rPr>
          <w:rFonts w:ascii="Arial" w:cs="Arial" w:eastAsia="Arial" w:hAnsi="Arial"/>
          <w:sz w:val="13"/>
          <w:szCs w:val="13"/>
          <w:color w:val="auto"/>
        </w:rPr>
        <w:t>If any Party or Broker brings an action or proceeding involving the Premises whether founded in tort, contract or equity, or to declare rights hereunder, the Prevailing</w:t>
      </w:r>
      <w:r>
        <w:rPr>
          <w:rFonts w:ascii="Arial" w:cs="Arial" w:eastAsia="Arial" w:hAnsi="Arial"/>
          <w:sz w:val="13"/>
          <w:szCs w:val="13"/>
          <w:b w:val="1"/>
          <w:bCs w:val="1"/>
          <w:color w:val="auto"/>
        </w:rPr>
        <w:t xml:space="preserve"> </w:t>
      </w:r>
      <w:r>
        <w:rPr>
          <w:rFonts w:ascii="Arial" w:cs="Arial" w:eastAsia="Arial" w:hAnsi="Arial"/>
          <w:sz w:val="13"/>
          <w:szCs w:val="13"/>
          <w:color w:val="auto"/>
        </w:rPr>
        <w:t>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3"/>
          <w:szCs w:val="13"/>
          <w:b w:val="1"/>
          <w:bCs w:val="1"/>
          <w:color w:val="auto"/>
        </w:rPr>
        <w:t>Prevailing Party</w:t>
      </w:r>
      <w:r>
        <w:rPr>
          <w:rFonts w:ascii="Arial" w:cs="Arial" w:eastAsia="Arial" w:hAnsi="Arial"/>
          <w:sz w:val="13"/>
          <w:szCs w:val="13"/>
          <w:color w:val="auto"/>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216" w:lineRule="exact"/>
        <w:rPr>
          <w:rFonts w:ascii="Arial" w:cs="Arial" w:eastAsia="Arial" w:hAnsi="Arial"/>
          <w:sz w:val="13"/>
          <w:szCs w:val="13"/>
          <w:b w:val="1"/>
          <w:bCs w:val="1"/>
          <w:color w:val="auto"/>
        </w:rPr>
      </w:pPr>
    </w:p>
    <w:p>
      <w:pPr>
        <w:ind w:left="4" w:right="120" w:hanging="4"/>
        <w:spacing w:after="0" w:line="301" w:lineRule="auto"/>
        <w:tabs>
          <w:tab w:leader="none" w:pos="22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Lessor's Access; Showing Premises; Repairs. </w:t>
      </w:r>
      <w:r>
        <w:rPr>
          <w:rFonts w:ascii="Arial" w:cs="Arial" w:eastAsia="Arial" w:hAnsi="Arial"/>
          <w:sz w:val="13"/>
          <w:szCs w:val="13"/>
          <w:color w:val="auto"/>
        </w:rPr>
        <w:t>Lessor and Lessor's agents shall have the right to enter the Premises at any time, in the case of an emergency, and otherwise at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spacing w:after="0" w:line="195" w:lineRule="exact"/>
        <w:rPr>
          <w:rFonts w:ascii="Arial" w:cs="Arial" w:eastAsia="Arial" w:hAnsi="Arial"/>
          <w:sz w:val="13"/>
          <w:szCs w:val="13"/>
          <w:b w:val="1"/>
          <w:bCs w:val="1"/>
          <w:color w:val="auto"/>
        </w:rPr>
      </w:pPr>
    </w:p>
    <w:p>
      <w:pPr>
        <w:ind w:left="4" w:right="500" w:hanging="4"/>
        <w:spacing w:after="0" w:line="299" w:lineRule="auto"/>
        <w:tabs>
          <w:tab w:leader="none" w:pos="22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Auctions. </w:t>
      </w:r>
      <w:r>
        <w:rPr>
          <w:rFonts w:ascii="Arial" w:cs="Arial" w:eastAsia="Arial" w:hAnsi="Arial"/>
          <w:sz w:val="14"/>
          <w:szCs w:val="14"/>
          <w:color w:val="auto"/>
        </w:rPr>
        <w:t>Lessee shall not conduct, nor permit to be conducted, any auction upon the Premises without Lessor's prior written consent. Lessor shall not be obligated to exercise any</w:t>
      </w:r>
      <w:r>
        <w:rPr>
          <w:rFonts w:ascii="Arial" w:cs="Arial" w:eastAsia="Arial" w:hAnsi="Arial"/>
          <w:sz w:val="14"/>
          <w:szCs w:val="14"/>
          <w:b w:val="1"/>
          <w:bCs w:val="1"/>
          <w:color w:val="auto"/>
        </w:rPr>
        <w:t xml:space="preserve"> </w:t>
      </w:r>
      <w:r>
        <w:rPr>
          <w:rFonts w:ascii="Arial" w:cs="Arial" w:eastAsia="Arial" w:hAnsi="Arial"/>
          <w:sz w:val="14"/>
          <w:szCs w:val="14"/>
          <w:color w:val="auto"/>
        </w:rPr>
        <w:t>standard of reasonableness in determining whether to permit an auction.</w:t>
      </w:r>
    </w:p>
    <w:p>
      <w:pPr>
        <w:spacing w:after="0" w:line="192" w:lineRule="exact"/>
        <w:rPr>
          <w:rFonts w:ascii="Arial" w:cs="Arial" w:eastAsia="Arial" w:hAnsi="Arial"/>
          <w:sz w:val="14"/>
          <w:szCs w:val="14"/>
          <w:b w:val="1"/>
          <w:bCs w:val="1"/>
          <w:color w:val="auto"/>
        </w:rPr>
      </w:pPr>
    </w:p>
    <w:p>
      <w:pPr>
        <w:ind w:left="4" w:right="480" w:hanging="4"/>
        <w:spacing w:after="0" w:line="263" w:lineRule="auto"/>
        <w:tabs>
          <w:tab w:leader="none" w:pos="22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Signs. </w:t>
      </w:r>
      <w:r>
        <w:rPr>
          <w:rFonts w:ascii="Arial" w:cs="Arial" w:eastAsia="Arial" w:hAnsi="Arial"/>
          <w:sz w:val="14"/>
          <w:szCs w:val="14"/>
          <w:color w:val="auto"/>
        </w:rPr>
        <w:t>Lessor may place on the Premises ordinary "For Sale" signs at any time and ordinary "For Lease" signs during the last 6 months of the term hereof. Except for ordinary "For</w:t>
      </w:r>
      <w:r>
        <w:rPr>
          <w:rFonts w:ascii="Arial" w:cs="Arial" w:eastAsia="Arial" w:hAnsi="Arial"/>
          <w:sz w:val="14"/>
          <w:szCs w:val="14"/>
          <w:b w:val="1"/>
          <w:bCs w:val="1"/>
          <w:color w:val="auto"/>
        </w:rPr>
        <w:t xml:space="preserve"> </w:t>
      </w:r>
      <w:r>
        <w:rPr>
          <w:rFonts w:ascii="Arial" w:cs="Arial" w:eastAsia="Arial" w:hAnsi="Arial"/>
          <w:sz w:val="14"/>
          <w:szCs w:val="14"/>
          <w:color w:val="auto"/>
        </w:rPr>
        <w:t>Sublease" signs which may be placed only on the Premises, Lessee shall not place any sign upon the Project without Lessor's prior written consent.</w:t>
      </w:r>
    </w:p>
    <w:p>
      <w:pPr>
        <w:ind w:left="4"/>
        <w:spacing w:after="0"/>
        <w:rPr>
          <w:rFonts w:ascii="Arial" w:cs="Arial" w:eastAsia="Arial" w:hAnsi="Arial"/>
          <w:sz w:val="14"/>
          <w:szCs w:val="14"/>
          <w:b w:val="1"/>
          <w:bCs w:val="1"/>
          <w:color w:val="auto"/>
        </w:rPr>
      </w:pPr>
      <w:r>
        <w:rPr>
          <w:rFonts w:ascii="Arial" w:cs="Arial" w:eastAsia="Arial" w:hAnsi="Arial"/>
          <w:sz w:val="14"/>
          <w:szCs w:val="14"/>
          <w:color w:val="auto"/>
        </w:rPr>
        <w:t>All signs must comply with all Applicable Requirements.</w:t>
      </w:r>
    </w:p>
    <w:p>
      <w:pPr>
        <w:spacing w:after="0" w:line="241" w:lineRule="exact"/>
        <w:rPr>
          <w:rFonts w:ascii="Arial" w:cs="Arial" w:eastAsia="Arial" w:hAnsi="Arial"/>
          <w:sz w:val="14"/>
          <w:szCs w:val="14"/>
          <w:b w:val="1"/>
          <w:bCs w:val="1"/>
          <w:color w:val="auto"/>
        </w:rPr>
      </w:pPr>
    </w:p>
    <w:p>
      <w:pPr>
        <w:jc w:val="both"/>
        <w:ind w:left="4" w:right="180" w:hanging="4"/>
        <w:spacing w:after="0" w:line="274" w:lineRule="auto"/>
        <w:tabs>
          <w:tab w:leader="none" w:pos="22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Termination; Merger. </w:t>
      </w:r>
      <w:r>
        <w:rPr>
          <w:rFonts w:ascii="Arial" w:cs="Arial" w:eastAsia="Arial" w:hAnsi="Arial"/>
          <w:sz w:val="14"/>
          <w:szCs w:val="14"/>
          <w:color w:val="auto"/>
        </w:rPr>
        <w:t>Unless specifically stated otherwise in writing by Lessor, the voluntary or other surrender of this Lease by Lessee, the mutual termination or cancellation hereof,</w:t>
      </w:r>
      <w:r>
        <w:rPr>
          <w:rFonts w:ascii="Arial" w:cs="Arial" w:eastAsia="Arial" w:hAnsi="Arial"/>
          <w:sz w:val="14"/>
          <w:szCs w:val="14"/>
          <w:b w:val="1"/>
          <w:bCs w:val="1"/>
          <w:color w:val="auto"/>
        </w:rPr>
        <w:t xml:space="preserve"> </w:t>
      </w:r>
      <w:r>
        <w:rPr>
          <w:rFonts w:ascii="Arial" w:cs="Arial" w:eastAsia="Arial" w:hAnsi="Arial"/>
          <w:sz w:val="14"/>
          <w:szCs w:val="14"/>
          <w:color w:val="auto"/>
        </w:rPr>
        <w:t>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223" w:lineRule="exact"/>
        <w:rPr>
          <w:rFonts w:ascii="Arial" w:cs="Arial" w:eastAsia="Arial" w:hAnsi="Arial"/>
          <w:sz w:val="14"/>
          <w:szCs w:val="14"/>
          <w:b w:val="1"/>
          <w:bCs w:val="1"/>
          <w:color w:val="auto"/>
        </w:rPr>
      </w:pPr>
    </w:p>
    <w:p>
      <w:pPr>
        <w:ind w:left="4" w:right="40" w:hanging="4"/>
        <w:spacing w:after="0" w:line="256" w:lineRule="auto"/>
        <w:tabs>
          <w:tab w:leader="none" w:pos="22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Consents. </w:t>
      </w:r>
      <w:r>
        <w:rPr>
          <w:rFonts w:ascii="Arial" w:cs="Arial" w:eastAsia="Arial" w:hAnsi="Arial"/>
          <w:sz w:val="14"/>
          <w:szCs w:val="14"/>
          <w:color w:val="auto"/>
        </w:rPr>
        <w:t>All requests for consent shall be in writing. Except as otherwise provided herein, wherever in this Lease the consent of a Party is required to an act by or for the other Party,</w:t>
      </w:r>
      <w:r>
        <w:rPr>
          <w:rFonts w:ascii="Arial" w:cs="Arial" w:eastAsia="Arial" w:hAnsi="Arial"/>
          <w:sz w:val="14"/>
          <w:szCs w:val="14"/>
          <w:b w:val="1"/>
          <w:bCs w:val="1"/>
          <w:color w:val="auto"/>
        </w:rPr>
        <w:t xml:space="preserve"> </w:t>
      </w:r>
      <w:r>
        <w:rPr>
          <w:rFonts w:ascii="Arial" w:cs="Arial" w:eastAsia="Arial" w:hAnsi="Arial"/>
          <w:sz w:val="14"/>
          <w:szCs w:val="14"/>
          <w:color w:val="auto"/>
        </w:rPr>
        <w:t>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w:t>
      </w:r>
    </w:p>
    <w:p>
      <w:pPr>
        <w:ind w:left="4"/>
        <w:spacing w:after="0"/>
        <w:rPr>
          <w:rFonts w:ascii="Arial" w:cs="Arial" w:eastAsia="Arial" w:hAnsi="Arial"/>
          <w:sz w:val="14"/>
          <w:szCs w:val="14"/>
          <w:b w:val="1"/>
          <w:bCs w:val="1"/>
          <w:color w:val="auto"/>
        </w:rPr>
      </w:pPr>
      <w:r>
        <w:rPr>
          <w:rFonts w:ascii="Arial" w:cs="Arial" w:eastAsia="Arial" w:hAnsi="Arial"/>
          <w:sz w:val="14"/>
          <w:szCs w:val="14"/>
          <w:color w:val="auto"/>
        </w:rPr>
        <w:t>but not limited to consents to an assignment, a subletting or the presence or use of a Hazardous Substance, shall be paid by Lessee upon receipt of an invoice and</w:t>
      </w:r>
    </w:p>
    <w:p>
      <w:pPr>
        <w:spacing w:after="0" w:line="9" w:lineRule="exact"/>
        <w:rPr>
          <w:rFonts w:ascii="Arial" w:cs="Arial" w:eastAsia="Arial" w:hAnsi="Arial"/>
          <w:sz w:val="14"/>
          <w:szCs w:val="14"/>
          <w:b w:val="1"/>
          <w:bCs w:val="1"/>
          <w:color w:val="auto"/>
        </w:rPr>
      </w:pPr>
    </w:p>
    <w:p>
      <w:pPr>
        <w:ind w:left="4" w:right="14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w:t>
      </w:r>
    </w:p>
    <w:p>
      <w:pPr>
        <w:sectPr>
          <w:pgSz w:w="11900" w:h="16838" w:orient="portrait"/>
          <w:cols w:equalWidth="0" w:num="1">
            <w:col w:w="11024"/>
          </w:cols>
          <w:pgMar w:left="436" w:top="742" w:right="439" w:bottom="388" w:gutter="0" w:footer="0" w:header="0"/>
        </w:sectPr>
      </w:pPr>
    </w:p>
    <w:bookmarkStart w:id="150" w:name="page151"/>
    <w:bookmarkEnd w:id="150"/>
    <w:p>
      <w:pPr>
        <w:ind w:left="4" w:right="260"/>
        <w:spacing w:after="0" w:line="293" w:lineRule="auto"/>
        <w:rPr>
          <w:sz w:val="20"/>
          <w:szCs w:val="20"/>
          <w:color w:val="auto"/>
        </w:rPr>
      </w:pPr>
      <w:r>
        <w:rPr>
          <w:rFonts w:ascii="Arial" w:cs="Arial" w:eastAsia="Arial" w:hAnsi="Arial"/>
          <w:sz w:val="14"/>
          <w:szCs w:val="14"/>
          <w:color w:val="auto"/>
        </w:rPr>
        <w:t>with any determination made by the other hereunder and reasonably requests the reasons for such determination, the determining party shall furnish its reasons in writing and in reasonable detail within 10 business days following such request.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37. Guarantor.</w:t>
      </w:r>
    </w:p>
    <w:p>
      <w:pPr>
        <w:spacing w:after="0" w:line="55"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37.1 </w:t>
      </w:r>
      <w:r>
        <w:rPr>
          <w:rFonts w:ascii="Arial" w:cs="Arial" w:eastAsia="Arial" w:hAnsi="Arial"/>
          <w:sz w:val="14"/>
          <w:szCs w:val="14"/>
          <w:b w:val="1"/>
          <w:bCs w:val="1"/>
          <w:color w:val="auto"/>
        </w:rPr>
        <w:t>Execution</w:t>
      </w:r>
      <w:r>
        <w:rPr>
          <w:rFonts w:ascii="Arial" w:cs="Arial" w:eastAsia="Arial" w:hAnsi="Arial"/>
          <w:sz w:val="14"/>
          <w:szCs w:val="14"/>
          <w:color w:val="auto"/>
        </w:rPr>
        <w:t>. The Guarantors, if any, shall each execute a guaranty in the form most recently published BY AIR CRE.</w:t>
      </w:r>
    </w:p>
    <w:p>
      <w:pPr>
        <w:spacing w:after="0" w:line="28" w:lineRule="exact"/>
        <w:rPr>
          <w:sz w:val="20"/>
          <w:szCs w:val="20"/>
          <w:color w:val="auto"/>
        </w:rPr>
      </w:pPr>
    </w:p>
    <w:p>
      <w:pPr>
        <w:jc w:val="both"/>
        <w:ind w:left="4" w:firstLine="324"/>
        <w:spacing w:after="0" w:line="280" w:lineRule="auto"/>
        <w:rPr>
          <w:sz w:val="20"/>
          <w:szCs w:val="20"/>
          <w:color w:val="auto"/>
        </w:rPr>
      </w:pPr>
      <w:r>
        <w:rPr>
          <w:rFonts w:ascii="Arial" w:cs="Arial" w:eastAsia="Arial" w:hAnsi="Arial"/>
          <w:sz w:val="14"/>
          <w:szCs w:val="14"/>
          <w:color w:val="auto"/>
        </w:rPr>
        <w:t xml:space="preserve">37.2 </w:t>
      </w:r>
      <w:r>
        <w:rPr>
          <w:rFonts w:ascii="Arial" w:cs="Arial" w:eastAsia="Arial" w:hAnsi="Arial"/>
          <w:sz w:val="14"/>
          <w:szCs w:val="14"/>
          <w:b w:val="1"/>
          <w:bCs w:val="1"/>
          <w:color w:val="auto"/>
        </w:rPr>
        <w:t>Default</w:t>
      </w:r>
      <w:r>
        <w:rPr>
          <w:rFonts w:ascii="Arial" w:cs="Arial" w:eastAsia="Arial" w:hAnsi="Arial"/>
          <w:sz w:val="14"/>
          <w:szCs w:val="14"/>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206" w:lineRule="exact"/>
        <w:rPr>
          <w:sz w:val="20"/>
          <w:szCs w:val="20"/>
          <w:color w:val="auto"/>
        </w:rPr>
      </w:pPr>
    </w:p>
    <w:p>
      <w:pPr>
        <w:ind w:left="4" w:right="160" w:hanging="4"/>
        <w:spacing w:after="0" w:line="299" w:lineRule="auto"/>
        <w:tabs>
          <w:tab w:leader="none" w:pos="220"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Quiet Possession. </w:t>
      </w:r>
      <w:r>
        <w:rPr>
          <w:rFonts w:ascii="Arial" w:cs="Arial" w:eastAsia="Arial" w:hAnsi="Arial"/>
          <w:sz w:val="14"/>
          <w:szCs w:val="14"/>
          <w:color w:val="auto"/>
        </w:rPr>
        <w:t>Subject to payment by Lessee of the Rent and performance of all of the covenants, conditions and provisions on Lessee's part to be observed and performed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Lease, Lessee shall have quiet possession and quiet enjoyment of the Premises during the term hereof.</w:t>
      </w:r>
    </w:p>
    <w:p>
      <w:pPr>
        <w:spacing w:after="0" w:line="179" w:lineRule="exact"/>
        <w:rPr>
          <w:rFonts w:ascii="Arial" w:cs="Arial" w:eastAsia="Arial" w:hAnsi="Arial"/>
          <w:sz w:val="14"/>
          <w:szCs w:val="14"/>
          <w:b w:val="1"/>
          <w:bCs w:val="1"/>
          <w:color w:val="auto"/>
        </w:rPr>
      </w:pPr>
    </w:p>
    <w:p>
      <w:pPr>
        <w:ind w:left="224" w:hanging="224"/>
        <w:spacing w:after="0"/>
        <w:tabs>
          <w:tab w:leader="none" w:pos="224"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If Lessee is granted any option, as defined below, then the following provisions shall apply.</w:t>
      </w:r>
    </w:p>
    <w:p>
      <w:pPr>
        <w:spacing w:after="0" w:line="25" w:lineRule="exact"/>
        <w:rPr>
          <w:sz w:val="20"/>
          <w:szCs w:val="20"/>
          <w:color w:val="auto"/>
        </w:rPr>
      </w:pPr>
    </w:p>
    <w:p>
      <w:pPr>
        <w:ind w:left="4" w:right="180" w:firstLine="324"/>
        <w:spacing w:after="0" w:line="261" w:lineRule="auto"/>
        <w:rPr>
          <w:sz w:val="20"/>
          <w:szCs w:val="20"/>
          <w:color w:val="auto"/>
        </w:rPr>
      </w:pPr>
      <w:r>
        <w:rPr>
          <w:rFonts w:ascii="Arial" w:cs="Arial" w:eastAsia="Arial" w:hAnsi="Arial"/>
          <w:sz w:val="14"/>
          <w:szCs w:val="14"/>
          <w:color w:val="auto"/>
        </w:rPr>
        <w:t xml:space="preserve">39.1 </w:t>
      </w:r>
      <w:r>
        <w:rPr>
          <w:rFonts w:ascii="Arial" w:cs="Arial" w:eastAsia="Arial" w:hAnsi="Arial"/>
          <w:sz w:val="14"/>
          <w:szCs w:val="14"/>
          <w:b w:val="1"/>
          <w:bCs w:val="1"/>
          <w:color w:val="auto"/>
        </w:rPr>
        <w:t>Definition</w:t>
      </w:r>
      <w:r>
        <w:rPr>
          <w:rFonts w:ascii="Arial" w:cs="Arial" w:eastAsia="Arial" w:hAnsi="Arial"/>
          <w:sz w:val="14"/>
          <w:szCs w:val="14"/>
          <w:color w:val="auto"/>
        </w:rPr>
        <w:t>. "</w:t>
      </w:r>
      <w:r>
        <w:rPr>
          <w:rFonts w:ascii="Arial" w:cs="Arial" w:eastAsia="Arial" w:hAnsi="Arial"/>
          <w:sz w:val="14"/>
          <w:szCs w:val="14"/>
          <w:b w:val="1"/>
          <w:bCs w:val="1"/>
          <w:color w:val="auto"/>
        </w:rPr>
        <w:t>Option</w:t>
      </w:r>
      <w:r>
        <w:rPr>
          <w:rFonts w:ascii="Arial" w:cs="Arial" w:eastAsia="Arial" w:hAnsi="Arial"/>
          <w:sz w:val="14"/>
          <w:szCs w:val="14"/>
          <w:color w:val="auto"/>
        </w:rPr>
        <w:t>"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1" w:lineRule="exact"/>
        <w:rPr>
          <w:sz w:val="20"/>
          <w:szCs w:val="20"/>
          <w:color w:val="auto"/>
        </w:rPr>
      </w:pPr>
    </w:p>
    <w:p>
      <w:pPr>
        <w:ind w:left="4" w:right="320" w:firstLine="324"/>
        <w:spacing w:after="0" w:line="257" w:lineRule="auto"/>
        <w:rPr>
          <w:sz w:val="20"/>
          <w:szCs w:val="20"/>
          <w:color w:val="auto"/>
        </w:rPr>
      </w:pPr>
      <w:r>
        <w:rPr>
          <w:rFonts w:ascii="Arial" w:cs="Arial" w:eastAsia="Arial" w:hAnsi="Arial"/>
          <w:sz w:val="14"/>
          <w:szCs w:val="14"/>
          <w:color w:val="auto"/>
        </w:rPr>
        <w:t xml:space="preserve">39.2 </w:t>
      </w:r>
      <w:r>
        <w:rPr>
          <w:rFonts w:ascii="Arial" w:cs="Arial" w:eastAsia="Arial" w:hAnsi="Arial"/>
          <w:sz w:val="14"/>
          <w:szCs w:val="14"/>
          <w:b w:val="1"/>
          <w:bCs w:val="1"/>
          <w:color w:val="auto"/>
        </w:rPr>
        <w:t>Options Personal To Original Lessee</w:t>
      </w:r>
      <w:r>
        <w:rPr>
          <w:rFonts w:ascii="Arial" w:cs="Arial" w:eastAsia="Arial" w:hAnsi="Arial"/>
          <w:sz w:val="14"/>
          <w:szCs w:val="14"/>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 w:lineRule="exact"/>
        <w:rPr>
          <w:sz w:val="20"/>
          <w:szCs w:val="20"/>
          <w:color w:val="auto"/>
        </w:rPr>
      </w:pPr>
    </w:p>
    <w:p>
      <w:pPr>
        <w:ind w:left="4" w:right="1800" w:firstLine="324"/>
        <w:spacing w:after="0" w:line="257" w:lineRule="auto"/>
        <w:rPr>
          <w:sz w:val="20"/>
          <w:szCs w:val="20"/>
          <w:color w:val="auto"/>
        </w:rPr>
      </w:pPr>
      <w:r>
        <w:rPr>
          <w:rFonts w:ascii="Arial" w:cs="Arial" w:eastAsia="Arial" w:hAnsi="Arial"/>
          <w:sz w:val="14"/>
          <w:szCs w:val="14"/>
          <w:color w:val="auto"/>
        </w:rPr>
        <w:t xml:space="preserve">39.3 </w:t>
      </w:r>
      <w:r>
        <w:rPr>
          <w:rFonts w:ascii="Arial" w:cs="Arial" w:eastAsia="Arial" w:hAnsi="Arial"/>
          <w:sz w:val="14"/>
          <w:szCs w:val="14"/>
          <w:b w:val="1"/>
          <w:bCs w:val="1"/>
          <w:color w:val="auto"/>
        </w:rPr>
        <w:t>Multiple Options</w:t>
      </w:r>
      <w:r>
        <w:rPr>
          <w:rFonts w:ascii="Arial" w:cs="Arial" w:eastAsia="Arial" w:hAnsi="Arial"/>
          <w:sz w:val="14"/>
          <w:szCs w:val="14"/>
          <w:color w:val="auto"/>
        </w:rPr>
        <w:t>. In the event that Lessee has any multiple Options to extend or renew this Lease, a later Option cannot be exercised unless the prior Options have been validly exercised.</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4"/>
          <w:szCs w:val="14"/>
          <w:color w:val="auto"/>
        </w:rPr>
        <w:t xml:space="preserve">39.4 </w:t>
      </w:r>
      <w:r>
        <w:rPr>
          <w:rFonts w:ascii="Arial" w:cs="Arial" w:eastAsia="Arial" w:hAnsi="Arial"/>
          <w:sz w:val="14"/>
          <w:szCs w:val="14"/>
          <w:b w:val="1"/>
          <w:bCs w:val="1"/>
          <w:color w:val="auto"/>
        </w:rPr>
        <w:t>Effect of Default on Options</w:t>
      </w:r>
      <w:r>
        <w:rPr>
          <w:rFonts w:ascii="Arial" w:cs="Arial" w:eastAsia="Arial" w:hAnsi="Arial"/>
          <w:sz w:val="14"/>
          <w:szCs w:val="14"/>
          <w:color w:val="auto"/>
        </w:rPr>
        <w:t>.</w:t>
      </w:r>
    </w:p>
    <w:p>
      <w:pPr>
        <w:spacing w:after="0" w:line="21" w:lineRule="exact"/>
        <w:rPr>
          <w:sz w:val="20"/>
          <w:szCs w:val="20"/>
          <w:color w:val="auto"/>
        </w:rPr>
      </w:pPr>
    </w:p>
    <w:p>
      <w:pPr>
        <w:ind w:left="4" w:right="180" w:firstLine="644"/>
        <w:spacing w:after="0" w:line="285" w:lineRule="auto"/>
        <w:tabs>
          <w:tab w:leader="none" w:pos="848" w:val="left"/>
        </w:tabs>
        <w:numPr>
          <w:ilvl w:val="1"/>
          <w:numId w:val="112"/>
        </w:numPr>
        <w:rPr>
          <w:rFonts w:ascii="Arial" w:cs="Arial" w:eastAsia="Arial" w:hAnsi="Arial"/>
          <w:sz w:val="13"/>
          <w:szCs w:val="13"/>
          <w:color w:val="auto"/>
        </w:rPr>
      </w:pPr>
      <w:r>
        <w:rPr>
          <w:rFonts w:ascii="Arial" w:cs="Arial" w:eastAsia="Arial" w:hAnsi="Arial"/>
          <w:sz w:val="13"/>
          <w:szCs w:val="13"/>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ind w:left="4" w:right="220" w:firstLine="644"/>
        <w:spacing w:after="0" w:line="261" w:lineRule="auto"/>
        <w:tabs>
          <w:tab w:leader="none" w:pos="856"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period of time within which an Option may be exercised shall not be extended or enlarged by reason of Lessee's inability to exercise an Option because of the provisions of Paragraph 39.4(a).</w:t>
      </w:r>
    </w:p>
    <w:p>
      <w:pPr>
        <w:jc w:val="both"/>
        <w:ind w:left="4" w:right="80" w:firstLine="644"/>
        <w:spacing w:after="0" w:line="272" w:lineRule="auto"/>
        <w:tabs>
          <w:tab w:leader="none" w:pos="861" w:val="left"/>
        </w:tabs>
        <w:numPr>
          <w:ilvl w:val="1"/>
          <w:numId w:val="112"/>
        </w:numPr>
        <w:rPr>
          <w:rFonts w:ascii="Arial" w:cs="Arial" w:eastAsia="Arial" w:hAnsi="Arial"/>
          <w:sz w:val="14"/>
          <w:szCs w:val="14"/>
          <w:color w:val="auto"/>
        </w:rPr>
      </w:pPr>
      <w:r>
        <w:rPr>
          <w:rFonts w:ascii="Arial" w:cs="Arial" w:eastAsia="Arial" w:hAnsi="Arial"/>
          <w:sz w:val="14"/>
          <w:szCs w:val="14"/>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211" w:lineRule="exact"/>
        <w:rPr>
          <w:rFonts w:ascii="Arial" w:cs="Arial" w:eastAsia="Arial" w:hAnsi="Arial"/>
          <w:sz w:val="14"/>
          <w:szCs w:val="14"/>
          <w:color w:val="auto"/>
        </w:rPr>
      </w:pPr>
    </w:p>
    <w:p>
      <w:pPr>
        <w:ind w:left="224" w:hanging="224"/>
        <w:spacing w:after="0"/>
        <w:tabs>
          <w:tab w:leader="none" w:pos="224"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Security Measures. </w:t>
      </w:r>
      <w:r>
        <w:rPr>
          <w:rFonts w:ascii="Arial" w:cs="Arial" w:eastAsia="Arial" w:hAnsi="Arial"/>
          <w:sz w:val="13"/>
          <w:szCs w:val="13"/>
          <w:color w:val="auto"/>
        </w:rPr>
        <w:t>Lessee hereby acknowledges that the Rent payable to Lessor hereunder does not include the cost of guard service or other security measures, and that Lessor</w:t>
      </w:r>
    </w:p>
    <w:p>
      <w:pPr>
        <w:spacing w:after="0" w:line="37" w:lineRule="exact"/>
        <w:rPr>
          <w:sz w:val="20"/>
          <w:szCs w:val="20"/>
          <w:color w:val="auto"/>
        </w:rPr>
      </w:pPr>
    </w:p>
    <w:p>
      <w:pPr>
        <w:ind w:left="4" w:right="420"/>
        <w:spacing w:after="0" w:line="283" w:lineRule="auto"/>
        <w:rPr>
          <w:sz w:val="20"/>
          <w:szCs w:val="20"/>
          <w:color w:val="auto"/>
        </w:rPr>
      </w:pPr>
      <w:r>
        <w:rPr>
          <w:rFonts w:ascii="Arial" w:cs="Arial" w:eastAsia="Arial" w:hAnsi="Arial"/>
          <w:sz w:val="14"/>
          <w:szCs w:val="14"/>
          <w:color w:val="auto"/>
        </w:rPr>
        <w:t>shall have no obligation whatsoever to provide same. Lessee assumes all responsibility for the protection of the Premises, Lessee, its agents and invitees and their property from the acts of third parties.</w:t>
      </w:r>
    </w:p>
    <w:p>
      <w:pPr>
        <w:spacing w:after="0" w:line="217" w:lineRule="exact"/>
        <w:rPr>
          <w:sz w:val="20"/>
          <w:szCs w:val="20"/>
          <w:color w:val="auto"/>
        </w:rPr>
      </w:pPr>
    </w:p>
    <w:p>
      <w:pPr>
        <w:ind w:left="4" w:right="500" w:hanging="4"/>
        <w:spacing w:after="0" w:line="311" w:lineRule="auto"/>
        <w:tabs>
          <w:tab w:leader="none" w:pos="22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Reservations. </w:t>
      </w:r>
      <w:r>
        <w:rPr>
          <w:rFonts w:ascii="Arial" w:cs="Arial" w:eastAsia="Arial" w:hAnsi="Arial"/>
          <w:sz w:val="13"/>
          <w:szCs w:val="13"/>
          <w:color w:val="auto"/>
        </w:rPr>
        <w:t>Lessor reserves the right: (i) to grant, without the consent or joinder of Lessee, such easements, rights and dedications that Lessor deems necessary, (ii) to cause the</w:t>
      </w:r>
      <w:r>
        <w:rPr>
          <w:rFonts w:ascii="Arial" w:cs="Arial" w:eastAsia="Arial" w:hAnsi="Arial"/>
          <w:sz w:val="13"/>
          <w:szCs w:val="13"/>
          <w:b w:val="1"/>
          <w:bCs w:val="1"/>
          <w:color w:val="auto"/>
        </w:rPr>
        <w:t xml:space="preserve"> </w:t>
      </w:r>
      <w:r>
        <w:rPr>
          <w:rFonts w:ascii="Arial" w:cs="Arial" w:eastAsia="Arial" w:hAnsi="Arial"/>
          <w:sz w:val="13"/>
          <w:szCs w:val="13"/>
          <w:color w:val="auto"/>
        </w:rPr>
        <w:t>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p>
      <w:pPr>
        <w:spacing w:after="0" w:line="188" w:lineRule="exact"/>
        <w:rPr>
          <w:rFonts w:ascii="Arial" w:cs="Arial" w:eastAsia="Arial" w:hAnsi="Arial"/>
          <w:sz w:val="13"/>
          <w:szCs w:val="13"/>
          <w:b w:val="1"/>
          <w:bCs w:val="1"/>
          <w:color w:val="auto"/>
        </w:rPr>
      </w:pPr>
    </w:p>
    <w:p>
      <w:pPr>
        <w:ind w:left="4" w:right="100" w:hanging="4"/>
        <w:spacing w:after="0" w:line="271" w:lineRule="auto"/>
        <w:tabs>
          <w:tab w:leader="none" w:pos="220"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Performance Under Protest. </w:t>
      </w:r>
      <w:r>
        <w:rPr>
          <w:rFonts w:ascii="Arial" w:cs="Arial" w:eastAsia="Arial" w:hAnsi="Arial"/>
          <w:sz w:val="14"/>
          <w:szCs w:val="14"/>
          <w:color w:val="auto"/>
        </w:rPr>
        <w:t>If at any time a dispute shall arise as to any amount or sum of money to be paid by one Party to the other under the provisions hereof, the Party against</w:t>
      </w:r>
      <w:r>
        <w:rPr>
          <w:rFonts w:ascii="Arial" w:cs="Arial" w:eastAsia="Arial" w:hAnsi="Arial"/>
          <w:sz w:val="14"/>
          <w:szCs w:val="14"/>
          <w:b w:val="1"/>
          <w:bCs w:val="1"/>
          <w:color w:val="auto"/>
        </w:rPr>
        <w:t xml:space="preserve"> </w:t>
      </w:r>
      <w:r>
        <w:rPr>
          <w:rFonts w:ascii="Arial" w:cs="Arial" w:eastAsia="Arial" w:hAnsi="Arial"/>
          <w:sz w:val="14"/>
          <w:szCs w:val="14"/>
          <w:color w:val="auto"/>
        </w:rPr>
        <w:t>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211" w:lineRule="exact"/>
        <w:rPr>
          <w:rFonts w:ascii="Arial" w:cs="Arial" w:eastAsia="Arial" w:hAnsi="Arial"/>
          <w:sz w:val="14"/>
          <w:szCs w:val="14"/>
          <w:b w:val="1"/>
          <w:bCs w:val="1"/>
          <w:color w:val="auto"/>
        </w:rPr>
      </w:pPr>
    </w:p>
    <w:p>
      <w:pPr>
        <w:ind w:left="224" w:hanging="224"/>
        <w:spacing w:after="0"/>
        <w:tabs>
          <w:tab w:leader="none" w:pos="224"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Authority; Multiple Parties; Execution.</w:t>
      </w:r>
    </w:p>
    <w:p>
      <w:pPr>
        <w:spacing w:after="0" w:line="32" w:lineRule="exact"/>
        <w:rPr>
          <w:rFonts w:ascii="Arial" w:cs="Arial" w:eastAsia="Arial" w:hAnsi="Arial"/>
          <w:sz w:val="14"/>
          <w:szCs w:val="14"/>
          <w:b w:val="1"/>
          <w:bCs w:val="1"/>
          <w:color w:val="auto"/>
        </w:rPr>
      </w:pPr>
    </w:p>
    <w:p>
      <w:pPr>
        <w:ind w:left="4" w:right="180" w:firstLine="644"/>
        <w:spacing w:after="0" w:line="260" w:lineRule="auto"/>
        <w:tabs>
          <w:tab w:leader="none" w:pos="848" w:val="left"/>
        </w:tabs>
        <w:numPr>
          <w:ilvl w:val="1"/>
          <w:numId w:val="114"/>
        </w:numPr>
        <w:rPr>
          <w:rFonts w:ascii="Arial" w:cs="Arial" w:eastAsia="Arial" w:hAnsi="Arial"/>
          <w:sz w:val="14"/>
          <w:szCs w:val="14"/>
          <w:color w:val="auto"/>
        </w:rPr>
      </w:pPr>
      <w:r>
        <w:rPr>
          <w:rFonts w:ascii="Arial" w:cs="Arial" w:eastAsia="Arial" w:hAnsi="Arial"/>
          <w:sz w:val="14"/>
          <w:szCs w:val="14"/>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 w:lineRule="exact"/>
        <w:rPr>
          <w:rFonts w:ascii="Arial" w:cs="Arial" w:eastAsia="Arial" w:hAnsi="Arial"/>
          <w:sz w:val="14"/>
          <w:szCs w:val="14"/>
          <w:color w:val="auto"/>
        </w:rPr>
      </w:pPr>
    </w:p>
    <w:p>
      <w:pPr>
        <w:ind w:left="844" w:hanging="196"/>
        <w:spacing w:after="0"/>
        <w:tabs>
          <w:tab w:leader="none" w:pos="844" w:val="left"/>
        </w:tabs>
        <w:numPr>
          <w:ilvl w:val="1"/>
          <w:numId w:val="114"/>
        </w:numPr>
        <w:rPr>
          <w:rFonts w:ascii="Arial" w:cs="Arial" w:eastAsia="Arial" w:hAnsi="Arial"/>
          <w:sz w:val="14"/>
          <w:szCs w:val="14"/>
          <w:color w:val="auto"/>
        </w:rPr>
      </w:pPr>
      <w:r>
        <w:rPr>
          <w:rFonts w:ascii="Arial" w:cs="Arial" w:eastAsia="Arial" w:hAnsi="Arial"/>
          <w:sz w:val="14"/>
          <w:szCs w:val="14"/>
          <w:color w:val="auto"/>
        </w:rPr>
        <w:t>If this Lease is executed by more than one person or entity as "Lessee", each such person or entity shall be jointly and severally liable hereunder. It is</w:t>
      </w:r>
    </w:p>
    <w:p>
      <w:pPr>
        <w:spacing w:after="0" w:line="9" w:lineRule="exact"/>
        <w:rPr>
          <w:sz w:val="20"/>
          <w:szCs w:val="20"/>
          <w:color w:val="auto"/>
        </w:rPr>
      </w:pPr>
    </w:p>
    <w:p>
      <w:pPr>
        <w:ind w:left="4" w:right="760"/>
        <w:spacing w:after="0" w:line="261" w:lineRule="auto"/>
        <w:rPr>
          <w:sz w:val="20"/>
          <w:szCs w:val="20"/>
          <w:color w:val="auto"/>
        </w:rPr>
      </w:pPr>
      <w:r>
        <w:rPr>
          <w:rFonts w:ascii="Arial" w:cs="Arial" w:eastAsia="Arial" w:hAnsi="Arial"/>
          <w:sz w:val="14"/>
          <w:szCs w:val="14"/>
          <w:color w:val="auto"/>
        </w:rPr>
        <w:t>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1" w:lineRule="exact"/>
        <w:rPr>
          <w:sz w:val="20"/>
          <w:szCs w:val="20"/>
          <w:color w:val="auto"/>
        </w:rPr>
      </w:pPr>
    </w:p>
    <w:p>
      <w:pPr>
        <w:ind w:left="844" w:hanging="196"/>
        <w:spacing w:after="0"/>
        <w:tabs>
          <w:tab w:leader="none" w:pos="844" w:val="left"/>
        </w:tabs>
        <w:numPr>
          <w:ilvl w:val="1"/>
          <w:numId w:val="115"/>
        </w:numPr>
        <w:rPr>
          <w:rFonts w:ascii="Arial" w:cs="Arial" w:eastAsia="Arial" w:hAnsi="Arial"/>
          <w:sz w:val="13"/>
          <w:szCs w:val="13"/>
          <w:color w:val="auto"/>
        </w:rPr>
      </w:pPr>
      <w:r>
        <w:rPr>
          <w:rFonts w:ascii="Arial" w:cs="Arial" w:eastAsia="Arial" w:hAnsi="Arial"/>
          <w:sz w:val="13"/>
          <w:szCs w:val="13"/>
          <w:color w:val="auto"/>
        </w:rPr>
        <w:t>This Lease may be executed by the Parties in counterparts, each of which shall be deemed an original and all of which together shall constitute one and the same instrument.</w:t>
      </w:r>
    </w:p>
    <w:p>
      <w:pPr>
        <w:spacing w:after="0" w:line="271" w:lineRule="exact"/>
        <w:rPr>
          <w:rFonts w:ascii="Arial" w:cs="Arial" w:eastAsia="Arial" w:hAnsi="Arial"/>
          <w:sz w:val="13"/>
          <w:szCs w:val="13"/>
          <w:color w:val="auto"/>
        </w:rPr>
      </w:pPr>
    </w:p>
    <w:p>
      <w:pPr>
        <w:ind w:left="224" w:hanging="224"/>
        <w:spacing w:after="0"/>
        <w:tabs>
          <w:tab w:leader="none" w:pos="224"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Conflict. </w:t>
      </w:r>
      <w:r>
        <w:rPr>
          <w:rFonts w:ascii="Arial" w:cs="Arial" w:eastAsia="Arial" w:hAnsi="Arial"/>
          <w:sz w:val="13"/>
          <w:szCs w:val="13"/>
          <w:color w:val="auto"/>
        </w:rPr>
        <w:t>Any conflict between the printed provisions of this Lease and the typewritten or handwritten provisions shall be controlled by the typewritten or handwritten provisions.</w:t>
      </w:r>
    </w:p>
    <w:p>
      <w:pPr>
        <w:spacing w:after="0" w:line="255" w:lineRule="exact"/>
        <w:rPr>
          <w:rFonts w:ascii="Arial" w:cs="Arial" w:eastAsia="Arial" w:hAnsi="Arial"/>
          <w:sz w:val="13"/>
          <w:szCs w:val="13"/>
          <w:b w:val="1"/>
          <w:bCs w:val="1"/>
          <w:color w:val="auto"/>
        </w:rPr>
      </w:pPr>
    </w:p>
    <w:p>
      <w:pPr>
        <w:ind w:left="224" w:hanging="224"/>
        <w:spacing w:after="0"/>
        <w:tabs>
          <w:tab w:leader="none" w:pos="224" w:val="left"/>
        </w:tabs>
        <w:numPr>
          <w:ilvl w:val="0"/>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Offer</w:t>
      </w:r>
      <w:r>
        <w:rPr>
          <w:rFonts w:ascii="Arial" w:cs="Arial" w:eastAsia="Arial" w:hAnsi="Arial"/>
          <w:sz w:val="14"/>
          <w:szCs w:val="14"/>
          <w:color w:val="auto"/>
        </w:rPr>
        <w:t>. Preparation of this Lease by either party or their agent and submission of same to the other Party shall not be deemed an offer to lease to the other</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4"/>
          <w:szCs w:val="14"/>
          <w:color w:val="auto"/>
        </w:rPr>
        <w:t>Party. This Lease is not intended to be binding until executed and delivered by all Parties hereto.</w:t>
      </w:r>
    </w:p>
    <w:p>
      <w:pPr>
        <w:spacing w:after="0" w:line="242" w:lineRule="exact"/>
        <w:rPr>
          <w:sz w:val="20"/>
          <w:szCs w:val="20"/>
          <w:color w:val="auto"/>
        </w:rPr>
      </w:pPr>
    </w:p>
    <w:p>
      <w:pPr>
        <w:jc w:val="both"/>
        <w:ind w:left="4" w:right="140" w:hanging="4"/>
        <w:spacing w:after="0" w:line="280" w:lineRule="auto"/>
        <w:tabs>
          <w:tab w:leader="none" w:pos="220"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Amendments. </w:t>
      </w:r>
      <w:r>
        <w:rPr>
          <w:rFonts w:ascii="Arial" w:cs="Arial" w:eastAsia="Arial" w:hAnsi="Arial"/>
          <w:sz w:val="14"/>
          <w:szCs w:val="14"/>
          <w:color w:val="auto"/>
        </w:rPr>
        <w:t>This Lease may be modified only in writing, signed by the Parties in interest at the time of the modification. As long as they do not materially change Lessee's obligations</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Lessee agrees to make such reasonable non-monetary modifications to this Lease as may be reasonably required by a Lender in connection with the obtaining of normal financing or refinancing of the Premises.</w:t>
      </w:r>
    </w:p>
    <w:p>
      <w:pPr>
        <w:spacing w:after="0" w:line="219" w:lineRule="exact"/>
        <w:rPr>
          <w:rFonts w:ascii="Arial" w:cs="Arial" w:eastAsia="Arial" w:hAnsi="Arial"/>
          <w:sz w:val="14"/>
          <w:szCs w:val="14"/>
          <w:b w:val="1"/>
          <w:bCs w:val="1"/>
          <w:color w:val="auto"/>
        </w:rPr>
      </w:pPr>
    </w:p>
    <w:p>
      <w:pPr>
        <w:ind w:left="4" w:right="320" w:hanging="4"/>
        <w:spacing w:after="0" w:line="299" w:lineRule="auto"/>
        <w:tabs>
          <w:tab w:leader="none" w:pos="220"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Waiver of Jury Trial. THE PARTIES HEREBY WAIVE THEIR RESPECTIVE RIGHTS TO TRIAL BY JURY IN ANY ACTION OR PROCEEDING INVOLVING THE PROPERTY OR ARISING OUT OF THIS AGREEMENT.</w:t>
      </w:r>
    </w:p>
    <w:p>
      <w:pPr>
        <w:spacing w:after="0" w:line="183" w:lineRule="exact"/>
        <w:rPr>
          <w:rFonts w:ascii="Arial" w:cs="Arial" w:eastAsia="Arial" w:hAnsi="Arial"/>
          <w:sz w:val="14"/>
          <w:szCs w:val="14"/>
          <w:b w:val="1"/>
          <w:bCs w:val="1"/>
          <w:color w:val="auto"/>
        </w:rPr>
      </w:pPr>
    </w:p>
    <w:p>
      <w:pPr>
        <w:ind w:left="224" w:hanging="224"/>
        <w:spacing w:after="0" w:line="150" w:lineRule="exact"/>
        <w:tabs>
          <w:tab w:leader="none" w:pos="224"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Arbitration of Disputes. </w:t>
      </w:r>
      <w:r>
        <w:rPr>
          <w:rFonts w:ascii="Arial" w:cs="Arial" w:eastAsia="Arial" w:hAnsi="Arial"/>
          <w:sz w:val="13"/>
          <w:szCs w:val="13"/>
          <w:color w:val="auto"/>
        </w:rPr>
        <w:t>An Addendum requiring the Arbitration of all disputes between the Parties and/or Brokers arising out of this Lease</w:t>
      </w:r>
      <w:r>
        <w:rPr>
          <w:rFonts w:ascii="Arial" w:cs="Arial" w:eastAsia="Arial" w:hAnsi="Arial"/>
          <w:sz w:val="13"/>
          <w:szCs w:val="13"/>
          <w:b w:val="1"/>
          <w:bCs w:val="1"/>
          <w:color w:val="auto"/>
        </w:rPr>
        <w:t xml:space="preserve">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is</w:t>
      </w:r>
      <w:r>
        <w:rPr>
          <w:rFonts w:ascii="Arial" w:cs="Arial" w:eastAsia="Arial" w:hAnsi="Arial"/>
          <w:sz w:val="13"/>
          <w:szCs w:val="13"/>
          <w:b w:val="1"/>
          <w:bCs w:val="1"/>
          <w:color w:val="auto"/>
        </w:rPr>
        <w:t xml:space="preserve">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is not attached to this Lease.</w:t>
      </w:r>
    </w:p>
    <w:p>
      <w:pPr>
        <w:spacing w:after="0" w:line="278" w:lineRule="exact"/>
        <w:rPr>
          <w:rFonts w:ascii="Arial" w:cs="Arial" w:eastAsia="Arial" w:hAnsi="Arial"/>
          <w:sz w:val="13"/>
          <w:szCs w:val="13"/>
          <w:b w:val="1"/>
          <w:bCs w:val="1"/>
          <w:color w:val="auto"/>
        </w:rPr>
      </w:pPr>
    </w:p>
    <w:p>
      <w:pPr>
        <w:ind w:left="224" w:hanging="224"/>
        <w:spacing w:after="0"/>
        <w:tabs>
          <w:tab w:leader="none" w:pos="224"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Accessibility; Americans with Disabilities Act.</w:t>
      </w:r>
    </w:p>
    <w:p>
      <w:pPr>
        <w:spacing w:after="0" w:line="25" w:lineRule="exact"/>
        <w:rPr>
          <w:rFonts w:ascii="Arial" w:cs="Arial" w:eastAsia="Arial" w:hAnsi="Arial"/>
          <w:sz w:val="14"/>
          <w:szCs w:val="14"/>
          <w:b w:val="1"/>
          <w:bCs w:val="1"/>
          <w:color w:val="auto"/>
        </w:rPr>
      </w:pPr>
    </w:p>
    <w:p>
      <w:pPr>
        <w:ind w:left="844" w:hanging="196"/>
        <w:spacing w:after="0"/>
        <w:tabs>
          <w:tab w:leader="none" w:pos="844" w:val="left"/>
        </w:tabs>
        <w:numPr>
          <w:ilvl w:val="2"/>
          <w:numId w:val="117"/>
        </w:numPr>
        <w:rPr>
          <w:rFonts w:ascii="Arial" w:cs="Arial" w:eastAsia="Arial" w:hAnsi="Arial"/>
          <w:sz w:val="14"/>
          <w:szCs w:val="14"/>
          <w:color w:val="auto"/>
        </w:rPr>
      </w:pPr>
      <w:r>
        <w:rPr>
          <w:rFonts w:ascii="Arial" w:cs="Arial" w:eastAsia="Arial" w:hAnsi="Arial"/>
          <w:sz w:val="14"/>
          <w:szCs w:val="14"/>
          <w:color w:val="auto"/>
        </w:rPr>
        <w:t>The Premises:</w:t>
      </w:r>
    </w:p>
    <w:p>
      <w:pPr>
        <w:spacing w:after="0" w:line="88" w:lineRule="exact"/>
        <w:rPr>
          <w:rFonts w:ascii="Arial" w:cs="Arial" w:eastAsia="Arial" w:hAnsi="Arial"/>
          <w:sz w:val="14"/>
          <w:szCs w:val="14"/>
          <w:color w:val="auto"/>
        </w:rPr>
      </w:pPr>
    </w:p>
    <w:p>
      <w:pPr>
        <w:ind w:left="4" w:right="40" w:firstLine="305"/>
        <w:spacing w:after="0" w:line="261" w:lineRule="auto"/>
        <w:tabs>
          <w:tab w:leader="none" w:pos="484" w:val="left"/>
        </w:tabs>
        <w:numPr>
          <w:ilvl w:val="1"/>
          <w:numId w:val="117"/>
        </w:numPr>
        <w:rPr>
          <w:rFonts w:ascii="MS PGothic" w:cs="MS PGothic" w:eastAsia="MS PGothic" w:hAnsi="MS PGothic"/>
          <w:sz w:val="14"/>
          <w:szCs w:val="14"/>
          <w:color w:val="auto"/>
        </w:rPr>
      </w:pPr>
      <w:r>
        <w:rPr>
          <w:rFonts w:ascii="Arial" w:cs="Arial" w:eastAsia="Arial" w:hAnsi="Arial"/>
          <w:sz w:val="14"/>
          <w:szCs w:val="14"/>
          <w:color w:val="auto"/>
        </w:rPr>
        <w:t>have not undergone an inspection by a Certified Access Specialist (CASp). Note: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w:t>
      </w:r>
    </w:p>
    <w:p>
      <w:pPr>
        <w:ind w:left="4"/>
        <w:spacing w:after="0"/>
        <w:rPr>
          <w:rFonts w:ascii="MS PGothic" w:cs="MS PGothic" w:eastAsia="MS PGothic" w:hAnsi="MS PGothic"/>
          <w:sz w:val="14"/>
          <w:szCs w:val="14"/>
          <w:color w:val="auto"/>
        </w:rPr>
      </w:pPr>
      <w:r>
        <w:rPr>
          <w:rFonts w:ascii="Arial" w:cs="Arial" w:eastAsia="Arial" w:hAnsi="Arial"/>
          <w:sz w:val="14"/>
          <w:szCs w:val="14"/>
          <w:color w:val="auto"/>
        </w:rPr>
        <w:t>correct violations of construction-related accessibility standards within the premises.</w:t>
      </w:r>
    </w:p>
    <w:p>
      <w:pPr>
        <w:spacing w:after="0" w:line="97" w:lineRule="exact"/>
        <w:rPr>
          <w:sz w:val="20"/>
          <w:szCs w:val="20"/>
          <w:color w:val="auto"/>
        </w:rPr>
      </w:pPr>
    </w:p>
    <w:p>
      <w:pPr>
        <w:ind w:left="4" w:right="280" w:firstLine="305"/>
        <w:spacing w:after="0" w:line="277" w:lineRule="auto"/>
        <w:tabs>
          <w:tab w:leader="none" w:pos="484" w:val="left"/>
        </w:tabs>
        <w:numPr>
          <w:ilvl w:val="0"/>
          <w:numId w:val="118"/>
        </w:numPr>
        <w:rPr>
          <w:rFonts w:ascii="MS PGothic" w:cs="MS PGothic" w:eastAsia="MS PGothic" w:hAnsi="MS PGothic"/>
          <w:sz w:val="14"/>
          <w:szCs w:val="14"/>
          <w:color w:val="auto"/>
        </w:rPr>
      </w:pPr>
      <w:r>
        <w:rPr>
          <w:rFonts w:ascii="Arial" w:cs="Arial" w:eastAsia="Arial" w:hAnsi="Arial"/>
          <w:sz w:val="14"/>
          <w:szCs w:val="14"/>
          <w:color w:val="auto"/>
        </w:rPr>
        <w:t>have undergone an inspection by a Certified Access Specialist (CASp) and it was determined that the Premises met all applicable construction-related accessibility standards pursuant to California Civil Code §55.51 et seq. Lessee acknowledges that it received a copy of the inspection report at least 48 hours prior to executing this Lease and agrees to keep such report confidential.</w:t>
      </w:r>
    </w:p>
    <w:p>
      <w:pPr>
        <w:spacing w:after="0" w:line="50" w:lineRule="exact"/>
        <w:rPr>
          <w:rFonts w:ascii="MS PGothic" w:cs="MS PGothic" w:eastAsia="MS PGothic" w:hAnsi="MS PGothic"/>
          <w:sz w:val="14"/>
          <w:szCs w:val="14"/>
          <w:color w:val="auto"/>
        </w:rPr>
      </w:pPr>
    </w:p>
    <w:p>
      <w:pPr>
        <w:ind w:left="4" w:right="100" w:firstLine="305"/>
        <w:spacing w:after="0" w:line="277" w:lineRule="auto"/>
        <w:tabs>
          <w:tab w:leader="none" w:pos="484" w:val="left"/>
        </w:tabs>
        <w:numPr>
          <w:ilvl w:val="0"/>
          <w:numId w:val="118"/>
        </w:numPr>
        <w:rPr>
          <w:rFonts w:ascii="MS PGothic" w:cs="MS PGothic" w:eastAsia="MS PGothic" w:hAnsi="MS PGothic"/>
          <w:sz w:val="14"/>
          <w:szCs w:val="14"/>
          <w:color w:val="auto"/>
        </w:rPr>
      </w:pPr>
      <w:r>
        <w:rPr>
          <w:rFonts w:ascii="Arial" w:cs="Arial" w:eastAsia="Arial" w:hAnsi="Arial"/>
          <w:sz w:val="14"/>
          <w:szCs w:val="14"/>
          <w:color w:val="auto"/>
        </w:rPr>
        <w:t>have undergone an inspection by a Certified Access Specialist (CASp) and it was determined that the Premises did not meet all applicable construction-related accessibility standards pursuant to California Civil Code §55.51 et seq. Lessee acknowledges that it received a copy of the inspection report at least 48 hours prior to executing this Lease and agrees to keep such report confidential except as necessary to complete repairs and corrections of violations of construction related accessibility standards.</w:t>
      </w:r>
    </w:p>
    <w:p>
      <w:pPr>
        <w:sectPr>
          <w:pgSz w:w="11900" w:h="16838" w:orient="portrait"/>
          <w:cols w:equalWidth="0" w:num="1">
            <w:col w:w="11044"/>
          </w:cols>
          <w:pgMar w:left="436" w:top="742" w:right="419" w:bottom="0" w:gutter="0" w:footer="0" w:header="0"/>
        </w:sectPr>
      </w:pPr>
    </w:p>
    <w:bookmarkStart w:id="151" w:name="page152"/>
    <w:bookmarkEnd w:id="151"/>
    <w:p>
      <w:pPr>
        <w:spacing w:after="0" w:line="277" w:lineRule="auto"/>
        <w:tabs>
          <w:tab w:leader="none" w:pos="484" w:val="left"/>
        </w:tabs>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ind w:left="4" w:right="300"/>
        <w:spacing w:after="0" w:line="293" w:lineRule="auto"/>
        <w:rPr>
          <w:sz w:val="20"/>
          <w:szCs w:val="20"/>
          <w:color w:val="auto"/>
        </w:rPr>
      </w:pPr>
      <w:r>
        <w:rPr>
          <w:rFonts w:ascii="Arial" w:cs="Arial" w:eastAsia="Arial" w:hAnsi="Arial"/>
          <w:sz w:val="14"/>
          <w:szCs w:val="14"/>
          <w:color w:val="auto"/>
        </w:rPr>
        <w:t>In the event that the Premises have been issued an inspection report by a CASp the Lessor shall provide a copy of the disability access inspection certificate to Lessee within 7 days of the execution of this Lease.</w:t>
      </w:r>
    </w:p>
    <w:p>
      <w:pPr>
        <w:spacing w:after="0" w:line="201" w:lineRule="exact"/>
        <w:rPr>
          <w:sz w:val="20"/>
          <w:szCs w:val="20"/>
          <w:color w:val="auto"/>
        </w:rPr>
      </w:pPr>
    </w:p>
    <w:p>
      <w:pPr>
        <w:ind w:left="4" w:firstLine="644"/>
        <w:spacing w:after="0" w:line="272" w:lineRule="auto"/>
        <w:tabs>
          <w:tab w:leader="none" w:pos="85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Since compliance with the Americans with Disabilities Act (ADA) and other state and local accessibility statutes are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p>
      <w:pPr>
        <w:spacing w:after="0" w:line="211" w:lineRule="exact"/>
        <w:rPr>
          <w:sz w:val="20"/>
          <w:szCs w:val="20"/>
          <w:color w:val="auto"/>
        </w:rPr>
      </w:pPr>
    </w:p>
    <w:p>
      <w:pPr>
        <w:ind w:left="4" w:right="360"/>
        <w:spacing w:after="0" w:line="274" w:lineRule="auto"/>
        <w:rPr>
          <w:sz w:val="20"/>
          <w:szCs w:val="20"/>
          <w:color w:val="auto"/>
        </w:rPr>
      </w:pPr>
      <w:r>
        <w:rPr>
          <w:rFonts w:ascii="Arial" w:cs="Arial" w:eastAsia="Arial" w:hAnsi="Arial"/>
          <w:sz w:val="14"/>
          <w:szCs w:val="14"/>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223" w:lineRule="exact"/>
        <w:rPr>
          <w:sz w:val="20"/>
          <w:szCs w:val="20"/>
          <w:color w:val="auto"/>
        </w:rPr>
      </w:pPr>
    </w:p>
    <w:p>
      <w:pPr>
        <w:ind w:left="4" w:right="840"/>
        <w:spacing w:after="0" w:line="263" w:lineRule="auto"/>
        <w:rPr>
          <w:sz w:val="20"/>
          <w:szCs w:val="20"/>
          <w:color w:val="auto"/>
        </w:rPr>
      </w:pPr>
      <w:r>
        <w:rPr>
          <w:rFonts w:ascii="Arial" w:cs="Arial" w:eastAsia="Arial" w:hAnsi="Arial"/>
          <w:sz w:val="14"/>
          <w:szCs w:val="14"/>
          <w:b w:val="1"/>
          <w:bCs w:val="1"/>
          <w:color w:val="auto"/>
        </w:rPr>
        <w:t>ATTENTION: NO REPRESENTATION OR RECOMMENDATION IS MADE BY AIR CRE OR BY ANY BROKER AS TO THE LEGAL SUFFICIENCY, LEGAL EFFECT, OR TAX CONSEQUENCES OF THIS LEASE OR THE TRANSACTION TO WHICH IT RELATES. THE PARTIES ARE URGED TO:</w:t>
      </w:r>
    </w:p>
    <w:p>
      <w:pPr>
        <w:spacing w:after="0" w:line="1" w:lineRule="exact"/>
        <w:rPr>
          <w:sz w:val="20"/>
          <w:szCs w:val="20"/>
          <w:color w:val="auto"/>
        </w:rPr>
      </w:pPr>
    </w:p>
    <w:p>
      <w:pPr>
        <w:ind w:left="144" w:hanging="144"/>
        <w:spacing w:after="0"/>
        <w:tabs>
          <w:tab w:leader="none" w:pos="144"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SEEK ADVICE OF COUNSEL AS TO THE LEGAL AND TAX CONSEQUENCES OF THIS LEASE.</w:t>
      </w:r>
    </w:p>
    <w:p>
      <w:pPr>
        <w:spacing w:after="0" w:line="12" w:lineRule="exact"/>
        <w:rPr>
          <w:rFonts w:ascii="Arial" w:cs="Arial" w:eastAsia="Arial" w:hAnsi="Arial"/>
          <w:sz w:val="14"/>
          <w:szCs w:val="14"/>
          <w:b w:val="1"/>
          <w:bCs w:val="1"/>
          <w:color w:val="auto"/>
        </w:rPr>
      </w:pPr>
    </w:p>
    <w:p>
      <w:pPr>
        <w:ind w:left="4" w:right="180" w:hanging="4"/>
        <w:spacing w:after="0" w:line="274" w:lineRule="auto"/>
        <w:tabs>
          <w:tab w:leader="none" w:pos="148"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spacing w:after="0" w:line="210" w:lineRule="exact"/>
        <w:rPr>
          <w:sz w:val="20"/>
          <w:szCs w:val="20"/>
          <w:color w:val="auto"/>
        </w:rPr>
      </w:pPr>
    </w:p>
    <w:p>
      <w:pPr>
        <w:ind w:left="4" w:right="180"/>
        <w:spacing w:after="0" w:line="299" w:lineRule="auto"/>
        <w:rPr>
          <w:sz w:val="20"/>
          <w:szCs w:val="20"/>
          <w:color w:val="auto"/>
        </w:rPr>
      </w:pPr>
      <w:r>
        <w:rPr>
          <w:rFonts w:ascii="Arial" w:cs="Arial" w:eastAsia="Arial" w:hAnsi="Arial"/>
          <w:sz w:val="14"/>
          <w:szCs w:val="14"/>
          <w:b w:val="1"/>
          <w:bCs w:val="1"/>
          <w:color w:val="auto"/>
        </w:rPr>
        <w:t>WARNING: IF THE PREMISES ARE LOCATED IN A STATE OTHER THAN CALIFORNIA, CERTAIN PROVISIONS OF THE LEASE MAY NEED TO BE REVISED TO COMPLY WITH THE LAWS OF THE STATE IN WHICH THE PREMISES ARE LOCATED.</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parties hereto have executed this Lease at the place and on the dates specified above their respective signatures.</w:t>
      </w:r>
    </w:p>
    <w:p>
      <w:pPr>
        <w:sectPr>
          <w:pgSz w:w="11900" w:h="16838" w:orient="portrait"/>
          <w:cols w:equalWidth="0" w:num="1">
            <w:col w:w="11024"/>
          </w:cols>
          <w:pgMar w:left="436" w:top="728" w:right="439" w:bottom="0" w:gutter="0" w:footer="0" w:header="0"/>
        </w:sectPr>
      </w:pPr>
    </w:p>
    <w:p>
      <w:pPr>
        <w:spacing w:after="0" w:line="200" w:lineRule="exact"/>
        <w:rPr>
          <w:sz w:val="20"/>
          <w:szCs w:val="20"/>
          <w:color w:val="auto"/>
        </w:rPr>
      </w:pPr>
    </w:p>
    <w:p>
      <w:pPr>
        <w:spacing w:after="0" w:line="345" w:lineRule="exact"/>
        <w:rPr>
          <w:sz w:val="20"/>
          <w:szCs w:val="20"/>
          <w:color w:val="auto"/>
        </w:rPr>
      </w:pPr>
    </w:p>
    <w:p>
      <w:pPr>
        <w:ind w:left="24"/>
        <w:spacing w:after="0"/>
        <w:rPr>
          <w:sz w:val="20"/>
          <w:szCs w:val="20"/>
          <w:color w:val="auto"/>
        </w:rPr>
      </w:pPr>
      <w:r>
        <w:rPr>
          <w:rFonts w:ascii="Arial" w:cs="Arial" w:eastAsia="Arial" w:hAnsi="Arial"/>
          <w:sz w:val="18"/>
          <w:szCs w:val="18"/>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On: 3/16/2020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9"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auto"/>
        </w:rPr>
        <w:t xml:space="preserve">By LESSOR: </w:t>
      </w:r>
      <w:r>
        <w:rPr>
          <w:rFonts w:ascii="Arial" w:cs="Arial" w:eastAsia="Arial" w:hAnsi="Arial"/>
          <w:sz w:val="18"/>
          <w:szCs w:val="18"/>
          <w:color w:val="auto"/>
        </w:rPr>
        <w:t>RGS Properties</w:t>
      </w:r>
    </w:p>
    <w:p>
      <w:pPr>
        <w:spacing w:after="0" w:line="310" w:lineRule="exact"/>
        <w:rPr>
          <w:sz w:val="20"/>
          <w:szCs w:val="20"/>
          <w:color w:val="auto"/>
        </w:rPr>
      </w:pPr>
    </w:p>
    <w:p>
      <w:pPr>
        <w:ind w:left="24"/>
        <w:spacing w:after="0"/>
        <w:rPr>
          <w:sz w:val="20"/>
          <w:szCs w:val="20"/>
          <w:color w:val="auto"/>
        </w:rPr>
      </w:pPr>
      <w:r>
        <w:rPr>
          <w:rFonts w:ascii="Arial" w:cs="Arial" w:eastAsia="Arial" w:hAnsi="Arial"/>
          <w:sz w:val="18"/>
          <w:szCs w:val="18"/>
          <w:color w:val="auto"/>
        </w:rPr>
        <w:t>By: /s/ Scott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Name Printed: Scott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By: /s/ Greg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Name Printed: Greg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Phone: (858) 454-0101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6"/>
          <w:szCs w:val="16"/>
          <w:color w:val="auto"/>
        </w:rPr>
        <w:t>Address: RGS Properties c/o Harmen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2802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80" w:lineRule="exact"/>
        <w:rPr>
          <w:sz w:val="20"/>
          <w:szCs w:val="20"/>
          <w:color w:val="auto"/>
        </w:rPr>
      </w:pPr>
    </w:p>
    <w:p>
      <w:pPr>
        <w:ind w:left="24"/>
        <w:spacing w:after="0"/>
        <w:rPr>
          <w:sz w:val="20"/>
          <w:szCs w:val="20"/>
          <w:color w:val="auto"/>
        </w:rPr>
      </w:pPr>
      <w:r>
        <w:rPr>
          <w:rFonts w:ascii="Arial" w:cs="Arial" w:eastAsia="Arial" w:hAnsi="Arial"/>
          <w:sz w:val="18"/>
          <w:szCs w:val="18"/>
          <w:color w:val="auto"/>
        </w:rPr>
        <w:t>P.O. Box 2463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La Jolla, CA 92038-2463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09" w:lineRule="exact"/>
        <w:rPr>
          <w:sz w:val="20"/>
          <w:szCs w:val="20"/>
          <w:color w:val="auto"/>
        </w:rPr>
      </w:pPr>
    </w:p>
    <w:p>
      <w:pPr>
        <w:ind w:left="24"/>
        <w:spacing w:after="0"/>
        <w:rPr>
          <w:sz w:val="20"/>
          <w:szCs w:val="20"/>
          <w:color w:val="auto"/>
        </w:rPr>
      </w:pPr>
      <w:r>
        <w:rPr>
          <w:rFonts w:ascii="Arial" w:cs="Arial" w:eastAsia="Arial" w:hAnsi="Arial"/>
          <w:sz w:val="18"/>
          <w:szCs w:val="18"/>
          <w:b w:val="1"/>
          <w:bCs w:val="1"/>
          <w:color w:val="auto"/>
        </w:rPr>
        <w:t>BROKER</w:t>
      </w:r>
    </w:p>
    <w:p>
      <w:pPr>
        <w:spacing w:after="0" w:line="67" w:lineRule="exact"/>
        <w:rPr>
          <w:sz w:val="20"/>
          <w:szCs w:val="20"/>
          <w:color w:val="auto"/>
        </w:rPr>
      </w:pPr>
    </w:p>
    <w:p>
      <w:pPr>
        <w:ind w:left="24"/>
        <w:spacing w:after="0"/>
        <w:rPr>
          <w:sz w:val="20"/>
          <w:szCs w:val="20"/>
          <w:color w:val="auto"/>
        </w:rPr>
      </w:pPr>
      <w:r>
        <w:rPr>
          <w:rFonts w:ascii="Arial" w:cs="Arial" w:eastAsia="Arial" w:hAnsi="Arial"/>
          <w:sz w:val="16"/>
          <w:szCs w:val="16"/>
          <w:color w:val="auto"/>
        </w:rPr>
        <w:t>Lee &amp; Associates Commercial Real Estate Services, Inc. -</w:t>
      </w:r>
    </w:p>
    <w:p>
      <w:pPr>
        <w:spacing w:after="0" w:line="46" w:lineRule="exact"/>
        <w:rPr>
          <w:sz w:val="20"/>
          <w:szCs w:val="20"/>
          <w:color w:val="auto"/>
        </w:rPr>
      </w:pPr>
    </w:p>
    <w:p>
      <w:pPr>
        <w:ind w:left="24"/>
        <w:spacing w:after="0"/>
        <w:rPr>
          <w:sz w:val="20"/>
          <w:szCs w:val="20"/>
          <w:color w:val="auto"/>
        </w:rPr>
      </w:pPr>
      <w:r>
        <w:rPr>
          <w:rFonts w:ascii="Arial" w:cs="Arial" w:eastAsia="Arial" w:hAnsi="Arial"/>
          <w:sz w:val="18"/>
          <w:szCs w:val="18"/>
          <w:color w:val="auto"/>
        </w:rPr>
        <w:t>NSDC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802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42" w:lineRule="exact"/>
        <w:rPr>
          <w:sz w:val="20"/>
          <w:szCs w:val="20"/>
          <w:color w:val="auto"/>
        </w:rPr>
      </w:pPr>
    </w:p>
    <w:p>
      <w:pPr>
        <w:ind w:left="24"/>
        <w:spacing w:after="0"/>
        <w:rPr>
          <w:sz w:val="20"/>
          <w:szCs w:val="20"/>
          <w:color w:val="auto"/>
        </w:rPr>
      </w:pPr>
      <w:r>
        <w:rPr>
          <w:rFonts w:ascii="Arial" w:cs="Arial" w:eastAsia="Arial" w:hAnsi="Arial"/>
          <w:sz w:val="18"/>
          <w:szCs w:val="18"/>
          <w:color w:val="auto"/>
        </w:rPr>
        <w:t>Attn: Peter Merz &amp; Daniel Knoke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Address: 1900 Wright Place, Ste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Carlsbad, CA 92008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Phone: (760) 448-1362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Fax: (760)493-4074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Email: pmerz@lee-associates.com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Broker DRE License #: 01096996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7" w:lineRule="exact"/>
        <w:rPr>
          <w:sz w:val="20"/>
          <w:szCs w:val="20"/>
          <w:color w:val="auto"/>
        </w:rPr>
      </w:pPr>
    </w:p>
    <w:p>
      <w:pPr>
        <w:ind w:left="24"/>
        <w:spacing w:after="0"/>
        <w:rPr>
          <w:sz w:val="20"/>
          <w:szCs w:val="20"/>
          <w:color w:val="auto"/>
        </w:rPr>
      </w:pPr>
      <w:r>
        <w:rPr>
          <w:rFonts w:ascii="Arial" w:cs="Arial" w:eastAsia="Arial" w:hAnsi="Arial"/>
          <w:sz w:val="18"/>
          <w:szCs w:val="18"/>
          <w:color w:val="auto"/>
        </w:rPr>
        <w:t>Agent DRE License #: 01269042 | 01215373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802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Executed at: Vista,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On: 3/6/2020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LESSEE: </w:t>
      </w:r>
      <w:r>
        <w:rPr>
          <w:rFonts w:ascii="Arial" w:cs="Arial" w:eastAsia="Arial" w:hAnsi="Arial"/>
          <w:sz w:val="18"/>
          <w:szCs w:val="18"/>
          <w:color w:val="auto"/>
        </w:rPr>
        <w:t>Exagen Diagnostics, Inc.</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By: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 Printed: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Attn: Andrew Ewald &amp; Blake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 5780 Fleet St, Ste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Broker DRE License #: 00409987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26142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Agent DRE License #: 01308891 | 02001878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26142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724" w:space="720"/>
            <w:col w:w="5580"/>
          </w:cols>
          <w:pgMar w:left="436" w:top="728" w:right="439" w:bottom="0" w:gutter="0" w:footer="0" w:header="0"/>
          <w:type w:val="continuous"/>
        </w:sectPr>
      </w:pPr>
    </w:p>
    <w:p>
      <w:pPr>
        <w:spacing w:after="0" w:line="219" w:lineRule="exact"/>
        <w:rPr>
          <w:sz w:val="20"/>
          <w:szCs w:val="20"/>
          <w:color w:val="auto"/>
        </w:rPr>
      </w:pPr>
    </w:p>
    <w:p>
      <w:pPr>
        <w:ind w:left="1964"/>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25" w:lineRule="exact"/>
        <w:rPr>
          <w:sz w:val="20"/>
          <w:szCs w:val="20"/>
          <w:color w:val="auto"/>
        </w:rPr>
      </w:pPr>
    </w:p>
    <w:p>
      <w:pPr>
        <w:ind w:left="1544"/>
        <w:spacing w:after="0"/>
        <w:rPr>
          <w:sz w:val="20"/>
          <w:szCs w:val="20"/>
          <w:color w:val="auto"/>
        </w:rPr>
      </w:pPr>
      <w:r>
        <w:rPr>
          <w:rFonts w:ascii="Arial" w:cs="Arial" w:eastAsia="Arial" w:hAnsi="Arial"/>
          <w:sz w:val="13"/>
          <w:szCs w:val="13"/>
          <w:b w:val="1"/>
          <w:bCs w:val="1"/>
          <w:color w:val="auto"/>
        </w:rPr>
        <w:t>NOTICE: No part of these works may be reproduced in any form without permission in writing.</w:t>
      </w:r>
    </w:p>
    <w:p>
      <w:pPr>
        <w:sectPr>
          <w:pgSz w:w="11900" w:h="16838" w:orient="portrait"/>
          <w:cols w:equalWidth="0" w:num="1">
            <w:col w:w="11024"/>
          </w:cols>
          <w:pgMar w:left="436" w:top="728" w:right="439" w:bottom="0" w:gutter="0" w:footer="0" w:header="0"/>
          <w:type w:val="continuous"/>
        </w:sectPr>
      </w:pPr>
    </w:p>
    <w:bookmarkStart w:id="153" w:name="page154"/>
    <w:bookmarkEnd w:id="153"/>
    <w:p>
      <w:pPr>
        <w:ind w:left="1760"/>
        <w:spacing w:after="0"/>
        <w:rPr>
          <w:sz w:val="20"/>
          <w:szCs w:val="20"/>
          <w:color w:val="auto"/>
        </w:rPr>
      </w:pPr>
      <w:r>
        <w:rPr>
          <w:rFonts w:ascii="Arial" w:cs="Arial" w:eastAsia="Arial" w:hAnsi="Arial"/>
          <w:sz w:val="36"/>
          <w:szCs w:val="36"/>
          <w:b w:val="1"/>
          <w:bCs w:val="1"/>
          <w:color w:val="auto"/>
        </w:rPr>
        <w:t>EXHIBIT A</w:t>
      </w:r>
    </w:p>
    <w:p>
      <w:pPr>
        <w:spacing w:after="0" w:line="26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1261 LIBERTY WAY, SUITE A, VISTA, CA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675005</wp:posOffset>
            </wp:positionV>
            <wp:extent cx="6249035" cy="65405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6249035" cy="6540500"/>
                    </a:xfrm>
                    <a:prstGeom prst="rect">
                      <a:avLst/>
                    </a:prstGeom>
                    <a:noFill/>
                  </pic:spPr>
                </pic:pic>
              </a:graphicData>
            </a:graphic>
          </wp:anchor>
        </w:drawing>
      </w:r>
    </w:p>
    <w:p>
      <w:pPr>
        <w:sectPr>
          <w:pgSz w:w="11900" w:h="16838" w:orient="portrait"/>
          <w:cols w:equalWidth="0" w:num="1">
            <w:col w:w="9319"/>
          </w:cols>
          <w:pgMar w:left="1140" w:top="754" w:right="1440" w:bottom="1440" w:gutter="0" w:footer="0" w:header="0"/>
        </w:sectPr>
      </w:pPr>
    </w:p>
    <w:bookmarkStart w:id="154" w:name="page155"/>
    <w:bookmarkEnd w:id="154"/>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500380</wp:posOffset>
            </wp:positionV>
            <wp:extent cx="1602740" cy="3257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602740" cy="32575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25"/>
          <w:szCs w:val="25"/>
          <w:b w:val="1"/>
          <w:bCs w:val="1"/>
          <w:color w:val="auto"/>
        </w:rPr>
        <w:t>RENT ADJUSTMENT(S)</w:t>
      </w:r>
    </w:p>
    <w:p>
      <w:pPr>
        <w:spacing w:after="0" w:line="41"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STANDARD LEASE ADDENDUM</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u w:val="single" w:color="auto"/>
          <w:color w:val="auto"/>
        </w:rPr>
        <w:t>February 27, 2020</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By and Between</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Lessor: </w:t>
      </w:r>
      <w:r>
        <w:rPr>
          <w:rFonts w:ascii="Arial" w:cs="Arial" w:eastAsia="Arial" w:hAnsi="Arial"/>
          <w:sz w:val="18"/>
          <w:szCs w:val="18"/>
          <w:u w:val="single" w:color="auto"/>
          <w:color w:val="auto"/>
        </w:rPr>
        <w:t>RGS Properties</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Lessee: </w:t>
      </w:r>
      <w:r>
        <w:rPr>
          <w:rFonts w:ascii="Arial" w:cs="Arial" w:eastAsia="Arial" w:hAnsi="Arial"/>
          <w:sz w:val="18"/>
          <w:szCs w:val="18"/>
          <w:u w:val="single" w:color="auto"/>
          <w:color w:val="auto"/>
        </w:rPr>
        <w:t>Exagen Diagnostics, Inc</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Property Address: </w:t>
      </w:r>
      <w:r>
        <w:rPr>
          <w:rFonts w:ascii="Arial" w:cs="Arial" w:eastAsia="Arial" w:hAnsi="Arial"/>
          <w:sz w:val="18"/>
          <w:szCs w:val="18"/>
          <w:u w:val="single" w:color="auto"/>
          <w:color w:val="auto"/>
        </w:rPr>
        <w:t>1261 Liberty Way, Ste A, Vista, CA 92081</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(street address, city, state, zip)</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Paragraph: </w:t>
      </w:r>
      <w:r>
        <w:rPr>
          <w:rFonts w:ascii="Arial" w:cs="Arial" w:eastAsia="Arial" w:hAnsi="Arial"/>
          <w:sz w:val="17"/>
          <w:szCs w:val="17"/>
          <w:u w:val="single" w:color="auto"/>
          <w:color w:val="auto"/>
        </w:rPr>
        <w:t>54</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RENT ADJUSTMENTS:</w:t>
      </w:r>
    </w:p>
    <w:p>
      <w:pPr>
        <w:spacing w:after="0" w:line="262" w:lineRule="exact"/>
        <w:rPr>
          <w:sz w:val="20"/>
          <w:szCs w:val="20"/>
          <w:color w:val="auto"/>
        </w:rPr>
      </w:pPr>
    </w:p>
    <w:p>
      <w:pPr>
        <w:ind w:right="619" w:firstLine="324"/>
        <w:spacing w:after="0" w:line="293" w:lineRule="auto"/>
        <w:rPr>
          <w:sz w:val="20"/>
          <w:szCs w:val="20"/>
          <w:color w:val="auto"/>
        </w:rPr>
      </w:pPr>
      <w:r>
        <w:rPr>
          <w:rFonts w:ascii="Arial" w:cs="Arial" w:eastAsia="Arial" w:hAnsi="Arial"/>
          <w:sz w:val="14"/>
          <w:szCs w:val="14"/>
          <w:color w:val="auto"/>
        </w:rPr>
        <w:t>The monthly rent for each month of the adjustment period(s) specified below shall be increased using the method(s) indicated below: (Check Method(s) to be Used and Fill in Appropriately)</w:t>
      </w:r>
    </w:p>
    <w:p>
      <w:pPr>
        <w:spacing w:after="0" w:line="210" w:lineRule="exact"/>
        <w:rPr>
          <w:sz w:val="20"/>
          <w:szCs w:val="20"/>
          <w:color w:val="auto"/>
        </w:rPr>
      </w:pPr>
    </w:p>
    <w:p>
      <w:pPr>
        <w:ind w:left="500" w:hanging="180"/>
        <w:spacing w:after="0"/>
        <w:tabs>
          <w:tab w:leader="none" w:pos="500" w:val="left"/>
        </w:tabs>
        <w:numPr>
          <w:ilvl w:val="0"/>
          <w:numId w:val="121"/>
        </w:numPr>
        <w:rPr>
          <w:rFonts w:ascii="MS PGothic" w:cs="MS PGothic" w:eastAsia="MS PGothic" w:hAnsi="MS PGothic"/>
          <w:sz w:val="14"/>
          <w:szCs w:val="14"/>
          <w:color w:val="auto"/>
        </w:rPr>
      </w:pPr>
      <w:r>
        <w:rPr>
          <w:rFonts w:ascii="Arial" w:cs="Arial" w:eastAsia="Arial" w:hAnsi="Arial"/>
          <w:sz w:val="14"/>
          <w:szCs w:val="14"/>
          <w:b w:val="1"/>
          <w:bCs w:val="1"/>
          <w:color w:val="auto"/>
        </w:rPr>
        <w:t>III. Fixed Rental Adjustment(s) (FRA)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-80645</wp:posOffset>
            </wp:positionV>
            <wp:extent cx="69215" cy="704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Base Rent shall be increased to the following amounts on the dates set forth below:</w:t>
      </w:r>
    </w:p>
    <w:p>
      <w:pPr>
        <w:sectPr>
          <w:pgSz w:w="11900" w:h="16838" w:orient="portrait"/>
          <w:cols w:equalWidth="0" w:num="1">
            <w:col w:w="10019"/>
          </w:cols>
          <w:pgMar w:left="440" w:top="1440"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On (Fill in FRA Adjustment Date(s)):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 2022 -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24085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 2023 -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24085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 2024 -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24085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 2025 -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24085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New Base Rent shall be: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$13,106.00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1685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$13,499.00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168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$13,904.00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1685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$14,321.00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168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5559"/>
          </w:cols>
          <w:pgMar w:left="440" w:top="1440"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17" w:lineRule="exact"/>
        <w:rPr>
          <w:sz w:val="20"/>
          <w:szCs w:val="20"/>
          <w:color w:val="auto"/>
        </w:rPr>
      </w:pPr>
    </w:p>
    <w:p>
      <w:pPr>
        <w:ind w:left="1660"/>
        <w:spacing w:after="0"/>
        <w:rPr>
          <w:sz w:val="20"/>
          <w:szCs w:val="20"/>
          <w:color w:val="auto"/>
        </w:rPr>
      </w:pPr>
      <w:r>
        <w:rPr>
          <w:rFonts w:ascii="Arial" w:cs="Arial" w:eastAsia="Arial" w:hAnsi="Arial"/>
          <w:sz w:val="13"/>
          <w:szCs w:val="13"/>
          <w:b w:val="1"/>
          <w:bCs w:val="1"/>
          <w:color w:val="auto"/>
        </w:rPr>
        <w:t>NOTICE: No part of these works may be reproduced in any form without permission in writing.</w:t>
      </w:r>
    </w:p>
    <w:p>
      <w:pPr>
        <w:sectPr>
          <w:pgSz w:w="11900" w:h="16838" w:orient="portrait"/>
          <w:cols w:equalWidth="0" w:num="1">
            <w:col w:w="10019"/>
          </w:cols>
          <w:pgMar w:left="440" w:top="1440" w:right="1440" w:bottom="1440" w:gutter="0" w:footer="0" w:header="0"/>
          <w:type w:val="continuous"/>
        </w:sectPr>
      </w:pPr>
    </w:p>
    <w:bookmarkStart w:id="155" w:name="page156"/>
    <w:bookmarkEnd w:id="155"/>
    <w:p>
      <w:pPr>
        <w:ind w:left="12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2976880</wp:posOffset>
            </wp:positionH>
            <wp:positionV relativeFrom="page">
              <wp:posOffset>474980</wp:posOffset>
            </wp:positionV>
            <wp:extent cx="1602740" cy="3257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602740" cy="325755"/>
                    </a:xfrm>
                    <a:prstGeom prst="rect">
                      <a:avLst/>
                    </a:prstGeom>
                    <a:noFill/>
                  </pic:spPr>
                </pic:pic>
              </a:graphicData>
            </a:graphic>
          </wp:anchor>
        </w:drawing>
        <w:t>DISCLOSURE REGARDING REAL ESTATE AGENCY RELATIONSHIP</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(As required by the Civil Code)</w:t>
      </w:r>
    </w:p>
    <w:p>
      <w:pPr>
        <w:spacing w:after="0" w:line="3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1261 Liberty Way, Ste A, Vista, CA 92081</w:t>
      </w:r>
    </w:p>
    <w:p>
      <w:pPr>
        <w:spacing w:after="0" w:line="27" w:lineRule="exact"/>
        <w:rPr>
          <w:sz w:val="20"/>
          <w:szCs w:val="20"/>
          <w:color w:val="auto"/>
        </w:rPr>
      </w:pPr>
    </w:p>
    <w:p>
      <w:pPr>
        <w:ind w:left="120" w:right="80"/>
        <w:spacing w:after="0" w:line="259" w:lineRule="auto"/>
        <w:rPr>
          <w:sz w:val="20"/>
          <w:szCs w:val="20"/>
          <w:color w:val="auto"/>
        </w:rPr>
      </w:pPr>
      <w:r>
        <w:rPr>
          <w:rFonts w:ascii="Arial" w:cs="Arial" w:eastAsia="Arial" w:hAnsi="Arial"/>
          <w:sz w:val="14"/>
          <w:szCs w:val="14"/>
          <w:color w:val="auto"/>
        </w:rPr>
        <w:t>When you enter into a discussion with a real estate agent regarding a real estate transaction, you should from the outset understand what type of agency relationship or representation you wish to have with the agent in the transaction.</w:t>
      </w:r>
    </w:p>
    <w:p>
      <w:pPr>
        <w:ind w:left="2820"/>
        <w:spacing w:after="0"/>
        <w:rPr>
          <w:sz w:val="20"/>
          <w:szCs w:val="20"/>
          <w:color w:val="auto"/>
        </w:rPr>
      </w:pPr>
      <w:r>
        <w:rPr>
          <w:rFonts w:ascii="Arial" w:cs="Arial" w:eastAsia="Arial" w:hAnsi="Arial"/>
          <w:sz w:val="14"/>
          <w:szCs w:val="14"/>
          <w:b w:val="1"/>
          <w:bCs w:val="1"/>
          <w:color w:val="auto"/>
        </w:rPr>
        <w:t>SELLER'S AGENT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Seller's agent under a listing agreement with the Seller acts as the agent for the Seller only. A Seller's agent or a subagent of that agent has the following affirmative obligations: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the Seller: A fiduciary duty of utmost care, integrity, honesty and loyalty in dealings with the Seller.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the Buyer and the Seller:</w:t>
      </w:r>
    </w:p>
    <w:p>
      <w:pPr>
        <w:spacing w:after="0" w:line="6" w:lineRule="exact"/>
        <w:rPr>
          <w:sz w:val="20"/>
          <w:szCs w:val="20"/>
          <w:color w:val="auto"/>
        </w:rPr>
      </w:pPr>
    </w:p>
    <w:p>
      <w:pPr>
        <w:ind w:left="860" w:hanging="204"/>
        <w:spacing w:after="0"/>
        <w:tabs>
          <w:tab w:leader="none" w:pos="8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Diligent exercise of reasonable skill and care in performance of the agent's duties.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duty of honest and fair dealing and good faith.</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 duty to disclose all facts known to the agent materially affecting the value or desirability of the property that are not known to, or within the diligent attention and observation of,</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parties.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An agent is not obligated to reveal to either party any confidential information obtained from the other party that does not involve the affirmative duties set forth above.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BUYER'S AGENT</w:t>
      </w:r>
    </w:p>
    <w:p>
      <w:pPr>
        <w:spacing w:after="0" w:line="16" w:lineRule="exact"/>
        <w:rPr>
          <w:sz w:val="20"/>
          <w:szCs w:val="20"/>
          <w:color w:val="auto"/>
        </w:rPr>
      </w:pPr>
    </w:p>
    <w:p>
      <w:pPr>
        <w:ind w:left="120" w:right="580"/>
        <w:spacing w:after="0" w:line="264" w:lineRule="auto"/>
        <w:rPr>
          <w:sz w:val="20"/>
          <w:szCs w:val="20"/>
          <w:color w:val="auto"/>
        </w:rPr>
      </w:pPr>
      <w:r>
        <w:rPr>
          <w:rFonts w:ascii="Arial" w:cs="Arial" w:eastAsia="Arial" w:hAnsi="Arial"/>
          <w:sz w:val="14"/>
          <w:szCs w:val="14"/>
          <w:color w:val="auto"/>
        </w:rPr>
        <w:t>A Buyer's agent can, with a Buyer's consent, agree to act as agent for the Buyer only. In these situations, the agent is not the Seller's agent, even if by agreement the agent may receive compensation for services rendered, either in full or in part from the Seller. An agent acting only for a Buyer has the following affirmative obligations: To the Buyer: A fiduciary duty of utmost care, integrity, honesty and loyalty in dealings with the Buyer. To the Buyer and the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Seller:</w:t>
      </w:r>
    </w:p>
    <w:p>
      <w:pPr>
        <w:spacing w:after="0" w:line="15" w:lineRule="exact"/>
        <w:rPr>
          <w:sz w:val="20"/>
          <w:szCs w:val="20"/>
          <w:color w:val="auto"/>
        </w:rPr>
      </w:pPr>
    </w:p>
    <w:p>
      <w:pPr>
        <w:ind w:left="640" w:hanging="200"/>
        <w:spacing w:after="0"/>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Diligent exercise of reasonable skill and care in performance of the agent's duties.</w:t>
      </w:r>
    </w:p>
    <w:p>
      <w:pPr>
        <w:spacing w:after="0" w:line="14" w:lineRule="exact"/>
        <w:rPr>
          <w:rFonts w:ascii="Arial" w:cs="Arial" w:eastAsia="Arial" w:hAnsi="Arial"/>
          <w:sz w:val="14"/>
          <w:szCs w:val="14"/>
          <w:color w:val="auto"/>
        </w:rPr>
      </w:pPr>
    </w:p>
    <w:p>
      <w:pPr>
        <w:ind w:left="640" w:hanging="200"/>
        <w:spacing w:after="0"/>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 duty of honest and fair dealing and good faith.</w:t>
      </w:r>
    </w:p>
    <w:p>
      <w:pPr>
        <w:spacing w:after="0" w:line="14" w:lineRule="exact"/>
        <w:rPr>
          <w:rFonts w:ascii="Arial" w:cs="Arial" w:eastAsia="Arial" w:hAnsi="Arial"/>
          <w:sz w:val="14"/>
          <w:szCs w:val="14"/>
          <w:color w:val="auto"/>
        </w:rPr>
      </w:pPr>
    </w:p>
    <w:p>
      <w:pPr>
        <w:ind w:left="120" w:right="420" w:firstLine="320"/>
        <w:spacing w:after="0" w:line="261"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 duty to disclose all facts known to the agent materially affecting the value or desirability of the property that are not known to, or within the diligent attention and observation of, the parties.</w:t>
      </w:r>
    </w:p>
    <w:p>
      <w:pPr>
        <w:ind w:left="120"/>
        <w:spacing w:after="0"/>
        <w:rPr>
          <w:rFonts w:ascii="Arial" w:cs="Arial" w:eastAsia="Arial" w:hAnsi="Arial"/>
          <w:sz w:val="14"/>
          <w:szCs w:val="14"/>
          <w:color w:val="auto"/>
        </w:rPr>
      </w:pPr>
      <w:r>
        <w:rPr>
          <w:rFonts w:ascii="Arial" w:cs="Arial" w:eastAsia="Arial" w:hAnsi="Arial"/>
          <w:sz w:val="14"/>
          <w:szCs w:val="14"/>
          <w:color w:val="auto"/>
        </w:rPr>
        <w:t>An agent is not obligated to reveal to either party any confidential information obtained from the other party that does not involve the affirmative duties set forth above.</w:t>
      </w:r>
    </w:p>
    <w:p>
      <w:pPr>
        <w:spacing w:after="0" w:line="6"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AGENT REPRESENTING BOTH SELLER AND BUYER</w:t>
      </w:r>
    </w:p>
    <w:p>
      <w:pPr>
        <w:spacing w:after="0" w:line="16" w:lineRule="exact"/>
        <w:rPr>
          <w:sz w:val="20"/>
          <w:szCs w:val="20"/>
          <w:color w:val="auto"/>
        </w:rPr>
      </w:pPr>
    </w:p>
    <w:p>
      <w:pPr>
        <w:ind w:left="120" w:right="360"/>
        <w:spacing w:after="0" w:line="260" w:lineRule="auto"/>
        <w:rPr>
          <w:sz w:val="20"/>
          <w:szCs w:val="20"/>
          <w:color w:val="auto"/>
        </w:rPr>
      </w:pPr>
      <w:r>
        <w:rPr>
          <w:rFonts w:ascii="Arial" w:cs="Arial" w:eastAsia="Arial" w:hAnsi="Arial"/>
          <w:sz w:val="14"/>
          <w:szCs w:val="14"/>
          <w:color w:val="auto"/>
        </w:rPr>
        <w:t>A real estate agent, either acting directly or through one or more salesperson and broker associates, can legally be the agent of both the Seller and the Buyer in a transaction, but only with the knowledge and consent of both the Seller and the Buyer.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a dual agency situation, the agent has the following affirmative obligations to both the Seller and the Buyer:</w:t>
      </w:r>
    </w:p>
    <w:p>
      <w:pPr>
        <w:spacing w:after="0" w:line="9" w:lineRule="exact"/>
        <w:rPr>
          <w:sz w:val="20"/>
          <w:szCs w:val="20"/>
          <w:color w:val="auto"/>
        </w:rPr>
      </w:pPr>
    </w:p>
    <w:p>
      <w:pPr>
        <w:ind w:left="440" w:right="2800"/>
        <w:spacing w:after="0" w:line="261" w:lineRule="auto"/>
        <w:tabs>
          <w:tab w:leader="none" w:pos="63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 fiduciary duty of utmost care, integrity, honesty and loyalty in the dealings with either the Seller or the Buyer. (b) Other duties to the Seller and the Buyer as stated above in their respective sections.</w:t>
      </w:r>
    </w:p>
    <w:p>
      <w:pPr>
        <w:spacing w:after="0" w:line="1" w:lineRule="exact"/>
        <w:rPr>
          <w:sz w:val="20"/>
          <w:szCs w:val="20"/>
          <w:color w:val="auto"/>
        </w:rPr>
      </w:pPr>
    </w:p>
    <w:p>
      <w:pPr>
        <w:ind w:left="120" w:right="400"/>
        <w:spacing w:after="0" w:line="257" w:lineRule="auto"/>
        <w:rPr>
          <w:sz w:val="20"/>
          <w:szCs w:val="20"/>
          <w:color w:val="auto"/>
        </w:rPr>
      </w:pPr>
      <w:r>
        <w:rPr>
          <w:rFonts w:ascii="Arial" w:cs="Arial" w:eastAsia="Arial" w:hAnsi="Arial"/>
          <w:sz w:val="14"/>
          <w:szCs w:val="14"/>
          <w:color w:val="auto"/>
        </w:rPr>
        <w:t>In representing both Seller and Buyer, a dual agent may not, without the express permission of the respective party, disclose to the other party confidential information, including, but not limited to, facts relating to either the Buyer’s or Seller’s financial position, motivations, bargaining position, or other personal information that may impact price, including the Seller’s willingness to accept a price less than the listing price or the Buyer’s willingness to pay a price greater than the price offered.</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SELLER AND BUYER RESPONSIBILITIES</w:t>
      </w:r>
    </w:p>
    <w:p>
      <w:pPr>
        <w:spacing w:after="0" w:line="16" w:lineRule="exact"/>
        <w:rPr>
          <w:sz w:val="20"/>
          <w:szCs w:val="20"/>
          <w:color w:val="auto"/>
        </w:rPr>
      </w:pPr>
    </w:p>
    <w:p>
      <w:pPr>
        <w:ind w:left="120" w:right="140"/>
        <w:spacing w:after="0" w:line="266" w:lineRule="auto"/>
        <w:rPr>
          <w:sz w:val="20"/>
          <w:szCs w:val="20"/>
          <w:color w:val="auto"/>
        </w:rPr>
      </w:pPr>
      <w:r>
        <w:rPr>
          <w:rFonts w:ascii="Arial" w:cs="Arial" w:eastAsia="Arial" w:hAnsi="Arial"/>
          <w:sz w:val="14"/>
          <w:szCs w:val="14"/>
          <w:color w:val="auto"/>
        </w:rPr>
        <w:t>Either the purchase agreement or a separate document will contain a confirmation of which agent is representing you and whether that agent is representing you exclusively in the transaction or acting as a dual agent. Please pay attention to that confirmation to make sure it accurately reflects your understanding of your agent’s role. The above duties of the agent in a real estate transaction do not relieve a Seller or Buyer from the responsibility to protect his or her own interests. You should carefully read all agreements to assure that they adequately express your understanding of the transaction. A real estate agent is a person qualified to advise about real estate. If legal or tax advice is desired, consult a competent professional. If you are a Buyer, you have the duty to exercise reasonable care to protect yourself, including as to those facts about the property which are known to you or within your diligent attention and observation. Both Sellers and Buyers should strongly consider obtaining tax advice from a competent professional because the federal and state tax consequences of a transaction can be complex and subject to change.</w:t>
      </w:r>
    </w:p>
    <w:p>
      <w:pPr>
        <w:spacing w:after="0" w:line="222" w:lineRule="exact"/>
        <w:rPr>
          <w:sz w:val="20"/>
          <w:szCs w:val="20"/>
          <w:color w:val="auto"/>
        </w:rPr>
      </w:pPr>
    </w:p>
    <w:p>
      <w:pPr>
        <w:ind w:left="120" w:right="100"/>
        <w:spacing w:after="0" w:line="309" w:lineRule="auto"/>
        <w:rPr>
          <w:sz w:val="20"/>
          <w:szCs w:val="20"/>
          <w:color w:val="auto"/>
        </w:rPr>
      </w:pPr>
      <w:r>
        <w:rPr>
          <w:rFonts w:ascii="Arial" w:cs="Arial" w:eastAsia="Arial" w:hAnsi="Arial"/>
          <w:sz w:val="12"/>
          <w:szCs w:val="12"/>
          <w:color w:val="auto"/>
        </w:rPr>
        <w:t xml:space="preserve">Throughout your real property transaction you may receive more than one disclosure form, depending upon the number of agents assisting in the transaction. The law requires each agent with whom you have more than a casual relationship to present you with this disclosure form. You should read its contents each time it is presented to you, considering the relationship between you and the real estate agent in your specific transaction. </w:t>
      </w:r>
      <w:r>
        <w:rPr>
          <w:rFonts w:ascii="Arial" w:cs="Arial" w:eastAsia="Arial" w:hAnsi="Arial"/>
          <w:sz w:val="12"/>
          <w:szCs w:val="12"/>
          <w:b w:val="1"/>
          <w:bCs w:val="1"/>
          <w:color w:val="auto"/>
        </w:rPr>
        <w:t>This disclosure form includes the provisions of Sections 2079.13 to 2079.24, inclusive, of the Civil Code set forth on page 2.</w:t>
      </w:r>
    </w:p>
    <w:p>
      <w:pPr>
        <w:ind w:left="120" w:right="240"/>
        <w:spacing w:after="0" w:line="283" w:lineRule="auto"/>
        <w:rPr>
          <w:sz w:val="20"/>
          <w:szCs w:val="20"/>
          <w:color w:val="auto"/>
        </w:rPr>
      </w:pPr>
      <w:r>
        <w:rPr>
          <w:rFonts w:ascii="Arial" w:cs="Arial" w:eastAsia="Arial" w:hAnsi="Arial"/>
          <w:sz w:val="14"/>
          <w:szCs w:val="14"/>
          <w:b w:val="1"/>
          <w:bCs w:val="1"/>
          <w:color w:val="auto"/>
        </w:rPr>
        <w:t>Read it carefully. I/WE ACKNOWLEDGE RECEIPT OF A COPY OF THIS DISCLOSURE AND THE PORTIONS OF THE CIVIL CODE PRINTED ON THE BACK (OR A SEPARATE PAGE).</w:t>
      </w:r>
    </w:p>
    <w:p>
      <w:pPr>
        <w:spacing w:after="0" w:line="200" w:lineRule="exact"/>
        <w:rPr>
          <w:sz w:val="20"/>
          <w:szCs w:val="20"/>
          <w:color w:val="auto"/>
        </w:rPr>
      </w:pPr>
    </w:p>
    <w:p>
      <w:pPr>
        <w:spacing w:after="0" w:line="283" w:lineRule="exact"/>
        <w:rPr>
          <w:sz w:val="20"/>
          <w:szCs w:val="20"/>
          <w:color w:val="auto"/>
        </w:rPr>
      </w:pPr>
    </w:p>
    <w:tbl>
      <w:tblPr>
        <w:tblLayout w:type="fixed"/>
        <w:tblInd w:w="400" w:type="dxa"/>
        <w:tblCellMar>
          <w:top w:w="0" w:type="dxa"/>
          <w:left w:w="0" w:type="dxa"/>
          <w:bottom w:w="0" w:type="dxa"/>
          <w:right w:w="0" w:type="dxa"/>
        </w:tblCellMar>
      </w:tblPr>
      <w:tr>
        <w:trPr>
          <w:trHeight w:val="263"/>
        </w:trPr>
        <w:tc>
          <w:tcPr>
            <w:tcW w:w="8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Buyer</w:t>
            </w:r>
          </w:p>
        </w:tc>
        <w:tc>
          <w:tcPr>
            <w:tcW w:w="142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Seller</w:t>
            </w:r>
          </w:p>
        </w:tc>
        <w:tc>
          <w:tcPr>
            <w:tcW w:w="10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Lessor</w:t>
            </w:r>
          </w:p>
        </w:tc>
        <w:tc>
          <w:tcPr>
            <w:tcW w:w="10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Lessee</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 Scott Smith</w:t>
            </w:r>
          </w:p>
        </w:tc>
        <w:tc>
          <w:tcPr>
            <w:tcW w:w="1000" w:type="dxa"/>
            <w:vAlign w:val="bottom"/>
            <w:gridSpan w:val="2"/>
          </w:tcPr>
          <w:p>
            <w:pPr>
              <w:spacing w:after="0"/>
              <w:rPr>
                <w:sz w:val="22"/>
                <w:szCs w:val="22"/>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3/16/2020</w:t>
            </w:r>
          </w:p>
        </w:tc>
      </w:tr>
      <w:tr>
        <w:trPr>
          <w:trHeight w:val="223"/>
        </w:trPr>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6"/>
                <w:szCs w:val="16"/>
                <w:color w:val="auto"/>
              </w:rPr>
              <w:t>Scott Smith</w:t>
            </w:r>
          </w:p>
        </w:tc>
        <w:tc>
          <w:tcPr>
            <w:tcW w:w="2080" w:type="dxa"/>
            <w:vAlign w:val="bottom"/>
          </w:tcPr>
          <w:p>
            <w:pPr>
              <w:spacing w:after="0"/>
              <w:rPr>
                <w:sz w:val="19"/>
                <w:szCs w:val="19"/>
                <w:color w:val="auto"/>
              </w:rPr>
            </w:pPr>
          </w:p>
        </w:tc>
      </w:tr>
      <w:tr>
        <w:trPr>
          <w:trHeight w:val="553"/>
        </w:trPr>
        <w:tc>
          <w:tcPr>
            <w:tcW w:w="8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Buyer</w:t>
            </w:r>
          </w:p>
        </w:tc>
        <w:tc>
          <w:tcPr>
            <w:tcW w:w="142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Seller</w:t>
            </w:r>
          </w:p>
        </w:tc>
        <w:tc>
          <w:tcPr>
            <w:tcW w:w="10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Lessor</w:t>
            </w:r>
          </w:p>
        </w:tc>
        <w:tc>
          <w:tcPr>
            <w:tcW w:w="10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Lessee</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 Greg Smith</w:t>
            </w:r>
          </w:p>
        </w:tc>
        <w:tc>
          <w:tcPr>
            <w:tcW w:w="1000" w:type="dxa"/>
            <w:vAlign w:val="bottom"/>
            <w:gridSpan w:val="2"/>
          </w:tcPr>
          <w:p>
            <w:pPr>
              <w:spacing w:after="0"/>
              <w:rPr>
                <w:sz w:val="24"/>
                <w:szCs w:val="24"/>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3/17/2020</w:t>
            </w:r>
          </w:p>
        </w:tc>
      </w:tr>
      <w:tr>
        <w:trPr>
          <w:trHeight w:val="223"/>
        </w:trPr>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80" w:type="dxa"/>
            <w:vAlign w:val="bottom"/>
            <w:gridSpan w:val="3"/>
          </w:tcPr>
          <w:p>
            <w:pPr>
              <w:ind w:left="20"/>
              <w:spacing w:after="0"/>
              <w:rPr>
                <w:sz w:val="20"/>
                <w:szCs w:val="20"/>
                <w:color w:val="auto"/>
              </w:rPr>
            </w:pPr>
            <w:r>
              <w:rPr>
                <w:rFonts w:ascii="Arial" w:cs="Arial" w:eastAsia="Arial" w:hAnsi="Arial"/>
                <w:sz w:val="16"/>
                <w:szCs w:val="16"/>
                <w:color w:val="auto"/>
              </w:rPr>
              <w:t>Greg Smith</w:t>
            </w:r>
          </w:p>
        </w:tc>
        <w:tc>
          <w:tcPr>
            <w:tcW w:w="2080" w:type="dxa"/>
            <w:vAlign w:val="bottom"/>
          </w:tcPr>
          <w:p>
            <w:pPr>
              <w:spacing w:after="0"/>
              <w:rPr>
                <w:sz w:val="19"/>
                <w:szCs w:val="19"/>
                <w:color w:val="auto"/>
              </w:rPr>
            </w:pPr>
          </w:p>
        </w:tc>
      </w:tr>
      <w:tr>
        <w:trPr>
          <w:trHeight w:val="526"/>
        </w:trPr>
        <w:tc>
          <w:tcPr>
            <w:tcW w:w="7460" w:type="dxa"/>
            <w:vAlign w:val="bottom"/>
            <w:gridSpan w:val="7"/>
          </w:tcPr>
          <w:p>
            <w:pPr>
              <w:ind w:left="20"/>
              <w:spacing w:after="0"/>
              <w:rPr>
                <w:sz w:val="20"/>
                <w:szCs w:val="20"/>
                <w:color w:val="auto"/>
              </w:rPr>
            </w:pPr>
            <w:r>
              <w:rPr>
                <w:rFonts w:ascii="Arial" w:cs="Arial" w:eastAsia="Arial" w:hAnsi="Arial"/>
                <w:sz w:val="16"/>
                <w:szCs w:val="16"/>
                <w:color w:val="auto"/>
              </w:rPr>
              <w:t>Agent: Lee &amp; Associates Commercial Real Estate Services, Inc. - NSDC</w:t>
            </w:r>
          </w:p>
        </w:tc>
        <w:tc>
          <w:tcPr>
            <w:tcW w:w="2080" w:type="dxa"/>
            <w:vAlign w:val="bottom"/>
          </w:tcPr>
          <w:p>
            <w:pPr>
              <w:spacing w:after="0"/>
              <w:rPr>
                <w:sz w:val="20"/>
                <w:szCs w:val="20"/>
                <w:color w:val="auto"/>
              </w:rPr>
            </w:pPr>
            <w:r>
              <w:rPr>
                <w:rFonts w:ascii="Arial" w:cs="Arial" w:eastAsia="Arial" w:hAnsi="Arial"/>
                <w:sz w:val="16"/>
                <w:szCs w:val="16"/>
                <w:color w:val="auto"/>
              </w:rPr>
              <w:t>DRE Lic. #: 01096996</w:t>
            </w:r>
          </w:p>
        </w:tc>
      </w:tr>
      <w:tr>
        <w:trPr>
          <w:trHeight w:val="33"/>
        </w:trPr>
        <w:tc>
          <w:tcPr>
            <w:tcW w:w="2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Real Estate Broker (Firm)</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526"/>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By: Peter Merz &amp; Daniel Knoke</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gridSpan w:val="3"/>
          </w:tcPr>
          <w:p>
            <w:pPr>
              <w:ind w:left="20"/>
              <w:spacing w:after="0"/>
              <w:rPr>
                <w:sz w:val="20"/>
                <w:szCs w:val="20"/>
                <w:color w:val="auto"/>
              </w:rPr>
            </w:pPr>
            <w:r>
              <w:rPr>
                <w:rFonts w:ascii="Arial" w:cs="Arial" w:eastAsia="Arial" w:hAnsi="Arial"/>
                <w:sz w:val="16"/>
                <w:szCs w:val="16"/>
                <w:color w:val="auto"/>
              </w:rPr>
              <w:t>DRE Lic. #: 01269042 | 01215373</w:t>
            </w:r>
          </w:p>
        </w:tc>
        <w:tc>
          <w:tcPr>
            <w:tcW w:w="2080" w:type="dxa"/>
            <w:vAlign w:val="bottom"/>
          </w:tcPr>
          <w:p>
            <w:pPr>
              <w:spacing w:after="0"/>
              <w:rPr>
                <w:sz w:val="20"/>
                <w:szCs w:val="20"/>
                <w:color w:val="auto"/>
              </w:rPr>
            </w:pPr>
            <w:r>
              <w:rPr>
                <w:rFonts w:ascii="Arial" w:cs="Arial" w:eastAsia="Arial" w:hAnsi="Arial"/>
                <w:sz w:val="16"/>
                <w:szCs w:val="16"/>
                <w:color w:val="auto"/>
              </w:rPr>
              <w:t>Date:</w:t>
            </w:r>
          </w:p>
        </w:tc>
      </w:tr>
      <w:tr>
        <w:trPr>
          <w:trHeight w:val="33"/>
        </w:trPr>
        <w:tc>
          <w:tcPr>
            <w:tcW w:w="2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2300" w:type="dxa"/>
            <w:vAlign w:val="bottom"/>
            <w:gridSpan w:val="2"/>
          </w:tcPr>
          <w:p>
            <w:pPr>
              <w:ind w:left="20"/>
              <w:spacing w:after="0"/>
              <w:rPr>
                <w:sz w:val="20"/>
                <w:szCs w:val="20"/>
                <w:color w:val="auto"/>
              </w:rPr>
            </w:pPr>
            <w:r>
              <w:rPr>
                <w:rFonts w:ascii="Arial" w:cs="Arial" w:eastAsia="Arial" w:hAnsi="Arial"/>
                <w:sz w:val="16"/>
                <w:szCs w:val="16"/>
                <w:color w:val="auto"/>
                <w:w w:val="92"/>
              </w:rPr>
              <w:t>(Salesperson or Broker Associate)</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00"/>
          </w:cols>
          <w:pgMar w:left="320" w:top="1318" w:right="379" w:bottom="1440" w:gutter="0" w:footer="0" w:header="0"/>
        </w:sectPr>
      </w:pPr>
    </w:p>
    <w:p>
      <w:pPr>
        <w:spacing w:after="0" w:line="314" w:lineRule="exact"/>
        <w:rPr>
          <w:sz w:val="20"/>
          <w:szCs w:val="20"/>
          <w:color w:val="auto"/>
        </w:rPr>
      </w:pPr>
    </w:p>
    <w:p>
      <w:pPr>
        <w:ind w:left="120" w:right="1100"/>
        <w:spacing w:after="0" w:line="293" w:lineRule="auto"/>
        <w:rPr>
          <w:sz w:val="20"/>
          <w:szCs w:val="20"/>
          <w:color w:val="auto"/>
        </w:rPr>
      </w:pPr>
      <w:r>
        <w:rPr>
          <w:rFonts w:ascii="Arial" w:cs="Arial" w:eastAsia="Arial" w:hAnsi="Arial"/>
          <w:sz w:val="14"/>
          <w:szCs w:val="14"/>
          <w:color w:val="auto"/>
        </w:rPr>
        <w:t>THIS FORM HAS BEEN PREPARED BY AIR CRE. NO REPRESENTATION IS MADE AS TO THE LEGAL VALIDITY OR ADEQUACY OF THIS FORM FOR ANY SPECIFIC TRANSACTION. PLEASE SEEK LEGAL COUNSEL AS TO THE APPROPRIATENESS OF THIS FORM.</w:t>
      </w:r>
    </w:p>
    <w:p>
      <w:pPr>
        <w:sectPr>
          <w:pgSz w:w="11900" w:h="16838" w:orient="portrait"/>
          <w:cols w:equalWidth="0" w:num="1">
            <w:col w:w="11200"/>
          </w:cols>
          <w:pgMar w:left="320" w:top="1318" w:right="379" w:bottom="1440" w:gutter="0" w:footer="0" w:header="0"/>
          <w:type w:val="continuous"/>
        </w:sectPr>
      </w:pPr>
    </w:p>
    <w:bookmarkStart w:id="156" w:name="page157"/>
    <w:bookmarkEnd w:id="156"/>
    <w:p>
      <w:pPr>
        <w:ind w:left="1284"/>
        <w:spacing w:after="0"/>
        <w:rPr>
          <w:sz w:val="20"/>
          <w:szCs w:val="20"/>
          <w:color w:val="auto"/>
        </w:rPr>
      </w:pPr>
      <w:r>
        <w:rPr>
          <w:rFonts w:ascii="Arial" w:cs="Arial" w:eastAsia="Arial" w:hAnsi="Arial"/>
          <w:sz w:val="18"/>
          <w:szCs w:val="18"/>
          <w:b w:val="1"/>
          <w:bCs w:val="1"/>
          <w:color w:val="auto"/>
        </w:rPr>
        <w:t>DISCLOSURE REGARDING REAL ESTATE AGENCY RELATIONSHIP</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b w:val="1"/>
          <w:bCs w:val="1"/>
          <w:color w:val="auto"/>
        </w:rPr>
        <w:t>CIVIL CODE SECTIONS 2079.13 THROUGH 2079.24 (2079.16 APPEARS ON THE FRONT)</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2079.13</w:t>
      </w:r>
      <w:r>
        <w:rPr>
          <w:rFonts w:ascii="Arial" w:cs="Arial" w:eastAsia="Arial" w:hAnsi="Arial"/>
          <w:sz w:val="14"/>
          <w:szCs w:val="14"/>
          <w:color w:val="auto"/>
        </w:rPr>
        <w:t>. As used in Sections 2079.7 and 2079.14 to 2079.24, inclusive, the following terms have the following meanings:</w:t>
      </w:r>
    </w:p>
    <w:p>
      <w:pPr>
        <w:spacing w:after="0" w:line="32" w:lineRule="exact"/>
        <w:rPr>
          <w:sz w:val="20"/>
          <w:szCs w:val="20"/>
          <w:color w:val="auto"/>
        </w:rPr>
      </w:pPr>
    </w:p>
    <w:p>
      <w:pPr>
        <w:jc w:val="both"/>
        <w:ind w:left="4" w:hanging="4"/>
        <w:spacing w:after="0" w:line="282" w:lineRule="auto"/>
        <w:tabs>
          <w:tab w:leader="none" w:pos="208" w:val="left"/>
        </w:tabs>
        <w:numPr>
          <w:ilvl w:val="0"/>
          <w:numId w:val="125"/>
        </w:numPr>
        <w:rPr>
          <w:rFonts w:ascii="Arial" w:cs="Arial" w:eastAsia="Arial" w:hAnsi="Arial"/>
          <w:sz w:val="13"/>
          <w:szCs w:val="13"/>
          <w:b w:val="1"/>
          <w:bCs w:val="1"/>
          <w:color w:val="auto"/>
        </w:rPr>
      </w:pPr>
      <w:r>
        <w:rPr>
          <w:rFonts w:ascii="Arial" w:cs="Arial" w:eastAsia="Arial" w:hAnsi="Arial"/>
          <w:sz w:val="13"/>
          <w:szCs w:val="13"/>
          <w:color w:val="auto"/>
        </w:rPr>
        <w:t xml:space="preserve">“Agent” means a person acting under provisions of Title 9 (commencing with Section 2295) in a real property transaction, and includes a person who is licensed as a real estate broker under Chapter 3 (commencing with Section 10130) of Part 1 of Division 4 of the Business and Professions Code, and under whose license a listing is executed or an offer to purchase is obtained. The agent in the real property transaction bears responsibility for that agent’s salespersons or broker associates who perform as agents of the agent. When a salesperson or broker associate owes a duty to any principal, or to any buyer or seller who is not a principal, in a real property transaction, that duty is equivalent to the duty owed to that party by the broker for whom the salesperson or broker associate functions. </w:t>
      </w:r>
      <w:r>
        <w:rPr>
          <w:rFonts w:ascii="Arial" w:cs="Arial" w:eastAsia="Arial" w:hAnsi="Arial"/>
          <w:sz w:val="13"/>
          <w:szCs w:val="13"/>
          <w:b w:val="1"/>
          <w:bCs w:val="1"/>
          <w:color w:val="auto"/>
        </w:rPr>
        <w:t>(b)</w:t>
      </w:r>
      <w:r>
        <w:rPr>
          <w:rFonts w:ascii="Arial" w:cs="Arial" w:eastAsia="Arial" w:hAnsi="Arial"/>
          <w:sz w:val="13"/>
          <w:szCs w:val="13"/>
          <w:color w:val="auto"/>
        </w:rPr>
        <w:t xml:space="preserve"> “Buyer” means a transferee in a real property transaction, and includes a person who executes an offer to purchase real property from a seller through an agent, or who seeks the services of an agent in more than a casual, transitory, or preliminary manner, with the object of entering into a real property transaction. “Buyer” includes vendee or lessee of real property. </w:t>
      </w:r>
      <w:r>
        <w:rPr>
          <w:rFonts w:ascii="Arial" w:cs="Arial" w:eastAsia="Arial" w:hAnsi="Arial"/>
          <w:sz w:val="13"/>
          <w:szCs w:val="13"/>
          <w:b w:val="1"/>
          <w:bCs w:val="1"/>
          <w:color w:val="auto"/>
        </w:rPr>
        <w:t>(c)</w:t>
      </w:r>
      <w:r>
        <w:rPr>
          <w:rFonts w:ascii="Arial" w:cs="Arial" w:eastAsia="Arial" w:hAnsi="Arial"/>
          <w:sz w:val="13"/>
          <w:szCs w:val="13"/>
          <w:color w:val="auto"/>
        </w:rPr>
        <w:t xml:space="preserve"> “Commercial real property” means all real property in the state, except (1) single-family residential real property, (2) dwelling units made subject to Chapter 2 (commencing with Section 1940) of Title 5, (3) a mobilehome, as defined in Section 798.3, (4) vacant land, or (5) a recreational vehicle, as defined in Section 799.29. </w:t>
      </w:r>
      <w:r>
        <w:rPr>
          <w:rFonts w:ascii="Arial" w:cs="Arial" w:eastAsia="Arial" w:hAnsi="Arial"/>
          <w:sz w:val="13"/>
          <w:szCs w:val="13"/>
          <w:b w:val="1"/>
          <w:bCs w:val="1"/>
          <w:color w:val="auto"/>
        </w:rPr>
        <w:t>(d)</w:t>
      </w:r>
      <w:r>
        <w:rPr>
          <w:rFonts w:ascii="Arial" w:cs="Arial" w:eastAsia="Arial" w:hAnsi="Arial"/>
          <w:sz w:val="13"/>
          <w:szCs w:val="13"/>
          <w:color w:val="auto"/>
        </w:rPr>
        <w:t xml:space="preserve"> “Dual agent” means an agent acting, either directly or through a salesperson or broker associate, as agent for both the seller and the buyer in a real property transaction. </w:t>
      </w:r>
      <w:r>
        <w:rPr>
          <w:rFonts w:ascii="Arial" w:cs="Arial" w:eastAsia="Arial" w:hAnsi="Arial"/>
          <w:sz w:val="13"/>
          <w:szCs w:val="13"/>
          <w:b w:val="1"/>
          <w:bCs w:val="1"/>
          <w:color w:val="auto"/>
        </w:rPr>
        <w:t>(e)</w:t>
      </w:r>
      <w:r>
        <w:rPr>
          <w:rFonts w:ascii="Arial" w:cs="Arial" w:eastAsia="Arial" w:hAnsi="Arial"/>
          <w:sz w:val="13"/>
          <w:szCs w:val="13"/>
          <w:color w:val="auto"/>
        </w:rPr>
        <w:t xml:space="preserve"> “Listing agreement” means a written contract between a seller of real property and an agent, by which the agent has been authorized to sell the real property or to find or obtain a buyer, including rendering other services for which a real estate license is required to the seller pursuant to the terms of the agreement. </w:t>
      </w:r>
      <w:r>
        <w:rPr>
          <w:rFonts w:ascii="Arial" w:cs="Arial" w:eastAsia="Arial" w:hAnsi="Arial"/>
          <w:sz w:val="13"/>
          <w:szCs w:val="13"/>
          <w:b w:val="1"/>
          <w:bCs w:val="1"/>
          <w:color w:val="auto"/>
        </w:rPr>
        <w:t>(f)</w:t>
      </w:r>
      <w:r>
        <w:rPr>
          <w:rFonts w:ascii="Arial" w:cs="Arial" w:eastAsia="Arial" w:hAnsi="Arial"/>
          <w:sz w:val="13"/>
          <w:szCs w:val="13"/>
          <w:color w:val="auto"/>
        </w:rPr>
        <w:t xml:space="preserve"> “Seller’s agent” means a person who has obtained a listing of real property to act as an agent for compensation. </w:t>
      </w:r>
      <w:r>
        <w:rPr>
          <w:rFonts w:ascii="Arial" w:cs="Arial" w:eastAsia="Arial" w:hAnsi="Arial"/>
          <w:sz w:val="13"/>
          <w:szCs w:val="13"/>
          <w:b w:val="1"/>
          <w:bCs w:val="1"/>
          <w:color w:val="auto"/>
        </w:rPr>
        <w:t>(g)</w:t>
      </w:r>
      <w:r>
        <w:rPr>
          <w:rFonts w:ascii="Arial" w:cs="Arial" w:eastAsia="Arial" w:hAnsi="Arial"/>
          <w:sz w:val="13"/>
          <w:szCs w:val="13"/>
          <w:color w:val="auto"/>
        </w:rPr>
        <w:t xml:space="preserve"> “Listing price” is the amount expressed in dollars specified in the listing for which the seller is willing to sell the real property through the seller’s agent. </w:t>
      </w:r>
      <w:r>
        <w:rPr>
          <w:rFonts w:ascii="Arial" w:cs="Arial" w:eastAsia="Arial" w:hAnsi="Arial"/>
          <w:sz w:val="13"/>
          <w:szCs w:val="13"/>
          <w:b w:val="1"/>
          <w:bCs w:val="1"/>
          <w:color w:val="auto"/>
        </w:rPr>
        <w:t>(h)</w:t>
      </w:r>
      <w:r>
        <w:rPr>
          <w:rFonts w:ascii="Arial" w:cs="Arial" w:eastAsia="Arial" w:hAnsi="Arial"/>
          <w:sz w:val="13"/>
          <w:szCs w:val="13"/>
          <w:color w:val="auto"/>
        </w:rPr>
        <w:t xml:space="preserve"> “Offering price” is the amount expressed in dollars specified in an offer to purchase for which the buyer is willing to buy the real property. </w:t>
      </w:r>
      <w:r>
        <w:rPr>
          <w:rFonts w:ascii="Arial" w:cs="Arial" w:eastAsia="Arial" w:hAnsi="Arial"/>
          <w:sz w:val="13"/>
          <w:szCs w:val="13"/>
          <w:b w:val="1"/>
          <w:bCs w:val="1"/>
          <w:color w:val="auto"/>
        </w:rPr>
        <w:t>(i)</w:t>
      </w:r>
      <w:r>
        <w:rPr>
          <w:rFonts w:ascii="Arial" w:cs="Arial" w:eastAsia="Arial" w:hAnsi="Arial"/>
          <w:sz w:val="13"/>
          <w:szCs w:val="13"/>
          <w:color w:val="auto"/>
        </w:rPr>
        <w:t xml:space="preserve"> “Offer to purchase” means a written contract executed by a buyer acting through a buyer’s agent that becomes the contract for the sale of the real property upon acceptance by the seller. </w:t>
      </w:r>
      <w:r>
        <w:rPr>
          <w:rFonts w:ascii="Arial" w:cs="Arial" w:eastAsia="Arial" w:hAnsi="Arial"/>
          <w:sz w:val="13"/>
          <w:szCs w:val="13"/>
          <w:b w:val="1"/>
          <w:bCs w:val="1"/>
          <w:color w:val="auto"/>
        </w:rPr>
        <w:t>(j)</w:t>
      </w:r>
      <w:r>
        <w:rPr>
          <w:rFonts w:ascii="Arial" w:cs="Arial" w:eastAsia="Arial" w:hAnsi="Arial"/>
          <w:sz w:val="13"/>
          <w:szCs w:val="13"/>
          <w:color w:val="auto"/>
        </w:rPr>
        <w:t xml:space="preserve"> “Real property” means any estate specified by subdivision (1) or (2) of Section 761 in property, and includes (1) single-family residential property, (2) multiunit residential property with more than four dwelling units, (3) commercial real property, (4) vacant land, (5) a ground lease coupled with improvements, or (6) a manufactured home as defined in Section 18007 of the Health and Safety Code, or a mobilehome as defined in Section 18008 of the Health and Safety Code, when offered for sale or sold through an agent pursuant to the authority contained in Section 10131.6 of the Business and Professions Code.</w:t>
      </w:r>
    </w:p>
    <w:p>
      <w:pPr>
        <w:spacing w:after="0" w:line="4" w:lineRule="exact"/>
        <w:rPr>
          <w:rFonts w:ascii="Arial" w:cs="Arial" w:eastAsia="Arial" w:hAnsi="Arial"/>
          <w:sz w:val="13"/>
          <w:szCs w:val="13"/>
          <w:b w:val="1"/>
          <w:bCs w:val="1"/>
          <w:color w:val="auto"/>
        </w:rPr>
      </w:pPr>
    </w:p>
    <w:p>
      <w:pPr>
        <w:jc w:val="both"/>
        <w:ind w:left="4" w:hanging="4"/>
        <w:spacing w:after="0" w:line="265" w:lineRule="auto"/>
        <w:tabs>
          <w:tab w:leader="none" w:pos="216" w:val="left"/>
        </w:tabs>
        <w:numPr>
          <w:ilvl w:val="0"/>
          <w:numId w:val="126"/>
        </w:numPr>
        <w:rPr>
          <w:rFonts w:ascii="Arial" w:cs="Arial" w:eastAsia="Arial" w:hAnsi="Arial"/>
          <w:sz w:val="14"/>
          <w:szCs w:val="14"/>
          <w:b w:val="1"/>
          <w:bCs w:val="1"/>
          <w:color w:val="auto"/>
        </w:rPr>
      </w:pPr>
      <w:r>
        <w:rPr>
          <w:rFonts w:ascii="Arial" w:cs="Arial" w:eastAsia="Arial" w:hAnsi="Arial"/>
          <w:sz w:val="14"/>
          <w:szCs w:val="14"/>
          <w:color w:val="auto"/>
        </w:rPr>
        <w:t xml:space="preserve">“Real property transaction” means a transaction for the sale of real property in which an agent is retained by a buyer, seller, or both a buyer and seller to act in that transaction, and includes a listing or an offer to purchase. </w:t>
      </w:r>
      <w:r>
        <w:rPr>
          <w:rFonts w:ascii="Arial" w:cs="Arial" w:eastAsia="Arial" w:hAnsi="Arial"/>
          <w:sz w:val="14"/>
          <w:szCs w:val="14"/>
          <w:b w:val="1"/>
          <w:bCs w:val="1"/>
          <w:color w:val="auto"/>
        </w:rPr>
        <w:t>(l)</w:t>
      </w:r>
      <w:r>
        <w:rPr>
          <w:rFonts w:ascii="Arial" w:cs="Arial" w:eastAsia="Arial" w:hAnsi="Arial"/>
          <w:sz w:val="14"/>
          <w:szCs w:val="14"/>
          <w:color w:val="auto"/>
        </w:rPr>
        <w:t xml:space="preserve"> “Sell,” “sale,” or “sold” refers to a transaction for the transfer of real property from the seller to the buyer and includes exchanges of real property between the seller and buyer, transactions for the creation of a real property sales contract within the meaning of Section 2985, and transactions for the creation of a leasehold exceeding one year’s duration. </w:t>
      </w:r>
      <w:r>
        <w:rPr>
          <w:rFonts w:ascii="Arial" w:cs="Arial" w:eastAsia="Arial" w:hAnsi="Arial"/>
          <w:sz w:val="14"/>
          <w:szCs w:val="14"/>
          <w:b w:val="1"/>
          <w:bCs w:val="1"/>
          <w:color w:val="auto"/>
        </w:rPr>
        <w:t>(m)</w:t>
      </w:r>
      <w:r>
        <w:rPr>
          <w:rFonts w:ascii="Arial" w:cs="Arial" w:eastAsia="Arial" w:hAnsi="Arial"/>
          <w:sz w:val="14"/>
          <w:szCs w:val="14"/>
          <w:color w:val="auto"/>
        </w:rPr>
        <w:t xml:space="preserve"> “Seller” means the transferor in a real property transaction and includes an owner who lists real property with an agent, whether or not a transfer results, or who receives an offer to purchase real property of which he or she is the owner from an agent on behalf of another. “Seller” includes both a vendor and a lessor of real property. </w:t>
      </w:r>
      <w:r>
        <w:rPr>
          <w:rFonts w:ascii="Arial" w:cs="Arial" w:eastAsia="Arial" w:hAnsi="Arial"/>
          <w:sz w:val="14"/>
          <w:szCs w:val="14"/>
          <w:b w:val="1"/>
          <w:bCs w:val="1"/>
          <w:color w:val="auto"/>
        </w:rPr>
        <w:t>(n)</w:t>
      </w:r>
      <w:r>
        <w:rPr>
          <w:rFonts w:ascii="Arial" w:cs="Arial" w:eastAsia="Arial" w:hAnsi="Arial"/>
          <w:sz w:val="14"/>
          <w:szCs w:val="14"/>
          <w:color w:val="auto"/>
        </w:rPr>
        <w:t xml:space="preserve"> “Buyer’s agent” means an agent who represents a buyer in a real property transaction.</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2079.14</w:t>
      </w:r>
      <w:r>
        <w:rPr>
          <w:rFonts w:ascii="Arial" w:cs="Arial" w:eastAsia="Arial" w:hAnsi="Arial"/>
          <w:sz w:val="14"/>
          <w:szCs w:val="14"/>
          <w:color w:val="auto"/>
        </w:rPr>
        <w:t>. A seller’s agent and buyer’s agent shall provide the seller and buyer in a real property transaction with a copy of the disclosure form specified in Section</w:t>
      </w:r>
    </w:p>
    <w:p>
      <w:pPr>
        <w:spacing w:after="0" w:line="25" w:lineRule="exact"/>
        <w:rPr>
          <w:sz w:val="20"/>
          <w:szCs w:val="20"/>
          <w:color w:val="auto"/>
        </w:rPr>
      </w:pPr>
    </w:p>
    <w:p>
      <w:pPr>
        <w:jc w:val="both"/>
        <w:ind w:left="4" w:right="20"/>
        <w:spacing w:after="0" w:line="268" w:lineRule="auto"/>
        <w:rPr>
          <w:sz w:val="20"/>
          <w:szCs w:val="20"/>
          <w:color w:val="auto"/>
        </w:rPr>
      </w:pPr>
      <w:r>
        <w:rPr>
          <w:rFonts w:ascii="Arial" w:cs="Arial" w:eastAsia="Arial" w:hAnsi="Arial"/>
          <w:sz w:val="14"/>
          <w:szCs w:val="14"/>
          <w:color w:val="auto"/>
        </w:rPr>
        <w:t xml:space="preserve">2079.16, and shall obtain a signed acknowledgment of receipt from that seller and buyer, except as provided in Section 2079.15, as follows: </w:t>
      </w:r>
      <w:r>
        <w:rPr>
          <w:rFonts w:ascii="Arial" w:cs="Arial" w:eastAsia="Arial" w:hAnsi="Arial"/>
          <w:sz w:val="14"/>
          <w:szCs w:val="14"/>
          <w:b w:val="1"/>
          <w:bCs w:val="1"/>
          <w:color w:val="auto"/>
        </w:rPr>
        <w:t>(a)</w:t>
      </w:r>
      <w:r>
        <w:rPr>
          <w:rFonts w:ascii="Arial" w:cs="Arial" w:eastAsia="Arial" w:hAnsi="Arial"/>
          <w:sz w:val="14"/>
          <w:szCs w:val="14"/>
          <w:color w:val="auto"/>
        </w:rPr>
        <w:t xml:space="preserve"> The seller’s agent, if any, shall provide the disclosure form to the seller prior to entering into the listing agreement. </w:t>
      </w:r>
      <w:r>
        <w:rPr>
          <w:rFonts w:ascii="Arial" w:cs="Arial" w:eastAsia="Arial" w:hAnsi="Arial"/>
          <w:sz w:val="14"/>
          <w:szCs w:val="14"/>
          <w:b w:val="1"/>
          <w:bCs w:val="1"/>
          <w:color w:val="auto"/>
        </w:rPr>
        <w:t>(b)</w:t>
      </w:r>
      <w:r>
        <w:rPr>
          <w:rFonts w:ascii="Arial" w:cs="Arial" w:eastAsia="Arial" w:hAnsi="Arial"/>
          <w:sz w:val="14"/>
          <w:szCs w:val="14"/>
          <w:color w:val="auto"/>
        </w:rPr>
        <w:t xml:space="preserve"> The buyer’s agent shall provide the disclosure form to the buyer as soon as practicable prior to execution of the buyer’s offer to purchase. If the offer to purchase is not prepared by the buyer’s agent, the buyer’s agent shall present the disclosure form to the buyer not later than the next business day after receiving the offer to purchase from the buyer.</w:t>
      </w:r>
    </w:p>
    <w:p>
      <w:pPr>
        <w:spacing w:after="0" w:line="40" w:lineRule="exact"/>
        <w:rPr>
          <w:sz w:val="20"/>
          <w:szCs w:val="20"/>
          <w:color w:val="auto"/>
        </w:rPr>
      </w:pPr>
    </w:p>
    <w:p>
      <w:pPr>
        <w:ind w:left="4" w:right="620"/>
        <w:spacing w:after="0" w:line="299" w:lineRule="auto"/>
        <w:rPr>
          <w:sz w:val="20"/>
          <w:szCs w:val="20"/>
          <w:color w:val="auto"/>
        </w:rPr>
      </w:pPr>
      <w:r>
        <w:rPr>
          <w:rFonts w:ascii="Arial" w:cs="Arial" w:eastAsia="Arial" w:hAnsi="Arial"/>
          <w:sz w:val="14"/>
          <w:szCs w:val="14"/>
          <w:b w:val="1"/>
          <w:bCs w:val="1"/>
          <w:color w:val="auto"/>
        </w:rPr>
        <w:t xml:space="preserve">2079.15. </w:t>
      </w:r>
      <w:r>
        <w:rPr>
          <w:rFonts w:ascii="Arial" w:cs="Arial" w:eastAsia="Arial" w:hAnsi="Arial"/>
          <w:sz w:val="14"/>
          <w:szCs w:val="14"/>
          <w:color w:val="auto"/>
        </w:rPr>
        <w:t>In any circumstance in which the seller or buyer refuses to sign an acknowledgment of receipt pursuant to Section 2079.14, the agent shall set forth, sign, and date a written</w:t>
      </w:r>
      <w:r>
        <w:rPr>
          <w:rFonts w:ascii="Arial" w:cs="Arial" w:eastAsia="Arial" w:hAnsi="Arial"/>
          <w:sz w:val="14"/>
          <w:szCs w:val="14"/>
          <w:b w:val="1"/>
          <w:bCs w:val="1"/>
          <w:color w:val="auto"/>
        </w:rPr>
        <w:t xml:space="preserve"> </w:t>
      </w:r>
      <w:r>
        <w:rPr>
          <w:rFonts w:ascii="Arial" w:cs="Arial" w:eastAsia="Arial" w:hAnsi="Arial"/>
          <w:sz w:val="14"/>
          <w:szCs w:val="14"/>
          <w:color w:val="auto"/>
        </w:rPr>
        <w:t>declaration of the facts of the refusal.</w:t>
      </w:r>
    </w:p>
    <w:p>
      <w:pPr>
        <w:spacing w:after="0" w:line="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2079.16 </w:t>
      </w:r>
      <w:r>
        <w:rPr>
          <w:rFonts w:ascii="Arial" w:cs="Arial" w:eastAsia="Arial" w:hAnsi="Arial"/>
          <w:sz w:val="14"/>
          <w:szCs w:val="14"/>
          <w:color w:val="auto"/>
        </w:rPr>
        <w:t>Reproduced on Page 1 of this AD form.</w:t>
      </w:r>
    </w:p>
    <w:p>
      <w:pPr>
        <w:spacing w:after="0" w:line="96" w:lineRule="exact"/>
        <w:rPr>
          <w:sz w:val="20"/>
          <w:szCs w:val="20"/>
          <w:color w:val="auto"/>
        </w:rPr>
      </w:pPr>
    </w:p>
    <w:p>
      <w:pPr>
        <w:jc w:val="both"/>
        <w:ind w:left="4"/>
        <w:spacing w:after="0" w:line="262" w:lineRule="auto"/>
        <w:rPr>
          <w:sz w:val="20"/>
          <w:szCs w:val="20"/>
          <w:color w:val="auto"/>
        </w:rPr>
      </w:pPr>
      <w:r>
        <w:rPr>
          <w:rFonts w:ascii="Arial" w:cs="Arial" w:eastAsia="Arial" w:hAnsi="Arial"/>
          <w:sz w:val="14"/>
          <w:szCs w:val="14"/>
          <w:b w:val="1"/>
          <w:bCs w:val="1"/>
          <w:color w:val="auto"/>
        </w:rPr>
        <w:t xml:space="preserve">2079.17(a) </w:t>
      </w:r>
      <w:r>
        <w:rPr>
          <w:rFonts w:ascii="Arial" w:cs="Arial" w:eastAsia="Arial" w:hAnsi="Arial"/>
          <w:sz w:val="14"/>
          <w:szCs w:val="14"/>
          <w:color w:val="auto"/>
        </w:rPr>
        <w:t>As soon as practicable, the buyer’s agent shall disclose to the buyer and seller whether the agent is acting in the real property transaction as the buyer’s agent, or as a dual agent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representing both the buyer and the seller. This relationship shall be confirmed in the contract to purchase and sell real property or in a separate writing executed or acknowledged by the seller, the buyer, and the buyer’s agent prior to or coincident with execution of that contract by the buyer and the seller, respectively. </w:t>
      </w:r>
      <w:r>
        <w:rPr>
          <w:rFonts w:ascii="Arial" w:cs="Arial" w:eastAsia="Arial" w:hAnsi="Arial"/>
          <w:sz w:val="14"/>
          <w:szCs w:val="14"/>
          <w:b w:val="1"/>
          <w:bCs w:val="1"/>
          <w:color w:val="auto"/>
        </w:rPr>
        <w:t>(b)</w:t>
      </w:r>
      <w:r>
        <w:rPr>
          <w:rFonts w:ascii="Arial" w:cs="Arial" w:eastAsia="Arial" w:hAnsi="Arial"/>
          <w:sz w:val="14"/>
          <w:szCs w:val="14"/>
          <w:color w:val="auto"/>
        </w:rPr>
        <w:t xml:space="preserve"> As soon as practicable, the seller’s agent shall disclose to the seller whether the seller’s agent is acting in the real property transaction as the seller’s agent, or as a dual agent representing both the buyer and seller. This relationship shall be confirmed in the contract to purchase and sell real property or in a separate writing executed or acknowledged by the seller and the seller’s agent prior to or coincident with the execution of that contract by the seller.</w:t>
      </w:r>
    </w:p>
    <w:p>
      <w:pPr>
        <w:spacing w:after="0" w:line="1" w:lineRule="exact"/>
        <w:rPr>
          <w:sz w:val="20"/>
          <w:szCs w:val="20"/>
          <w:color w:val="auto"/>
        </w:rPr>
      </w:pPr>
    </w:p>
    <w:p>
      <w:pPr>
        <w:ind w:left="324" w:right="5620" w:hanging="324"/>
        <w:spacing w:after="0" w:line="299" w:lineRule="auto"/>
        <w:tabs>
          <w:tab w:leader="none" w:pos="236" w:val="left"/>
        </w:tabs>
        <w:numPr>
          <w:ilvl w:val="0"/>
          <w:numId w:val="127"/>
        </w:numPr>
        <w:rPr>
          <w:rFonts w:ascii="Arial" w:cs="Arial" w:eastAsia="Arial" w:hAnsi="Arial"/>
          <w:sz w:val="13"/>
          <w:szCs w:val="13"/>
          <w:b w:val="1"/>
          <w:bCs w:val="1"/>
          <w:color w:val="auto"/>
        </w:rPr>
      </w:pPr>
      <w:r>
        <w:rPr>
          <w:rFonts w:ascii="Arial" w:cs="Arial" w:eastAsia="Arial" w:hAnsi="Arial"/>
          <w:sz w:val="13"/>
          <w:szCs w:val="13"/>
          <w:color w:val="auto"/>
        </w:rPr>
        <w:t xml:space="preserve">CONFIRMATION: The following agency relationships are confirmed for this transaction. Seller’s Brokerage Firm </w:t>
      </w:r>
      <w:r>
        <w:rPr>
          <w:rFonts w:ascii="Arial" w:cs="Arial" w:eastAsia="Arial" w:hAnsi="Arial"/>
          <w:sz w:val="13"/>
          <w:szCs w:val="13"/>
          <w:u w:val="single" w:color="auto"/>
          <w:color w:val="auto"/>
        </w:rPr>
        <w:t>DO NOT COMPLETE, SAMPLE ONLY</w:t>
      </w:r>
      <w:r>
        <w:rPr>
          <w:rFonts w:ascii="Arial" w:cs="Arial" w:eastAsia="Arial" w:hAnsi="Arial"/>
          <w:sz w:val="13"/>
          <w:szCs w:val="13"/>
          <w:color w:val="auto"/>
        </w:rPr>
        <w:t xml:space="preserve"> License Number</w:t>
      </w:r>
    </w:p>
    <w:p>
      <w:pPr>
        <w:ind w:left="324" w:right="5780"/>
        <w:spacing w:after="0" w:line="202" w:lineRule="exact"/>
        <w:rPr>
          <w:rFonts w:ascii="Arial" w:cs="Arial" w:eastAsia="Arial" w:hAnsi="Arial"/>
          <w:sz w:val="13"/>
          <w:szCs w:val="13"/>
          <w:b w:val="1"/>
          <w:bCs w:val="1"/>
          <w:color w:val="auto"/>
        </w:rPr>
      </w:pPr>
      <w:r>
        <w:rPr>
          <w:rFonts w:ascii="Arial" w:cs="Arial" w:eastAsia="Arial" w:hAnsi="Arial"/>
          <w:sz w:val="14"/>
          <w:szCs w:val="14"/>
          <w:color w:val="auto"/>
        </w:rPr>
        <w:t xml:space="preserve">Is the broker of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seller;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buyer and seller. (dual agent) Seller’s Agent </w:t>
      </w:r>
      <w:r>
        <w:rPr>
          <w:rFonts w:ascii="Arial" w:cs="Arial" w:eastAsia="Arial" w:hAnsi="Arial"/>
          <w:sz w:val="14"/>
          <w:szCs w:val="14"/>
          <w:u w:val="single" w:color="auto"/>
          <w:color w:val="auto"/>
        </w:rPr>
        <w:t>DO NOT COMPLETE, SAMPLE ONLY</w:t>
      </w:r>
      <w:r>
        <w:rPr>
          <w:rFonts w:ascii="Arial" w:cs="Arial" w:eastAsia="Arial" w:hAnsi="Arial"/>
          <w:sz w:val="14"/>
          <w:szCs w:val="14"/>
          <w:color w:val="auto"/>
        </w:rPr>
        <w:t xml:space="preserve"> License Number</w:t>
      </w:r>
    </w:p>
    <w:p>
      <w:pPr>
        <w:spacing w:after="0" w:line="21" w:lineRule="exact"/>
        <w:rPr>
          <w:rFonts w:ascii="Arial" w:cs="Arial" w:eastAsia="Arial" w:hAnsi="Arial"/>
          <w:sz w:val="13"/>
          <w:szCs w:val="13"/>
          <w:b w:val="1"/>
          <w:bCs w:val="1"/>
          <w:color w:val="auto"/>
        </w:rPr>
      </w:pPr>
    </w:p>
    <w:p>
      <w:pPr>
        <w:ind w:left="324" w:right="820"/>
        <w:spacing w:after="0" w:line="206" w:lineRule="exact"/>
        <w:rPr>
          <w:rFonts w:ascii="Arial" w:cs="Arial" w:eastAsia="Arial" w:hAnsi="Arial"/>
          <w:sz w:val="13"/>
          <w:szCs w:val="13"/>
          <w:b w:val="1"/>
          <w:bCs w:val="1"/>
          <w:color w:val="auto"/>
        </w:rPr>
      </w:pPr>
      <w:r>
        <w:rPr>
          <w:rFonts w:ascii="Arial" w:cs="Arial" w:eastAsia="Arial" w:hAnsi="Arial"/>
          <w:sz w:val="14"/>
          <w:szCs w:val="14"/>
          <w:color w:val="auto"/>
        </w:rPr>
        <w:t xml:space="preserve">Is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Seller’s Agent. (salesperson or broker associate);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Buyer’s Agent and the Seller’s Agent. (dual agent) Buyer’s Brokerage Firm </w:t>
      </w:r>
      <w:r>
        <w:rPr>
          <w:rFonts w:ascii="Arial" w:cs="Arial" w:eastAsia="Arial" w:hAnsi="Arial"/>
          <w:sz w:val="14"/>
          <w:szCs w:val="14"/>
          <w:u w:val="single" w:color="auto"/>
          <w:color w:val="auto"/>
        </w:rPr>
        <w:t>DO NOT</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COMPLETE, SAMPLE ONLY</w:t>
      </w:r>
      <w:r>
        <w:rPr>
          <w:rFonts w:ascii="Arial" w:cs="Arial" w:eastAsia="Arial" w:hAnsi="Arial"/>
          <w:sz w:val="14"/>
          <w:szCs w:val="14"/>
          <w:color w:val="auto"/>
        </w:rPr>
        <w:t xml:space="preserve"> License Number</w:t>
      </w:r>
    </w:p>
    <w:p>
      <w:pPr>
        <w:ind w:left="324" w:right="5760"/>
        <w:spacing w:after="0" w:line="189" w:lineRule="exact"/>
        <w:rPr>
          <w:rFonts w:ascii="Arial" w:cs="Arial" w:eastAsia="Arial" w:hAnsi="Arial"/>
          <w:sz w:val="13"/>
          <w:szCs w:val="13"/>
          <w:b w:val="1"/>
          <w:bCs w:val="1"/>
          <w:color w:val="auto"/>
        </w:rPr>
      </w:pPr>
      <w:r>
        <w:rPr>
          <w:rFonts w:ascii="Arial" w:cs="Arial" w:eastAsia="Arial" w:hAnsi="Arial"/>
          <w:sz w:val="14"/>
          <w:szCs w:val="14"/>
          <w:color w:val="auto"/>
        </w:rPr>
        <w:t xml:space="preserve">Is the broker of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buyer;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buyer and seller. (dual agent) Buyer’s Agent </w:t>
      </w:r>
      <w:r>
        <w:rPr>
          <w:rFonts w:ascii="Arial" w:cs="Arial" w:eastAsia="Arial" w:hAnsi="Arial"/>
          <w:sz w:val="14"/>
          <w:szCs w:val="14"/>
          <w:u w:val="single" w:color="auto"/>
          <w:color w:val="auto"/>
        </w:rPr>
        <w:t>DO NOT COMPLETE, SAMPLE ONLY</w:t>
      </w:r>
      <w:r>
        <w:rPr>
          <w:rFonts w:ascii="Arial" w:cs="Arial" w:eastAsia="Arial" w:hAnsi="Arial"/>
          <w:sz w:val="14"/>
          <w:szCs w:val="14"/>
          <w:color w:val="auto"/>
        </w:rPr>
        <w:t xml:space="preserve"> License Number</w:t>
      </w:r>
    </w:p>
    <w:p>
      <w:pPr>
        <w:spacing w:after="0" w:line="1" w:lineRule="exact"/>
        <w:rPr>
          <w:rFonts w:ascii="Arial" w:cs="Arial" w:eastAsia="Arial" w:hAnsi="Arial"/>
          <w:sz w:val="13"/>
          <w:szCs w:val="13"/>
          <w:b w:val="1"/>
          <w:bCs w:val="1"/>
          <w:color w:val="auto"/>
        </w:rPr>
      </w:pPr>
    </w:p>
    <w:p>
      <w:pPr>
        <w:ind w:left="324"/>
        <w:spacing w:after="0" w:line="161" w:lineRule="exact"/>
        <w:rPr>
          <w:rFonts w:ascii="Arial" w:cs="Arial" w:eastAsia="Arial" w:hAnsi="Arial"/>
          <w:sz w:val="13"/>
          <w:szCs w:val="13"/>
          <w:b w:val="1"/>
          <w:bCs w:val="1"/>
          <w:color w:val="auto"/>
        </w:rPr>
      </w:pPr>
      <w:r>
        <w:rPr>
          <w:rFonts w:ascii="Arial" w:cs="Arial" w:eastAsia="Arial" w:hAnsi="Arial"/>
          <w:sz w:val="14"/>
          <w:szCs w:val="14"/>
          <w:color w:val="auto"/>
        </w:rPr>
        <w:t xml:space="preserve">Is (check one): </w:t>
      </w:r>
      <w:r>
        <w:rPr>
          <w:rFonts w:ascii="MS PGothic" w:cs="MS PGothic" w:eastAsia="MS PGothic" w:hAnsi="MS PGothic"/>
          <w:sz w:val="14"/>
          <w:szCs w:val="14"/>
          <w:color w:val="auto"/>
        </w:rPr>
        <w:t>☐</w:t>
      </w:r>
      <w:r>
        <w:rPr>
          <w:rFonts w:ascii="Arial" w:cs="Arial" w:eastAsia="Arial" w:hAnsi="Arial"/>
          <w:sz w:val="14"/>
          <w:szCs w:val="14"/>
          <w:color w:val="auto"/>
        </w:rPr>
        <w:t xml:space="preserve"> the Buyer’s Agent. (salesperson or broker associate); or </w:t>
      </w:r>
      <w:r>
        <w:rPr>
          <w:rFonts w:ascii="MS PGothic" w:cs="MS PGothic" w:eastAsia="MS PGothic" w:hAnsi="MS PGothic"/>
          <w:sz w:val="14"/>
          <w:szCs w:val="14"/>
          <w:color w:val="auto"/>
        </w:rPr>
        <w:t>☐</w:t>
      </w:r>
      <w:r>
        <w:rPr>
          <w:rFonts w:ascii="Arial" w:cs="Arial" w:eastAsia="Arial" w:hAnsi="Arial"/>
          <w:sz w:val="14"/>
          <w:szCs w:val="14"/>
          <w:color w:val="auto"/>
        </w:rPr>
        <w:t xml:space="preserve"> both the Buyer’s Agent and the Seller’s Agent. (dual agent)</w:t>
      </w:r>
    </w:p>
    <w:p>
      <w:pPr>
        <w:spacing w:after="0" w:line="278" w:lineRule="exact"/>
        <w:rPr>
          <w:sz w:val="20"/>
          <w:szCs w:val="20"/>
          <w:color w:val="auto"/>
        </w:rPr>
      </w:pPr>
    </w:p>
    <w:p>
      <w:pPr>
        <w:ind w:left="4" w:right="340" w:hanging="4"/>
        <w:spacing w:after="0" w:line="293" w:lineRule="auto"/>
        <w:tabs>
          <w:tab w:leader="none" w:pos="216" w:val="left"/>
        </w:tabs>
        <w:numPr>
          <w:ilvl w:val="0"/>
          <w:numId w:val="128"/>
        </w:numPr>
        <w:rPr>
          <w:rFonts w:ascii="Arial" w:cs="Arial" w:eastAsia="Arial" w:hAnsi="Arial"/>
          <w:sz w:val="14"/>
          <w:szCs w:val="14"/>
          <w:b w:val="1"/>
          <w:bCs w:val="1"/>
          <w:color w:val="auto"/>
        </w:rPr>
      </w:pPr>
      <w:r>
        <w:rPr>
          <w:rFonts w:ascii="Arial" w:cs="Arial" w:eastAsia="Arial" w:hAnsi="Arial"/>
          <w:sz w:val="14"/>
          <w:szCs w:val="14"/>
          <w:color w:val="auto"/>
        </w:rPr>
        <w:t>The disclosures and confirmation required by this section shall be in addition to the disclosure required by Section 2079.14. An agent’s duty to provide disclosure and confirmation of representation in this section may be performed by a real estate salesperson or broker associate affiliated with that broker.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 xml:space="preserve">2079.18 </w:t>
      </w:r>
      <w:r>
        <w:rPr>
          <w:rFonts w:ascii="Arial" w:cs="Arial" w:eastAsia="Arial" w:hAnsi="Arial"/>
          <w:sz w:val="14"/>
          <w:szCs w:val="14"/>
          <w:color w:val="auto"/>
        </w:rPr>
        <w:t>(Repealed pursuant to AB1289, 201718 California Legislative session)</w:t>
      </w:r>
    </w:p>
    <w:p>
      <w:pPr>
        <w:spacing w:after="0" w:line="96" w:lineRule="exact"/>
        <w:rPr>
          <w:sz w:val="20"/>
          <w:szCs w:val="20"/>
          <w:color w:val="auto"/>
        </w:rPr>
      </w:pPr>
    </w:p>
    <w:p>
      <w:pPr>
        <w:ind w:left="4" w:right="120"/>
        <w:spacing w:after="0" w:line="311" w:lineRule="auto"/>
        <w:rPr>
          <w:sz w:val="20"/>
          <w:szCs w:val="20"/>
          <w:color w:val="auto"/>
        </w:rPr>
      </w:pPr>
      <w:r>
        <w:rPr>
          <w:rFonts w:ascii="Arial" w:cs="Arial" w:eastAsia="Arial" w:hAnsi="Arial"/>
          <w:sz w:val="13"/>
          <w:szCs w:val="13"/>
          <w:b w:val="1"/>
          <w:bCs w:val="1"/>
          <w:color w:val="auto"/>
        </w:rPr>
        <w:t xml:space="preserve">2079.19 </w:t>
      </w:r>
      <w:r>
        <w:rPr>
          <w:rFonts w:ascii="Arial" w:cs="Arial" w:eastAsia="Arial" w:hAnsi="Arial"/>
          <w:sz w:val="13"/>
          <w:szCs w:val="13"/>
          <w:color w:val="auto"/>
        </w:rPr>
        <w:t>The payment of compensation or the obligation to pay compensation to an agent by the seller or buyer is not necessarily determinative of a particular agency relationship between an</w:t>
      </w:r>
      <w:r>
        <w:rPr>
          <w:rFonts w:ascii="Arial" w:cs="Arial" w:eastAsia="Arial" w:hAnsi="Arial"/>
          <w:sz w:val="13"/>
          <w:szCs w:val="13"/>
          <w:b w:val="1"/>
          <w:bCs w:val="1"/>
          <w:color w:val="auto"/>
        </w:rPr>
        <w:t xml:space="preserve"> </w:t>
      </w:r>
      <w:r>
        <w:rPr>
          <w:rFonts w:ascii="Arial" w:cs="Arial" w:eastAsia="Arial" w:hAnsi="Arial"/>
          <w:sz w:val="13"/>
          <w:szCs w:val="13"/>
          <w:color w:val="auto"/>
        </w:rPr>
        <w:t>agent and the seller or buyer. A listing agent and a selling agent may agree to share any compensation or commission paid, or any right to any compensation or commission for which an obligation arises as the result of a real estate transaction, and the terms of any such agreement shall not necessarily be determinative of a particular relationship.</w:t>
      </w:r>
    </w:p>
    <w:p>
      <w:pPr>
        <w:spacing w:after="0" w:line="26" w:lineRule="exact"/>
        <w:rPr>
          <w:sz w:val="20"/>
          <w:szCs w:val="20"/>
          <w:color w:val="auto"/>
        </w:rPr>
      </w:pPr>
    </w:p>
    <w:p>
      <w:pPr>
        <w:ind w:left="4" w:right="720"/>
        <w:spacing w:after="0" w:line="299" w:lineRule="auto"/>
        <w:rPr>
          <w:sz w:val="20"/>
          <w:szCs w:val="20"/>
          <w:color w:val="auto"/>
        </w:rPr>
      </w:pPr>
      <w:r>
        <w:rPr>
          <w:rFonts w:ascii="Arial" w:cs="Arial" w:eastAsia="Arial" w:hAnsi="Arial"/>
          <w:sz w:val="14"/>
          <w:szCs w:val="14"/>
          <w:b w:val="1"/>
          <w:bCs w:val="1"/>
          <w:color w:val="auto"/>
        </w:rPr>
        <w:t xml:space="preserve">2079.20 </w:t>
      </w:r>
      <w:r>
        <w:rPr>
          <w:rFonts w:ascii="Arial" w:cs="Arial" w:eastAsia="Arial" w:hAnsi="Arial"/>
          <w:sz w:val="14"/>
          <w:szCs w:val="14"/>
          <w:color w:val="auto"/>
        </w:rPr>
        <w:t>Nothing in this article prevents an agent from selecting, as a condition of the agent’s employment, a specific form of agency relationship not specifically prohibited by this</w:t>
      </w:r>
      <w:r>
        <w:rPr>
          <w:rFonts w:ascii="Arial" w:cs="Arial" w:eastAsia="Arial" w:hAnsi="Arial"/>
          <w:sz w:val="14"/>
          <w:szCs w:val="14"/>
          <w:b w:val="1"/>
          <w:bCs w:val="1"/>
          <w:color w:val="auto"/>
        </w:rPr>
        <w:t xml:space="preserve"> </w:t>
      </w:r>
      <w:r>
        <w:rPr>
          <w:rFonts w:ascii="Arial" w:cs="Arial" w:eastAsia="Arial" w:hAnsi="Arial"/>
          <w:sz w:val="14"/>
          <w:szCs w:val="14"/>
          <w:color w:val="auto"/>
        </w:rPr>
        <w:t>article if the requirements of Section 2079.14 and Section 2079.17 are complied with.</w:t>
      </w:r>
    </w:p>
    <w:p>
      <w:pPr>
        <w:spacing w:after="0" w:line="17" w:lineRule="exact"/>
        <w:rPr>
          <w:sz w:val="20"/>
          <w:szCs w:val="20"/>
          <w:color w:val="auto"/>
        </w:rPr>
      </w:pPr>
    </w:p>
    <w:p>
      <w:pPr>
        <w:ind w:left="4" w:right="80"/>
        <w:spacing w:after="0" w:line="271" w:lineRule="auto"/>
        <w:rPr>
          <w:sz w:val="20"/>
          <w:szCs w:val="20"/>
          <w:color w:val="auto"/>
        </w:rPr>
      </w:pPr>
      <w:r>
        <w:rPr>
          <w:rFonts w:ascii="Arial" w:cs="Arial" w:eastAsia="Arial" w:hAnsi="Arial"/>
          <w:sz w:val="14"/>
          <w:szCs w:val="14"/>
          <w:b w:val="1"/>
          <w:bCs w:val="1"/>
          <w:color w:val="auto"/>
        </w:rPr>
        <w:t xml:space="preserve">2079.21 (a) </w:t>
      </w:r>
      <w:r>
        <w:rPr>
          <w:rFonts w:ascii="Arial" w:cs="Arial" w:eastAsia="Arial" w:hAnsi="Arial"/>
          <w:sz w:val="14"/>
          <w:szCs w:val="14"/>
          <w:color w:val="auto"/>
        </w:rPr>
        <w:t>A dual agent may not, without the express permission of the seller, disclose to the buyer any confidential information obtained from the seller.</w:t>
      </w:r>
      <w:r>
        <w:rPr>
          <w:rFonts w:ascii="Arial" w:cs="Arial" w:eastAsia="Arial" w:hAnsi="Arial"/>
          <w:sz w:val="14"/>
          <w:szCs w:val="14"/>
          <w:b w:val="1"/>
          <w:bCs w:val="1"/>
          <w:color w:val="auto"/>
        </w:rPr>
        <w:t xml:space="preserve"> (b) </w:t>
      </w:r>
      <w:r>
        <w:rPr>
          <w:rFonts w:ascii="Arial" w:cs="Arial" w:eastAsia="Arial" w:hAnsi="Arial"/>
          <w:sz w:val="14"/>
          <w:szCs w:val="14"/>
          <w:color w:val="auto"/>
        </w:rPr>
        <w:t>A dual agent may not,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express permission of the buyer, disclose to the seller any confidential information obtained from the buyer. </w:t>
      </w:r>
      <w:r>
        <w:rPr>
          <w:rFonts w:ascii="Arial" w:cs="Arial" w:eastAsia="Arial" w:hAnsi="Arial"/>
          <w:sz w:val="14"/>
          <w:szCs w:val="14"/>
          <w:b w:val="1"/>
          <w:bCs w:val="1"/>
          <w:color w:val="auto"/>
        </w:rPr>
        <w:t>(c)</w:t>
      </w:r>
      <w:r>
        <w:rPr>
          <w:rFonts w:ascii="Arial" w:cs="Arial" w:eastAsia="Arial" w:hAnsi="Arial"/>
          <w:sz w:val="14"/>
          <w:szCs w:val="14"/>
          <w:color w:val="auto"/>
        </w:rPr>
        <w:t xml:space="preserve"> “Confidential information” means facts relating to the client’s financial position, motivations, bargaining position, or other personal information that may impact price, such as the seller is willing to accept a price less than the listing price or the buyer is willing to pay a price greater than the price offered. </w:t>
      </w:r>
      <w:r>
        <w:rPr>
          <w:rFonts w:ascii="Arial" w:cs="Arial" w:eastAsia="Arial" w:hAnsi="Arial"/>
          <w:sz w:val="14"/>
          <w:szCs w:val="14"/>
          <w:b w:val="1"/>
          <w:bCs w:val="1"/>
          <w:color w:val="auto"/>
        </w:rPr>
        <w:t>(d)</w:t>
      </w:r>
      <w:r>
        <w:rPr>
          <w:rFonts w:ascii="Arial" w:cs="Arial" w:eastAsia="Arial" w:hAnsi="Arial"/>
          <w:sz w:val="14"/>
          <w:szCs w:val="14"/>
          <w:color w:val="auto"/>
        </w:rPr>
        <w:t xml:space="preserve"> This section does not alter in any way the duty or responsibility of a dual agent to any principal with respect to confidential information other than price.</w:t>
      </w:r>
    </w:p>
    <w:p>
      <w:pPr>
        <w:spacing w:after="0" w:line="36" w:lineRule="exact"/>
        <w:rPr>
          <w:sz w:val="20"/>
          <w:szCs w:val="20"/>
          <w:color w:val="auto"/>
        </w:rPr>
      </w:pPr>
    </w:p>
    <w:p>
      <w:pPr>
        <w:ind w:left="4" w:right="480"/>
        <w:spacing w:after="0" w:line="299" w:lineRule="auto"/>
        <w:rPr>
          <w:sz w:val="20"/>
          <w:szCs w:val="20"/>
          <w:color w:val="auto"/>
        </w:rPr>
      </w:pPr>
      <w:r>
        <w:rPr>
          <w:rFonts w:ascii="Arial" w:cs="Arial" w:eastAsia="Arial" w:hAnsi="Arial"/>
          <w:sz w:val="14"/>
          <w:szCs w:val="14"/>
          <w:b w:val="1"/>
          <w:bCs w:val="1"/>
          <w:color w:val="auto"/>
        </w:rPr>
        <w:t xml:space="preserve">2079.22 </w:t>
      </w:r>
      <w:r>
        <w:rPr>
          <w:rFonts w:ascii="Arial" w:cs="Arial" w:eastAsia="Arial" w:hAnsi="Arial"/>
          <w:sz w:val="14"/>
          <w:szCs w:val="14"/>
          <w:color w:val="auto"/>
        </w:rPr>
        <w:t>Nothing in this article precludes a seller’s agent from also being a buyer’s agent. If a seller or buyer in a transaction chooses to not be represented by an agent, that does not, of</w:t>
      </w:r>
      <w:r>
        <w:rPr>
          <w:rFonts w:ascii="Arial" w:cs="Arial" w:eastAsia="Arial" w:hAnsi="Arial"/>
          <w:sz w:val="14"/>
          <w:szCs w:val="14"/>
          <w:b w:val="1"/>
          <w:bCs w:val="1"/>
          <w:color w:val="auto"/>
        </w:rPr>
        <w:t xml:space="preserve"> </w:t>
      </w:r>
      <w:r>
        <w:rPr>
          <w:rFonts w:ascii="Arial" w:cs="Arial" w:eastAsia="Arial" w:hAnsi="Arial"/>
          <w:sz w:val="14"/>
          <w:szCs w:val="14"/>
          <w:color w:val="auto"/>
        </w:rPr>
        <w:t>itself, make that agent a dual agent.</w:t>
      </w:r>
    </w:p>
    <w:p>
      <w:pPr>
        <w:spacing w:after="0" w:line="31" w:lineRule="exact"/>
        <w:rPr>
          <w:sz w:val="20"/>
          <w:szCs w:val="20"/>
          <w:color w:val="auto"/>
        </w:rPr>
      </w:pPr>
    </w:p>
    <w:p>
      <w:pPr>
        <w:jc w:val="both"/>
        <w:ind w:left="4" w:right="200"/>
        <w:spacing w:after="0" w:line="262" w:lineRule="auto"/>
        <w:rPr>
          <w:sz w:val="20"/>
          <w:szCs w:val="20"/>
          <w:color w:val="auto"/>
        </w:rPr>
      </w:pPr>
      <w:r>
        <w:rPr>
          <w:rFonts w:ascii="Arial" w:cs="Arial" w:eastAsia="Arial" w:hAnsi="Arial"/>
          <w:sz w:val="14"/>
          <w:szCs w:val="14"/>
          <w:b w:val="1"/>
          <w:bCs w:val="1"/>
          <w:color w:val="auto"/>
        </w:rPr>
        <w:t xml:space="preserve">2079.23 (a) </w:t>
      </w:r>
      <w:r>
        <w:rPr>
          <w:rFonts w:ascii="Arial" w:cs="Arial" w:eastAsia="Arial" w:hAnsi="Arial"/>
          <w:sz w:val="14"/>
          <w:szCs w:val="14"/>
          <w:color w:val="auto"/>
        </w:rPr>
        <w:t>A contract between the principal and agent may be modified or altered to change the agency relationship at any time before the performance of the act which is the object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agency with the written consent of the parties to the agency relationship. </w:t>
      </w:r>
      <w:r>
        <w:rPr>
          <w:rFonts w:ascii="Arial" w:cs="Arial" w:eastAsia="Arial" w:hAnsi="Arial"/>
          <w:sz w:val="14"/>
          <w:szCs w:val="14"/>
          <w:b w:val="1"/>
          <w:bCs w:val="1"/>
          <w:color w:val="auto"/>
        </w:rPr>
        <w:t>(b)</w:t>
      </w:r>
      <w:r>
        <w:rPr>
          <w:rFonts w:ascii="Arial" w:cs="Arial" w:eastAsia="Arial" w:hAnsi="Arial"/>
          <w:sz w:val="14"/>
          <w:szCs w:val="14"/>
          <w:color w:val="auto"/>
        </w:rPr>
        <w:t xml:space="preserve"> A lender or an auction company retained by a lender to control aspects of a transaction of real property subject to this part, including validating the sales price, shall not require, as a condition of receiving the lender’s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4"/>
          <w:szCs w:val="14"/>
          <w:color w:val="auto"/>
        </w:rPr>
        <w:t>approval of the transaction, the homeowner or listing agent to defend or indemnify the lender or auction company from any liability alleged to result from the actions</w:t>
      </w:r>
    </w:p>
    <w:p>
      <w:pPr>
        <w:spacing w:after="0" w:line="16" w:lineRule="exact"/>
        <w:rPr>
          <w:sz w:val="20"/>
          <w:szCs w:val="20"/>
          <w:color w:val="auto"/>
        </w:rPr>
      </w:pPr>
    </w:p>
    <w:p>
      <w:pPr>
        <w:ind w:left="4" w:right="320"/>
        <w:spacing w:after="0" w:line="293" w:lineRule="auto"/>
        <w:rPr>
          <w:sz w:val="20"/>
          <w:szCs w:val="20"/>
          <w:color w:val="auto"/>
        </w:rPr>
      </w:pPr>
      <w:r>
        <w:rPr>
          <w:rFonts w:ascii="Arial" w:cs="Arial" w:eastAsia="Arial" w:hAnsi="Arial"/>
          <w:sz w:val="14"/>
          <w:szCs w:val="14"/>
          <w:color w:val="auto"/>
        </w:rPr>
        <w:t>of the lender or auction company. Any clause, provision, covenant, or agreement purporting to impose an obligation to defend or indemnify a lender or an auction company in violation of this subdivision is against public policy, void, and unenforceable.</w:t>
      </w:r>
    </w:p>
    <w:p>
      <w:pPr>
        <w:spacing w:after="0" w:line="21" w:lineRule="exact"/>
        <w:rPr>
          <w:sz w:val="20"/>
          <w:szCs w:val="20"/>
          <w:color w:val="auto"/>
        </w:rPr>
      </w:pPr>
    </w:p>
    <w:p>
      <w:pPr>
        <w:ind w:left="4" w:right="100"/>
        <w:spacing w:after="0" w:line="280" w:lineRule="auto"/>
        <w:rPr>
          <w:sz w:val="20"/>
          <w:szCs w:val="20"/>
          <w:color w:val="auto"/>
        </w:rPr>
      </w:pPr>
      <w:r>
        <w:rPr>
          <w:rFonts w:ascii="Arial" w:cs="Arial" w:eastAsia="Arial" w:hAnsi="Arial"/>
          <w:sz w:val="14"/>
          <w:szCs w:val="14"/>
          <w:b w:val="1"/>
          <w:bCs w:val="1"/>
          <w:color w:val="auto"/>
        </w:rPr>
        <w:t xml:space="preserve">2079.24 </w:t>
      </w:r>
      <w:r>
        <w:rPr>
          <w:rFonts w:ascii="Arial" w:cs="Arial" w:eastAsia="Arial" w:hAnsi="Arial"/>
          <w:sz w:val="14"/>
          <w:szCs w:val="14"/>
          <w:color w:val="auto"/>
        </w:rPr>
        <w:t>Nothing in this article shall be construed to either diminish the duty of disclosure owed buyers and sellers by agents and their associate licensees, subagents, and employees or to</w:t>
      </w:r>
      <w:r>
        <w:rPr>
          <w:rFonts w:ascii="Arial" w:cs="Arial" w:eastAsia="Arial" w:hAnsi="Arial"/>
          <w:sz w:val="14"/>
          <w:szCs w:val="14"/>
          <w:b w:val="1"/>
          <w:bCs w:val="1"/>
          <w:color w:val="auto"/>
        </w:rPr>
        <w:t xml:space="preserve"> </w:t>
      </w:r>
      <w:r>
        <w:rPr>
          <w:rFonts w:ascii="Arial" w:cs="Arial" w:eastAsia="Arial" w:hAnsi="Arial"/>
          <w:sz w:val="14"/>
          <w:szCs w:val="14"/>
          <w:color w:val="auto"/>
        </w:rPr>
        <w:t>relieve agents and their associate licensees, subagents, and employees from liability for their conduct in connection with acts governed by this article or for any breach of a fiduciary duty or a duty of disclosure.</w:t>
      </w:r>
    </w:p>
    <w:p>
      <w:pPr>
        <w:spacing w:after="0" w:line="193" w:lineRule="exact"/>
        <w:rPr>
          <w:sz w:val="20"/>
          <w:szCs w:val="20"/>
          <w:color w:val="auto"/>
        </w:rPr>
      </w:pPr>
    </w:p>
    <w:p>
      <w:pPr>
        <w:ind w:left="1964"/>
        <w:spacing w:after="0"/>
        <w:rPr>
          <w:sz w:val="20"/>
          <w:szCs w:val="20"/>
          <w:color w:val="auto"/>
        </w:rPr>
      </w:pPr>
      <w:r>
        <w:rPr>
          <w:rFonts w:ascii="Arial" w:cs="Arial" w:eastAsia="Arial" w:hAnsi="Arial"/>
          <w:sz w:val="14"/>
          <w:szCs w:val="14"/>
          <w:b w:val="1"/>
          <w:bCs w:val="1"/>
          <w:color w:val="auto"/>
        </w:rPr>
        <w:t>AIR CRE * https://www.aircre.com * 2136878777 * contracts@aircre.com</w:t>
      </w:r>
    </w:p>
    <w:p>
      <w:pPr>
        <w:spacing w:after="0" w:line="17" w:lineRule="exact"/>
        <w:rPr>
          <w:sz w:val="20"/>
          <w:szCs w:val="20"/>
          <w:color w:val="auto"/>
        </w:rPr>
      </w:pPr>
    </w:p>
    <w:p>
      <w:pPr>
        <w:ind w:left="1544"/>
        <w:spacing w:after="0"/>
        <w:rPr>
          <w:sz w:val="20"/>
          <w:szCs w:val="20"/>
          <w:color w:val="auto"/>
        </w:rPr>
      </w:pPr>
      <w:r>
        <w:rPr>
          <w:rFonts w:ascii="Arial" w:cs="Arial" w:eastAsia="Arial" w:hAnsi="Arial"/>
          <w:sz w:val="14"/>
          <w:szCs w:val="14"/>
          <w:b w:val="1"/>
          <w:bCs w:val="1"/>
          <w:color w:val="auto"/>
        </w:rPr>
        <w:t>NOTICE: No part of these works may be reproduced in any form without permission in writing.</w:t>
      </w:r>
    </w:p>
    <w:p>
      <w:pPr>
        <w:sectPr>
          <w:pgSz w:w="11900" w:h="16838" w:orient="portrait"/>
          <w:cols w:equalWidth="0" w:num="1">
            <w:col w:w="11044"/>
          </w:cols>
          <w:pgMar w:left="436" w:top="769" w:right="419" w:bottom="562"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10.36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19, 2019, by and among INNOVATUS LIFE SCIENCES LENDING FUND I, LP, a Delaware limited partnership (together with its successors and assigns, “</w:t>
      </w:r>
      <w:r>
        <w:rPr>
          <w:rFonts w:ascii="Arial" w:cs="Arial" w:eastAsia="Arial" w:hAnsi="Arial"/>
          <w:sz w:val="18"/>
          <w:szCs w:val="18"/>
          <w:b w:val="1"/>
          <w:bCs w:val="1"/>
          <w:color w:val="auto"/>
        </w:rPr>
        <w:t>Innovatus</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the Lenders listed on Schedule 1.1 thereof or otherwise a party thereto from time to time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w:t>
      </w:r>
      <w:r>
        <w:rPr>
          <w:rFonts w:ascii="Arial" w:cs="Arial" w:eastAsia="Arial" w:hAnsi="Arial"/>
          <w:sz w:val="18"/>
          <w:szCs w:val="18"/>
          <w:b w:val="1"/>
          <w:bCs w:val="1"/>
          <w:color w:val="auto"/>
        </w:rPr>
        <w:t>Lenders</w:t>
      </w:r>
      <w:r>
        <w:rPr>
          <w:rFonts w:ascii="Arial" w:cs="Arial" w:eastAsia="Arial" w:hAnsi="Arial"/>
          <w:sz w:val="18"/>
          <w:szCs w:val="18"/>
          <w:color w:val="auto"/>
        </w:rPr>
        <w:t>”), and EXAGEN INC., a Delaware corporation (f/k/a EXAGEN DIAGNOSTICS, INC.)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Collateral Agent, Lenders, and Borrower have entered into that certain Loan and Security Agreement dated as of September 7, 2017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may from time to time be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Lenders have extended credit to Borrower for the purposes permitted in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Borrower has requested that Collateral Agent and Lenders amend the Loan Agreement as more fully set forth herein.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Collateral Agent and Lenders have agreed to amend certain provisions of the Loan Agreement, but only to the extent,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subject to the conditions and in reliance upon the representations and warranties set forth below.</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As of the date hereof, the outstanding principal balance of the Term Loans, including payable in-kind interest which has been capitalized,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$26,161,884.94 (See </w:t>
      </w:r>
      <w:r>
        <w:rPr>
          <w:rFonts w:ascii="Arial" w:cs="Arial" w:eastAsia="Arial" w:hAnsi="Arial"/>
          <w:sz w:val="18"/>
          <w:szCs w:val="18"/>
          <w:u w:val="single" w:color="auto"/>
          <w:color w:val="auto"/>
        </w:rPr>
        <w:t>Annex X</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44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162"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Agreement shall have the meanings given to them in the Loan Agreement.</w:t>
      </w:r>
    </w:p>
    <w:p>
      <w:pPr>
        <w:spacing w:after="0" w:line="248" w:lineRule="exact"/>
        <w:rPr>
          <w:rFonts w:ascii="Arial" w:cs="Arial" w:eastAsia="Arial" w:hAnsi="Arial"/>
          <w:sz w:val="16"/>
          <w:szCs w:val="16"/>
          <w:b w:val="1"/>
          <w:bCs w:val="1"/>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2.1 Section 2.2 (Term Loans)</w:t>
      </w:r>
      <w:r>
        <w:rPr>
          <w:rFonts w:ascii="Arial" w:cs="Arial" w:eastAsia="Arial" w:hAnsi="Arial"/>
          <w:sz w:val="18"/>
          <w:szCs w:val="18"/>
          <w:color w:val="auto"/>
        </w:rPr>
        <w:t>. Section 2.2(b) of the Loan Agreement is amended and restated as follows:</w:t>
      </w:r>
    </w:p>
    <w:p>
      <w:pPr>
        <w:spacing w:after="0" w:line="229" w:lineRule="exact"/>
        <w:rPr>
          <w:sz w:val="20"/>
          <w:szCs w:val="20"/>
          <w:color w:val="auto"/>
        </w:rPr>
      </w:pPr>
    </w:p>
    <w:p>
      <w:pPr>
        <w:jc w:val="both"/>
        <w:ind w:left="660" w:firstLine="1292"/>
        <w:spacing w:after="0" w:line="255" w:lineRule="auto"/>
        <w:tabs>
          <w:tab w:leader="none" w:pos="223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make monthly payments of interest only commencing on the second (2nd) Payment Date following the Funding Date of the Term Loan, and continuing on the Payment Date of each successive month thereafter through and including the Payment Date immediately preceding the Amortization Date. Borrower agrees to pay, on the Funding Date of the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make consecutive equal monthly payments of principal,</w:t>
      </w:r>
    </w:p>
    <w:p>
      <w:pPr>
        <w:sectPr>
          <w:pgSz w:w="11900" w:h="16838" w:orient="portrait"/>
          <w:cols w:equalWidth="0" w:num="1">
            <w:col w:w="11240"/>
          </w:cols>
          <w:pgMar w:left="320" w:top="1417" w:right="339" w:bottom="1440" w:gutter="0" w:footer="0" w:header="0"/>
        </w:sectPr>
      </w:pPr>
    </w:p>
    <w:bookmarkStart w:id="158" w:name="page159"/>
    <w:bookmarkEnd w:id="158"/>
    <w:p>
      <w:pPr>
        <w:jc w:val="both"/>
        <w:ind w:left="660"/>
        <w:spacing w:after="0" w:line="279" w:lineRule="auto"/>
        <w:rPr>
          <w:sz w:val="20"/>
          <w:szCs w:val="20"/>
          <w:color w:val="auto"/>
        </w:rPr>
      </w:pPr>
      <w:r>
        <w:rPr>
          <w:rFonts w:ascii="Arial" w:cs="Arial" w:eastAsia="Arial" w:hAnsi="Arial"/>
          <w:sz w:val="17"/>
          <w:szCs w:val="17"/>
          <w:color w:val="auto"/>
        </w:rPr>
        <w:t>plus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twenty-four (24) months. All unpaid principal and accrued and unpaid interest with respect to the Term Loan is due and payable in full on the Maturity Date. The Term Loan may only be prepaid in accordance with Sections 2.2(c) and 2.2(d).</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2.2 Section 2.2 (Term Loans)</w:t>
      </w:r>
      <w:r>
        <w:rPr>
          <w:rFonts w:ascii="Arial" w:cs="Arial" w:eastAsia="Arial" w:hAnsi="Arial"/>
          <w:sz w:val="18"/>
          <w:szCs w:val="18"/>
          <w:color w:val="auto"/>
        </w:rPr>
        <w:t>. Section 2.2(d) of the Loan Agreement is amended and restated as follows:</w:t>
      </w:r>
    </w:p>
    <w:p>
      <w:pPr>
        <w:spacing w:after="0" w:line="229" w:lineRule="exact"/>
        <w:rPr>
          <w:sz w:val="20"/>
          <w:szCs w:val="20"/>
          <w:color w:val="auto"/>
        </w:rPr>
      </w:pPr>
    </w:p>
    <w:p>
      <w:pPr>
        <w:jc w:val="both"/>
        <w:ind w:left="660" w:firstLine="1292"/>
        <w:spacing w:after="0" w:line="286" w:lineRule="auto"/>
        <w:tabs>
          <w:tab w:leader="none" w:pos="2211"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w:t>
      </w:r>
      <w:r>
        <w:rPr>
          <w:rFonts w:ascii="Arial" w:cs="Arial" w:eastAsia="Arial" w:hAnsi="Arial"/>
          <w:sz w:val="16"/>
          <w:szCs w:val="16"/>
          <w:color w:val="auto"/>
        </w:rPr>
        <w:t>. After the first anniversary of the First Amendment Effective Date only, Borrower shall have the option to prepay all or part of the Term Loan advanced by the Lenders under this Agreement, provided Borrower (i) provides written notice to Collateral Agent of its election to prepay the Term Loan at least five (5) days prior to such prepayment, (ii) in the event of a partial prepayment, prepays such part of the Term Loan in a denomination that is a whole number multiple of Five Million Dollars ($5,000,000.00), and</w:t>
      </w:r>
    </w:p>
    <w:p>
      <w:pPr>
        <w:spacing w:after="0" w:line="1" w:lineRule="exact"/>
        <w:rPr>
          <w:rFonts w:ascii="Arial" w:cs="Arial" w:eastAsia="Arial" w:hAnsi="Arial"/>
          <w:sz w:val="16"/>
          <w:szCs w:val="16"/>
          <w:color w:val="auto"/>
        </w:rPr>
      </w:pPr>
    </w:p>
    <w:p>
      <w:pPr>
        <w:jc w:val="both"/>
        <w:ind w:left="660" w:hanging="4"/>
        <w:spacing w:after="0" w:line="269" w:lineRule="auto"/>
        <w:tabs>
          <w:tab w:leader="none" w:pos="97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pays to the Lenders on the date of such prepayment, payable to each Lender in accordance with its respective Pro Rata Share, an amount equal to the sum of (A) the portion of outstanding principal of the Term Loan being prepaid plus all accrued and unpaid interest thereon through the prepayment date, (B) the applicable Final Payment with respect to the portion of the Term Loan being prepaid, (C) all other Obligations that are then due and payable, including Lenders’ Expenses and interest at the Default Rate with respect to any past due amounts pursuant to the terms of this Agreement, and (D) the applicable Prepayment Fee with respect to the portion of the Term Loan being prepaid. For the sake of clarity, any partial prepayment shall be applied pro-rata to all outstanding amounts under the Term Loan, and shall be applied on a pro-rata basis to all remaining payments outstanding in inverse order of maturity.</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2.3 Section 2.3 (Payment of Interest on the Term Loan)</w:t>
      </w:r>
      <w:r>
        <w:rPr>
          <w:rFonts w:ascii="Arial" w:cs="Arial" w:eastAsia="Arial" w:hAnsi="Arial"/>
          <w:sz w:val="16"/>
          <w:szCs w:val="16"/>
          <w:color w:val="auto"/>
        </w:rPr>
        <w:t>. Section 2.3(a) of the Loan Agreement is amended and restated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660" w:firstLine="1292"/>
        <w:spacing w:after="0" w:line="254" w:lineRule="auto"/>
        <w:tabs>
          <w:tab w:leader="none" w:pos="22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 shall accrue interest at a fixed per annum rate equal to eight and one-half percent (8.50%), which interest shall be payable monthly in arrears in accordance with Sections 2.2(b) and 2.3(e); provided that two percent (2.00%) of such eight and one-half percent (8.50%) interest rate shall be payable in-kind through the Amortization Date by adding an amount equal to such two percent (2.00%) interest to the then outstanding principal balance on a monthly basis so as to increase the outstanding principal balance of such Term Loan on each Payment Date and which amount shall be payable when the principal amount of the Term Loan is payable in accordance with Sections 2.2(b) and 2.3(e) and on which principal amount interest shall be owed pursuant to Section 2.3(a).</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2.4 Section 6.11 (Minimum Liquidity)</w:t>
      </w:r>
      <w:r>
        <w:rPr>
          <w:rFonts w:ascii="Arial" w:cs="Arial" w:eastAsia="Arial" w:hAnsi="Arial"/>
          <w:sz w:val="18"/>
          <w:szCs w:val="18"/>
          <w:color w:val="auto"/>
        </w:rPr>
        <w:t>. Section 6.11 of the Loan Agreement is amended and restated as follows:</w:t>
      </w:r>
    </w:p>
    <w:p>
      <w:pPr>
        <w:spacing w:after="0" w:line="225" w:lineRule="exact"/>
        <w:rPr>
          <w:sz w:val="20"/>
          <w:szCs w:val="20"/>
          <w:color w:val="auto"/>
        </w:rPr>
      </w:pPr>
    </w:p>
    <w:p>
      <w:pPr>
        <w:ind w:left="660" w:firstLine="1296"/>
        <w:spacing w:after="0" w:line="282" w:lineRule="auto"/>
        <w:rPr>
          <w:sz w:val="20"/>
          <w:szCs w:val="20"/>
          <w:color w:val="auto"/>
        </w:rPr>
      </w:pPr>
      <w:r>
        <w:rPr>
          <w:rFonts w:ascii="Arial" w:cs="Arial" w:eastAsia="Arial" w:hAnsi="Arial"/>
          <w:sz w:val="18"/>
          <w:szCs w:val="18"/>
          <w:b w:val="1"/>
          <w:bCs w:val="1"/>
          <w:color w:val="auto"/>
        </w:rPr>
        <w:t>6.11 Minimum Liquidity</w:t>
      </w:r>
      <w:r>
        <w:rPr>
          <w:rFonts w:ascii="Arial" w:cs="Arial" w:eastAsia="Arial" w:hAnsi="Arial"/>
          <w:sz w:val="18"/>
          <w:szCs w:val="18"/>
          <w:color w:val="auto"/>
        </w:rPr>
        <w:t>. Borrower shall at all times maintain minimum unrestricted cash and Cash Equivalents, in an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 control agreement in favor of Collateral Agent, in an amount equal to Two Million Dollars ($2,000,000.00).</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2.5 Section 6.15 (Performance to Plan)</w:t>
      </w:r>
      <w:r>
        <w:rPr>
          <w:rFonts w:ascii="Arial" w:cs="Arial" w:eastAsia="Arial" w:hAnsi="Arial"/>
          <w:sz w:val="18"/>
          <w:szCs w:val="18"/>
          <w:color w:val="auto"/>
        </w:rPr>
        <w:t>. A new Section 6.15 is added to the Loan Agreement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6.15 Performance to Plan</w:t>
      </w:r>
      <w:r>
        <w:rPr>
          <w:rFonts w:ascii="Arial" w:cs="Arial" w:eastAsia="Arial" w:hAnsi="Arial"/>
          <w:sz w:val="16"/>
          <w:szCs w:val="16"/>
          <w:color w:val="auto"/>
        </w:rPr>
        <w:t>. So long as the Performance Period is not in effect, Borrower shall achieve minimum trailing twelve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month revenue under GAAP,</w:t>
      </w:r>
    </w:p>
    <w:p>
      <w:pPr>
        <w:sectPr>
          <w:pgSz w:w="11900" w:h="16838" w:orient="portrait"/>
          <w:cols w:equalWidth="0" w:num="1">
            <w:col w:w="11240"/>
          </w:cols>
          <w:pgMar w:left="320" w:top="1421" w:right="339" w:bottom="1440" w:gutter="0" w:footer="0" w:header="0"/>
        </w:sectPr>
      </w:pPr>
    </w:p>
    <w:bookmarkStart w:id="159" w:name="page160"/>
    <w:bookmarkEnd w:id="159"/>
    <w:p>
      <w:pPr>
        <w:jc w:val="both"/>
        <w:ind w:left="660"/>
        <w:spacing w:after="0" w:line="259" w:lineRule="auto"/>
        <w:rPr>
          <w:sz w:val="20"/>
          <w:szCs w:val="20"/>
          <w:color w:val="auto"/>
        </w:rPr>
      </w:pPr>
      <w:r>
        <w:rPr>
          <w:rFonts w:ascii="Arial" w:cs="Arial" w:eastAsia="Arial" w:hAnsi="Arial"/>
          <w:sz w:val="18"/>
          <w:szCs w:val="18"/>
          <w:color w:val="auto"/>
        </w:rPr>
        <w:t>measured at the end of each calendar quarter commencing with the quarter ending December 31, 2019, greater than seventy percent (70%) of projected revenue under GAAP (such projections attached hereto as Annex Q, the “</w:t>
      </w:r>
      <w:r>
        <w:rPr>
          <w:rFonts w:ascii="Arial" w:cs="Arial" w:eastAsia="Arial" w:hAnsi="Arial"/>
          <w:sz w:val="18"/>
          <w:szCs w:val="18"/>
          <w:b w:val="1"/>
          <w:bCs w:val="1"/>
          <w:color w:val="auto"/>
        </w:rPr>
        <w:t>Management Plan</w:t>
      </w:r>
      <w:r>
        <w:rPr>
          <w:rFonts w:ascii="Arial" w:cs="Arial" w:eastAsia="Arial" w:hAnsi="Arial"/>
          <w:sz w:val="18"/>
          <w:szCs w:val="18"/>
          <w:color w:val="auto"/>
        </w:rPr>
        <w:t>”) (the “</w:t>
      </w:r>
      <w:r>
        <w:rPr>
          <w:rFonts w:ascii="Arial" w:cs="Arial" w:eastAsia="Arial" w:hAnsi="Arial"/>
          <w:sz w:val="18"/>
          <w:szCs w:val="18"/>
          <w:b w:val="1"/>
          <w:bCs w:val="1"/>
          <w:color w:val="auto"/>
        </w:rPr>
        <w:t>Performance Covenant</w:t>
      </w:r>
      <w:r>
        <w:rPr>
          <w:rFonts w:ascii="Arial" w:cs="Arial" w:eastAsia="Arial" w:hAnsi="Arial"/>
          <w:sz w:val="18"/>
          <w:szCs w:val="18"/>
          <w:color w:val="auto"/>
        </w:rPr>
        <w:t>”). Borrower’s failure to maintain the Performance Covenant may be cured by the Equity Cure. Upon the Equity Cure, the Performance Covenant shall be based on the New Management Plan.</w:t>
      </w:r>
    </w:p>
    <w:p>
      <w:pPr>
        <w:spacing w:after="0" w:line="21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2.6 Section 8.2 (Covenant Default)</w:t>
      </w:r>
      <w:r>
        <w:rPr>
          <w:rFonts w:ascii="Arial" w:cs="Arial" w:eastAsia="Arial" w:hAnsi="Arial"/>
          <w:sz w:val="18"/>
          <w:szCs w:val="18"/>
          <w:color w:val="auto"/>
        </w:rPr>
        <w:t>. Section 8.2(a) of the Loan Agreement is amended and restated as follows:</w:t>
      </w:r>
    </w:p>
    <w:p>
      <w:pPr>
        <w:spacing w:after="0" w:line="229" w:lineRule="exact"/>
        <w:rPr>
          <w:sz w:val="20"/>
          <w:szCs w:val="20"/>
          <w:color w:val="auto"/>
        </w:rPr>
      </w:pPr>
    </w:p>
    <w:p>
      <w:pPr>
        <w:jc w:val="both"/>
        <w:ind w:left="660" w:firstLine="1292"/>
        <w:spacing w:after="0" w:line="263" w:lineRule="auto"/>
        <w:tabs>
          <w:tab w:leader="none" w:pos="220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6.11 (Minimum Liquidity), 6.15 (Performance to Plan) or Borrower violates any provision in Section 7; or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2.7 Section 13 (Definitions)</w:t>
      </w:r>
      <w:r>
        <w:rPr>
          <w:rFonts w:ascii="Arial" w:cs="Arial" w:eastAsia="Arial" w:hAnsi="Arial"/>
          <w:sz w:val="16"/>
          <w:szCs w:val="16"/>
          <w:color w:val="auto"/>
        </w:rPr>
        <w:t>. The following terms and their definition are added to or amended and restated in Section 13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 Agreement as follows:</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the thirty-seventh (37</w:t>
      </w:r>
      <w:r>
        <w:rPr>
          <w:rFonts w:ascii="Arial" w:cs="Arial" w:eastAsia="Arial" w:hAnsi="Arial"/>
          <w:sz w:val="23"/>
          <w:szCs w:val="23"/>
          <w:color w:val="auto"/>
          <w:vertAlign w:val="superscript"/>
        </w:rPr>
        <w:t>th</w:t>
      </w:r>
      <w:r>
        <w:rPr>
          <w:rFonts w:ascii="Arial" w:cs="Arial" w:eastAsia="Arial" w:hAnsi="Arial"/>
          <w:sz w:val="18"/>
          <w:szCs w:val="18"/>
          <w:color w:val="auto"/>
        </w:rPr>
        <w:t>) Payment Date following the First Amendment Effective Date.</w:t>
      </w:r>
    </w:p>
    <w:p>
      <w:pPr>
        <w:spacing w:after="0" w:line="19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Flow</w:t>
      </w:r>
      <w:r>
        <w:rPr>
          <w:rFonts w:ascii="Arial" w:cs="Arial" w:eastAsia="Arial" w:hAnsi="Arial"/>
          <w:sz w:val="17"/>
          <w:szCs w:val="17"/>
          <w:color w:val="auto"/>
        </w:rPr>
        <w:t>” is an amount equal to (i) Borrower’s cash flow from operations, minus (ii) Borrower’s capital expenditures.</w:t>
      </w:r>
    </w:p>
    <w:p>
      <w:pPr>
        <w:spacing w:after="0" w:line="264" w:lineRule="exact"/>
        <w:rPr>
          <w:sz w:val="20"/>
          <w:szCs w:val="20"/>
          <w:color w:val="auto"/>
        </w:rPr>
      </w:pPr>
    </w:p>
    <w:p>
      <w:pPr>
        <w:jc w:val="both"/>
        <w:ind w:left="660" w:firstLine="129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Cure</w:t>
      </w:r>
      <w:r>
        <w:rPr>
          <w:rFonts w:ascii="Arial" w:cs="Arial" w:eastAsia="Arial" w:hAnsi="Arial"/>
          <w:sz w:val="17"/>
          <w:szCs w:val="17"/>
          <w:color w:val="auto"/>
        </w:rPr>
        <w:t>” means Borrower’s receipt, within sixty (60) days (or such longer period as acceptable to Collateral Agent and Innovatus in their sole reasonable discretion based on Borrower’s good faith efforts to complete the Equity Cure) of any failure to achieve the Performance Covenant, of gross proceeds from the sale and issuance of Borrower’s equity securities or Subordinated Debt, which in each case will not have any redemption, clawback, escrow or similar terms of at least an amount necessary for Borrower to achieve Cash Flow of at least Zero Dollars ($0) prior to the Maturity Date based on a new management plan provided by the Borrower (the “</w:t>
      </w:r>
      <w:r>
        <w:rPr>
          <w:rFonts w:ascii="Arial" w:cs="Arial" w:eastAsia="Arial" w:hAnsi="Arial"/>
          <w:sz w:val="17"/>
          <w:szCs w:val="17"/>
          <w:b w:val="1"/>
          <w:bCs w:val="1"/>
          <w:color w:val="auto"/>
        </w:rPr>
        <w:t>New Management Plan</w:t>
      </w:r>
      <w:r>
        <w:rPr>
          <w:rFonts w:ascii="Arial" w:cs="Arial" w:eastAsia="Arial" w:hAnsi="Arial"/>
          <w:sz w:val="17"/>
          <w:szCs w:val="17"/>
          <w:color w:val="auto"/>
        </w:rPr>
        <w:t>”), which is subject to Collateral Agent’s and Innovatus’ approval in their sole reasonable discretion.</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is November 19, 2019.</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November 19, 2024.</w:t>
      </w:r>
    </w:p>
    <w:p>
      <w:pPr>
        <w:spacing w:after="0" w:line="252" w:lineRule="exact"/>
        <w:rPr>
          <w:sz w:val="20"/>
          <w:szCs w:val="20"/>
          <w:color w:val="auto"/>
        </w:rPr>
      </w:pPr>
    </w:p>
    <w:p>
      <w:pPr>
        <w:jc w:val="both"/>
        <w:ind w:left="660" w:firstLine="129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is, provided no Event of Default has occurred and is continuing, the period (a) commencing on the day that Borrower provides to Collateral Agent and Lenders a written report that (i) Borrower has achieved trailing twelve (12) month revenue under GAAP of at least One Hundred Million Dollars ($100,000,000.00), and (ii) Borrower has been cash flow positive for at least two (2) consecutive quarters (collectively, the “</w:t>
      </w:r>
      <w:r>
        <w:rPr>
          <w:rFonts w:ascii="Arial" w:cs="Arial" w:eastAsia="Arial" w:hAnsi="Arial"/>
          <w:sz w:val="16"/>
          <w:szCs w:val="16"/>
          <w:b w:val="1"/>
          <w:bCs w:val="1"/>
          <w:color w:val="auto"/>
        </w:rPr>
        <w:t>Performance Requirement</w:t>
      </w:r>
      <w:r>
        <w:rPr>
          <w:rFonts w:ascii="Arial" w:cs="Arial" w:eastAsia="Arial" w:hAnsi="Arial"/>
          <w:sz w:val="16"/>
          <w:szCs w:val="16"/>
          <w:color w:val="auto"/>
        </w:rPr>
        <w:t>”), and (b) terminating on the earlier to occur of (i) the occurrence of an Event of Default, and (ii) the first day thereafter in which Borrower fails to maintain the Performance Requirement as disclosed in any Compliance Certificate.</w:t>
      </w:r>
    </w:p>
    <w:p>
      <w:pPr>
        <w:spacing w:after="0" w:line="181" w:lineRule="exact"/>
        <w:rPr>
          <w:sz w:val="20"/>
          <w:szCs w:val="20"/>
          <w:color w:val="auto"/>
        </w:rPr>
      </w:pPr>
    </w:p>
    <w:p>
      <w:pPr>
        <w:jc w:val="both"/>
        <w:ind w:left="660"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Fee</w:t>
      </w:r>
      <w:r>
        <w:rPr>
          <w:rFonts w:ascii="Arial" w:cs="Arial" w:eastAsia="Arial" w:hAnsi="Arial"/>
          <w:sz w:val="17"/>
          <w:szCs w:val="17"/>
          <w:color w:val="auto"/>
        </w:rPr>
        <w:t>” is, with respect to any Term Loan subject to prepayment prior to the Maturity Date, whether by mandatory or voluntary prepayment, acceleration or otherwise, as indicated, an additional fee payable to the Lenders in amount equal to:</w:t>
      </w:r>
    </w:p>
    <w:p>
      <w:pPr>
        <w:sectPr>
          <w:pgSz w:w="11900" w:h="16838" w:orient="portrait"/>
          <w:cols w:equalWidth="0" w:num="1">
            <w:col w:w="11240"/>
          </w:cols>
          <w:pgMar w:left="320" w:top="1421" w:right="339" w:bottom="1440" w:gutter="0" w:footer="0" w:header="0"/>
        </w:sectPr>
      </w:pPr>
    </w:p>
    <w:bookmarkStart w:id="160" w:name="page161"/>
    <w:bookmarkEnd w:id="160"/>
    <w:p>
      <w:pPr>
        <w:jc w:val="both"/>
        <w:ind w:left="1300" w:firstLine="652"/>
        <w:spacing w:after="0" w:line="263" w:lineRule="auto"/>
        <w:tabs>
          <w:tab w:leader="none" w:pos="21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any prepayment made after the First Amendment Effective Date through and including the first anniversary of the First Amendment Effective Date, which, pursuant to Section 2.2(d), may not be a voluntary prepayment, three percent (3.00%) of the principal amount of the Term Loan prepaid;</w:t>
      </w:r>
    </w:p>
    <w:p>
      <w:pPr>
        <w:spacing w:after="0" w:line="210" w:lineRule="exact"/>
        <w:rPr>
          <w:rFonts w:ascii="Arial" w:cs="Arial" w:eastAsia="Arial" w:hAnsi="Arial"/>
          <w:sz w:val="18"/>
          <w:szCs w:val="18"/>
          <w:color w:val="auto"/>
        </w:rPr>
      </w:pPr>
    </w:p>
    <w:p>
      <w:pPr>
        <w:ind w:left="1300" w:firstLine="652"/>
        <w:spacing w:after="0" w:line="308" w:lineRule="auto"/>
        <w:tabs>
          <w:tab w:leader="none" w:pos="221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any prepayment made after the first anniversary of the First Amendment Effective Date through and including the second anniversary of the First Amendment Effective Date, two percent (2.00%) of the principal amount of the Term Loan prepaid;</w:t>
      </w:r>
    </w:p>
    <w:p>
      <w:pPr>
        <w:spacing w:after="0" w:line="173" w:lineRule="exact"/>
        <w:rPr>
          <w:rFonts w:ascii="Arial" w:cs="Arial" w:eastAsia="Arial" w:hAnsi="Arial"/>
          <w:sz w:val="17"/>
          <w:szCs w:val="17"/>
          <w:color w:val="auto"/>
        </w:rPr>
      </w:pPr>
    </w:p>
    <w:p>
      <w:pPr>
        <w:ind w:left="1300" w:right="20" w:firstLine="652"/>
        <w:spacing w:after="0" w:line="342" w:lineRule="auto"/>
        <w:tabs>
          <w:tab w:leader="none" w:pos="227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for any prepayment made after the second anniversary of the First Amendment Effective Date through and including the third anniversary of the First Amendment Effective Date, one percent (1.00%) of the principal amount of the Term Loan prepaid; and</w:t>
      </w:r>
    </w:p>
    <w:p>
      <w:pPr>
        <w:spacing w:after="0" w:line="150" w:lineRule="exact"/>
        <w:rPr>
          <w:rFonts w:ascii="Arial" w:cs="Arial" w:eastAsia="Arial" w:hAnsi="Arial"/>
          <w:sz w:val="16"/>
          <w:szCs w:val="16"/>
          <w:color w:val="auto"/>
        </w:rPr>
      </w:pPr>
    </w:p>
    <w:p>
      <w:pPr>
        <w:ind w:left="1300" w:right="20" w:firstLine="652"/>
        <w:spacing w:after="0" w:line="277" w:lineRule="auto"/>
        <w:tabs>
          <w:tab w:leader="none" w:pos="2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any prepayment made after the third anniversary of the First Amendment Effective Date, zero percent (0%) of the principal amount of the Term Loan prepaid.</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2.8 Section 13 (Definitions)</w:t>
      </w:r>
      <w:r>
        <w:rPr>
          <w:rFonts w:ascii="Arial" w:cs="Arial" w:eastAsia="Arial" w:hAnsi="Arial"/>
          <w:sz w:val="16"/>
          <w:szCs w:val="16"/>
          <w:color w:val="auto"/>
        </w:rPr>
        <w:t>. The following terms and their definitions are deleted in their entirety from Section 13 of the Loan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Margin</w:t>
      </w:r>
      <w:r>
        <w:rPr>
          <w:rFonts w:ascii="Arial" w:cs="Arial" w:eastAsia="Arial" w:hAnsi="Arial"/>
          <w:sz w:val="18"/>
          <w:szCs w:val="18"/>
          <w:color w:val="auto"/>
        </w:rPr>
        <w:t>”; “</w:t>
      </w:r>
      <w:r>
        <w:rPr>
          <w:rFonts w:ascii="Arial" w:cs="Arial" w:eastAsia="Arial" w:hAnsi="Arial"/>
          <w:sz w:val="18"/>
          <w:szCs w:val="18"/>
          <w:b w:val="1"/>
          <w:bCs w:val="1"/>
          <w:color w:val="auto"/>
        </w:rPr>
        <w:t>Gross Profit</w:t>
      </w:r>
      <w:r>
        <w:rPr>
          <w:rFonts w:ascii="Arial" w:cs="Arial" w:eastAsia="Arial" w:hAnsi="Arial"/>
          <w:sz w:val="18"/>
          <w:szCs w:val="18"/>
          <w:color w:val="auto"/>
        </w:rPr>
        <w:t>”; “</w:t>
      </w:r>
      <w:r>
        <w:rPr>
          <w:rFonts w:ascii="Arial" w:cs="Arial" w:eastAsia="Arial" w:hAnsi="Arial"/>
          <w:sz w:val="18"/>
          <w:szCs w:val="18"/>
          <w:b w:val="1"/>
          <w:bCs w:val="1"/>
          <w:color w:val="auto"/>
        </w:rPr>
        <w:t>Interest-Only Milestones”</w:t>
      </w:r>
      <w:r>
        <w:rPr>
          <w:rFonts w:ascii="Arial" w:cs="Arial" w:eastAsia="Arial" w:hAnsi="Arial"/>
          <w:sz w:val="18"/>
          <w:szCs w:val="18"/>
          <w:color w:val="auto"/>
        </w:rPr>
        <w:t xml:space="preserve">; </w:t>
      </w:r>
      <w:r>
        <w:rPr>
          <w:rFonts w:ascii="Arial" w:cs="Arial" w:eastAsia="Arial" w:hAnsi="Arial"/>
          <w:sz w:val="18"/>
          <w:szCs w:val="18"/>
          <w:b w:val="1"/>
          <w:bCs w:val="1"/>
          <w:color w:val="auto"/>
        </w:rPr>
        <w:t>“I/O Gross Margin 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“I/O Gross Profit</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w:t>
      </w:r>
      <w:r>
        <w:rPr>
          <w:rFonts w:ascii="Arial" w:cs="Arial" w:eastAsia="Arial" w:hAnsi="Arial"/>
          <w:sz w:val="18"/>
          <w:szCs w:val="18"/>
          <w:color w:val="auto"/>
        </w:rPr>
        <w:t>;</w:t>
      </w:r>
      <w:r>
        <w:rPr>
          <w:rFonts w:ascii="Arial" w:cs="Arial" w:eastAsia="Arial" w:hAnsi="Arial"/>
          <w:sz w:val="18"/>
          <w:szCs w:val="18"/>
          <w:b w:val="1"/>
          <w:bCs w:val="1"/>
          <w:color w:val="auto"/>
        </w:rPr>
        <w:t xml:space="preserve"> “I/O Revenue Milestone”</w:t>
      </w:r>
      <w:r>
        <w:rPr>
          <w:rFonts w:ascii="Arial" w:cs="Arial" w:eastAsia="Arial" w:hAnsi="Arial"/>
          <w:sz w:val="18"/>
          <w:szCs w:val="18"/>
          <w:color w:val="auto"/>
        </w:rPr>
        <w:t>;</w:t>
      </w:r>
      <w:r>
        <w:rPr>
          <w:rFonts w:ascii="Arial" w:cs="Arial" w:eastAsia="Arial" w:hAnsi="Arial"/>
          <w:sz w:val="18"/>
          <w:szCs w:val="18"/>
          <w:b w:val="1"/>
          <w:bCs w:val="1"/>
          <w:color w:val="auto"/>
        </w:rPr>
        <w:t xml:space="preserve"> “Permitted Prepayment Mandatory Warrant”</w:t>
      </w:r>
      <w:r>
        <w:rPr>
          <w:rFonts w:ascii="Arial" w:cs="Arial" w:eastAsia="Arial" w:hAnsi="Arial"/>
          <w:sz w:val="18"/>
          <w:szCs w:val="18"/>
          <w:color w:val="auto"/>
        </w:rPr>
        <w:t>;</w:t>
      </w:r>
      <w:r>
        <w:rPr>
          <w:rFonts w:ascii="Arial" w:cs="Arial" w:eastAsia="Arial" w:hAnsi="Arial"/>
          <w:sz w:val="18"/>
          <w:szCs w:val="18"/>
          <w:b w:val="1"/>
          <w:bCs w:val="1"/>
          <w:color w:val="auto"/>
        </w:rPr>
        <w:t xml:space="preserve"> “Permitted Prepayment Reason”</w:t>
      </w:r>
      <w:r>
        <w:rPr>
          <w:rFonts w:ascii="Arial" w:cs="Arial" w:eastAsia="Arial" w:hAnsi="Arial"/>
          <w:sz w:val="18"/>
          <w:szCs w:val="18"/>
          <w:color w:val="auto"/>
        </w:rPr>
        <w:t>;</w:t>
      </w:r>
      <w:r>
        <w:rPr>
          <w:rFonts w:ascii="Arial" w:cs="Arial" w:eastAsia="Arial" w:hAnsi="Arial"/>
          <w:sz w:val="18"/>
          <w:szCs w:val="18"/>
          <w:b w:val="1"/>
          <w:bCs w:val="1"/>
          <w:color w:val="auto"/>
        </w:rPr>
        <w:t xml:space="preserve"> “Prepayment Mandatory Fee”</w:t>
      </w:r>
      <w:r>
        <w:rPr>
          <w:rFonts w:ascii="Arial" w:cs="Arial" w:eastAsia="Arial" w:hAnsi="Arial"/>
          <w:sz w:val="18"/>
          <w:szCs w:val="18"/>
          <w:color w:val="auto"/>
        </w:rPr>
        <w:t>.</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Certificate) to the Loan Agreement is replaced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u w:val="single" w:color="auto"/>
          <w:color w:val="auto"/>
        </w:rPr>
        <w:t>Annex Q</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Plan) to the Loan Agreement is replaced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Q</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 xml:space="preserve">2.11 </w:t>
      </w:r>
      <w:r>
        <w:rPr>
          <w:rFonts w:ascii="Arial" w:cs="Arial" w:eastAsia="Arial" w:hAnsi="Arial"/>
          <w:sz w:val="17"/>
          <w:szCs w:val="17"/>
          <w:u w:val="single" w:color="auto"/>
          <w:color w:val="auto"/>
        </w:rPr>
        <w:t>Annex X</w:t>
      </w:r>
      <w:r>
        <w:rPr>
          <w:rFonts w:ascii="Arial" w:cs="Arial" w:eastAsia="Arial" w:hAnsi="Arial"/>
          <w:sz w:val="17"/>
          <w:szCs w:val="17"/>
          <w:b w:val="1"/>
          <w:bCs w:val="1"/>
          <w:color w:val="auto"/>
        </w:rPr>
        <w:t xml:space="preserve"> </w:t>
      </w:r>
      <w:r>
        <w:rPr>
          <w:rFonts w:ascii="Arial" w:cs="Arial" w:eastAsia="Arial" w:hAnsi="Arial"/>
          <w:sz w:val="17"/>
          <w:szCs w:val="17"/>
          <w:color w:val="auto"/>
        </w:rPr>
        <w:t>(Loan Interest Rate and Payment of Principal Schedule) attached hereto is added to the Loan Agreement.</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u w:val="single" w:color="auto"/>
          <w:color w:val="auto"/>
        </w:rPr>
        <w:t>Schedule I</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 Mandatory Fee) to the Loan Agreement is deleted in its entirety.</w:t>
      </w:r>
    </w:p>
    <w:p>
      <w:pPr>
        <w:spacing w:after="0" w:line="225"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Agreement.</w:t>
      </w:r>
    </w:p>
    <w:p>
      <w:pPr>
        <w:spacing w:after="0" w:line="225" w:lineRule="exact"/>
        <w:rPr>
          <w:sz w:val="20"/>
          <w:szCs w:val="20"/>
          <w:color w:val="auto"/>
        </w:rPr>
      </w:pPr>
    </w:p>
    <w:p>
      <w:pPr>
        <w:jc w:val="both"/>
        <w:ind w:firstLine="1944"/>
        <w:spacing w:after="0" w:line="31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This Agreement is effective for the purposes set forth herein and shall be limited precisely as written and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(a) be a consent to any amendment, waiver or modification of any other term or condition of any Loan Document, or (b) otherwise prejudice any right or remedy which Collateral Agent and Lenders may now have or may have in the future under or in connection with any Loan Document.</w:t>
      </w:r>
    </w:p>
    <w:p>
      <w:pPr>
        <w:spacing w:after="0" w:line="142" w:lineRule="exact"/>
        <w:rPr>
          <w:sz w:val="20"/>
          <w:szCs w:val="20"/>
          <w:color w:val="auto"/>
        </w:rPr>
      </w:pPr>
    </w:p>
    <w:p>
      <w:pPr>
        <w:jc w:val="both"/>
        <w:ind w:firstLine="1944"/>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Agreement shall be construed in connection with and as part of the Loan Documents, and all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and agreements set forth in the Loan Documents are hereby ratified and confirmed and shall remain in full force and effect.</w:t>
      </w:r>
    </w:p>
    <w:p>
      <w:pPr>
        <w:spacing w:after="0" w:line="176"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represents and warrants to Collateral Agent and Lenders as follows:</w:t>
      </w:r>
    </w:p>
    <w:p>
      <w:pPr>
        <w:sectPr>
          <w:pgSz w:w="11900" w:h="16838" w:orient="portrait"/>
          <w:cols w:equalWidth="0" w:num="1">
            <w:col w:w="11240"/>
          </w:cols>
          <w:pgMar w:left="320" w:top="1421" w:right="339" w:bottom="1440" w:gutter="0" w:footer="0" w:header="0"/>
        </w:sectPr>
      </w:pPr>
    </w:p>
    <w:bookmarkStart w:id="161" w:name="page162"/>
    <w:bookmarkEnd w:id="161"/>
    <w:p>
      <w:pPr>
        <w:jc w:val="both"/>
        <w:ind w:firstLine="1944"/>
        <w:spacing w:after="0" w:line="289"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(a) the representations and warranties contained in the Loan Documents are true, accurate and complete in all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respects as of the date hereof (except to the extent such representations and warranties relate to an earlier date, in which case they are true and correct as of such date), and (b) no Event of Default has occurred and is continuing immediately before and after giving effect to this Agreement;</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Borrower has the power and authority to execute and deliver this Agreement and to perform its obligations under the Loan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jc w:val="both"/>
        <w:ind w:firstLine="1944"/>
        <w:spacing w:after="0" w:line="34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The organizational documents of Borrower delivered to Collateral Agent and Lenders on the Effective Date or subsequent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remain true, accurate and complete and have not been amended, supplemented or restated and are and continue to be in full force and effect;</w:t>
      </w:r>
    </w:p>
    <w:p>
      <w:pPr>
        <w:spacing w:after="0" w:line="116" w:lineRule="exact"/>
        <w:rPr>
          <w:sz w:val="20"/>
          <w:szCs w:val="20"/>
          <w:color w:val="auto"/>
        </w:rPr>
      </w:pPr>
    </w:p>
    <w:p>
      <w:pPr>
        <w:jc w:val="both"/>
        <w:ind w:right="20" w:firstLine="1944"/>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Agreement and the performance by Borrower of its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 have been duly authorized by all necessary action on the part of Borrower;</w:t>
      </w:r>
    </w:p>
    <w:p>
      <w:pPr>
        <w:spacing w:after="0" w:line="162" w:lineRule="exact"/>
        <w:rPr>
          <w:sz w:val="20"/>
          <w:szCs w:val="20"/>
          <w:color w:val="auto"/>
        </w:rPr>
      </w:pPr>
    </w:p>
    <w:p>
      <w:pPr>
        <w:jc w:val="both"/>
        <w:ind w:firstLine="1944"/>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Agreement and the performance by Borrower of its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jc w:val="both"/>
        <w:ind w:firstLine="1944"/>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The execution and delivery by Borrower of this Agreement and the performance by Borrower of its obligations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Loan 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42" w:lineRule="exact"/>
        <w:rPr>
          <w:sz w:val="20"/>
          <w:szCs w:val="20"/>
          <w:color w:val="auto"/>
        </w:rPr>
      </w:pPr>
    </w:p>
    <w:p>
      <w:pPr>
        <w:jc w:val="both"/>
        <w:ind w:right="20" w:firstLine="1944"/>
        <w:spacing w:after="0" w:line="289"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color w:val="auto"/>
        </w:rPr>
        <w:t>This Agreement has been duly executed and delivered by Borrower and is the binding obligation of Borrower, 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jc w:val="both"/>
        <w:ind w:firstLine="656"/>
        <w:spacing w:after="0" w:line="261" w:lineRule="auto"/>
        <w:tabs>
          <w:tab w:leader="none" w:pos="129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Prior Agreement</w:t>
      </w:r>
      <w:r>
        <w:rPr>
          <w:rFonts w:ascii="Arial" w:cs="Arial" w:eastAsia="Arial" w:hAnsi="Arial"/>
          <w:sz w:val="18"/>
          <w:szCs w:val="18"/>
          <w:color w:val="auto"/>
        </w:rPr>
        <w:t>. The Loan Documents are hereby ratified and reaffirmed and shall remain in full force and effect. This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w:t>
      </w:r>
    </w:p>
    <w:p>
      <w:pPr>
        <w:spacing w:after="0" w:line="179" w:lineRule="exact"/>
        <w:rPr>
          <w:rFonts w:ascii="Arial" w:cs="Arial" w:eastAsia="Arial" w:hAnsi="Arial"/>
          <w:sz w:val="18"/>
          <w:szCs w:val="18"/>
          <w:b w:val="1"/>
          <w:bCs w:val="1"/>
          <w:color w:val="auto"/>
        </w:rPr>
      </w:pPr>
    </w:p>
    <w:p>
      <w:pPr>
        <w:jc w:val="both"/>
        <w:ind w:right="20" w:firstLine="656"/>
        <w:spacing w:after="0" w:line="266" w:lineRule="auto"/>
        <w:tabs>
          <w:tab w:leader="none" w:pos="129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Agreement and the Loan Documents represent the entire agreement about this subject matter and supersede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5" w:lineRule="exact"/>
        <w:rPr>
          <w:rFonts w:ascii="Arial" w:cs="Arial" w:eastAsia="Arial" w:hAnsi="Arial"/>
          <w:sz w:val="18"/>
          <w:szCs w:val="18"/>
          <w:b w:val="1"/>
          <w:bCs w:val="1"/>
          <w:color w:val="auto"/>
        </w:rPr>
      </w:pPr>
    </w:p>
    <w:p>
      <w:pPr>
        <w:ind w:firstLine="656"/>
        <w:spacing w:after="0" w:line="282" w:lineRule="auto"/>
        <w:tabs>
          <w:tab w:leader="none" w:pos="129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and all of such counterparts taken together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one and the same instrument.</w:t>
      </w:r>
    </w:p>
    <w:p>
      <w:pPr>
        <w:spacing w:after="0" w:line="161" w:lineRule="exact"/>
        <w:rPr>
          <w:rFonts w:ascii="Arial" w:cs="Arial" w:eastAsia="Arial" w:hAnsi="Arial"/>
          <w:sz w:val="18"/>
          <w:szCs w:val="18"/>
          <w:b w:val="1"/>
          <w:bCs w:val="1"/>
          <w:color w:val="auto"/>
        </w:rPr>
      </w:pPr>
    </w:p>
    <w:p>
      <w:pPr>
        <w:jc w:val="both"/>
        <w:ind w:firstLine="656"/>
        <w:spacing w:after="0" w:line="261" w:lineRule="auto"/>
        <w:tabs>
          <w:tab w:leader="none" w:pos="129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Effectiveness</w:t>
      </w:r>
      <w:r>
        <w:rPr>
          <w:rFonts w:ascii="Arial" w:cs="Arial" w:eastAsia="Arial" w:hAnsi="Arial"/>
          <w:sz w:val="18"/>
          <w:szCs w:val="18"/>
          <w:color w:val="auto"/>
        </w:rPr>
        <w:t>. This Agreement shall be deemed effective upon the due execution and delivery to Collateral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in form and substance reasonably satisfactory to Collateral Agent and each Lender, such documents, and completion of such other matters, as Collateral Agent and each Lender may reasonably deem necessary or appropriate (and requested in writing at least three Business Days prior to the date hereof), including, without limitation:</w:t>
      </w:r>
    </w:p>
    <w:p>
      <w:pPr>
        <w:sectPr>
          <w:pgSz w:w="11900" w:h="16838" w:orient="portrait"/>
          <w:cols w:equalWidth="0" w:num="1">
            <w:col w:w="11240"/>
          </w:cols>
          <w:pgMar w:left="320" w:top="1417" w:right="339" w:bottom="1440" w:gutter="0" w:footer="0" w:header="0"/>
        </w:sectPr>
      </w:pPr>
    </w:p>
    <w:bookmarkStart w:id="162" w:name="page163"/>
    <w:bookmarkEnd w:id="162"/>
    <w:p>
      <w:pPr>
        <w:ind w:left="1540" w:hanging="236"/>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this Agreement duly executed by each party hereto;</w:t>
      </w:r>
    </w:p>
    <w:p>
      <w:pPr>
        <w:spacing w:after="0" w:line="225" w:lineRule="exact"/>
        <w:rPr>
          <w:rFonts w:ascii="Arial" w:cs="Arial" w:eastAsia="Arial" w:hAnsi="Arial"/>
          <w:sz w:val="18"/>
          <w:szCs w:val="18"/>
          <w:color w:val="auto"/>
        </w:rPr>
      </w:pPr>
    </w:p>
    <w:p>
      <w:pPr>
        <w:ind w:left="1500" w:hanging="196"/>
        <w:spacing w:after="0"/>
        <w:tabs>
          <w:tab w:leader="none" w:pos="15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duly executed corporate borrowing certificate dated as of the date hereof; and</w:t>
      </w:r>
    </w:p>
    <w:p>
      <w:pPr>
        <w:spacing w:after="0" w:line="225" w:lineRule="exact"/>
        <w:rPr>
          <w:rFonts w:ascii="Arial" w:cs="Arial" w:eastAsia="Arial" w:hAnsi="Arial"/>
          <w:sz w:val="18"/>
          <w:szCs w:val="18"/>
          <w:color w:val="auto"/>
        </w:rPr>
      </w:pPr>
    </w:p>
    <w:p>
      <w:pPr>
        <w:ind w:left="1960" w:hanging="656"/>
        <w:spacing w:after="0" w:line="263" w:lineRule="auto"/>
        <w:tabs>
          <w:tab w:leader="none" w:pos="150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Borrower’s payment of all Lenders’ Expenses incurred through the date of this Agreement to the extent due and payable pursuant to Sections 2.4(d) or 12.2 of the Loan Agreement, which amount for the documentation and negotiation of this Agreement shall not exceed Fifteen Thousand Dollars ($15,000).</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1944"/>
        <w:spacing w:after="0" w:line="26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This Agreement shall constitute a Loan Document under the Loan Agreement; the failure to comply with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spacing w:after="0" w:line="180"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color w:val="auto"/>
        </w:rPr>
        <w:t>Each provision of this Agreement is severable from every other provision in determining the enforceability of any provision.</w:t>
      </w:r>
    </w:p>
    <w:p>
      <w:pPr>
        <w:spacing w:after="0" w:line="248" w:lineRule="exact"/>
        <w:rPr>
          <w:sz w:val="20"/>
          <w:szCs w:val="20"/>
          <w:color w:val="auto"/>
        </w:rPr>
      </w:pPr>
    </w:p>
    <w:p>
      <w:pPr>
        <w:ind w:firstLine="656"/>
        <w:spacing w:after="0" w:line="282" w:lineRule="auto"/>
        <w:tabs>
          <w:tab w:leader="none" w:pos="1291"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the rights and obligations of the parties hereto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laws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240"/>
          </w:cols>
          <w:pgMar w:left="320" w:top="1421" w:right="339" w:bottom="1440" w:gutter="0" w:footer="0" w:header="0"/>
        </w:sectPr>
      </w:pPr>
    </w:p>
    <w:bookmarkStart w:id="163" w:name="page164"/>
    <w:bookmarkEnd w:id="163"/>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date first written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 /s/Kamal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315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31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315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ectPr>
          <w:pgSz w:w="11900" w:h="16838" w:orient="portrait"/>
          <w:cols w:equalWidth="0" w:num="1">
            <w:col w:w="10119"/>
          </w:cols>
          <w:pgMar w:left="340" w:top="1417" w:right="1440" w:bottom="1440" w:gutter="0" w:footer="0" w:header="0"/>
        </w:sectPr>
      </w:pPr>
    </w:p>
    <w:bookmarkStart w:id="164" w:name="page165"/>
    <w:bookmarkEnd w:id="164"/>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date first written above.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INNOVATUS LIFE SCIENCES LENDING FUND I, 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 Innovatus Life Sciences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Andrew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315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Andrew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315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3231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ectPr>
          <w:pgSz w:w="11900" w:h="16838" w:orient="portrait"/>
          <w:cols w:equalWidth="0" w:num="1">
            <w:col w:w="10119"/>
          </w:cols>
          <w:pgMar w:left="340" w:top="1417"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Compliance Certificate</w:t>
      </w:r>
    </w:p>
    <w:p>
      <w:pPr>
        <w:sectPr>
          <w:pgSz w:w="11900" w:h="16838" w:orient="portrait"/>
          <w:cols w:equalWidth="0" w:num="1">
            <w:col w:w="9019"/>
          </w:cols>
          <w:pgMar w:left="1440" w:top="1417"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u w:val="single" w:color="auto"/>
          <w:color w:val="auto"/>
        </w:rPr>
        <w:t>ANNEX Q</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(Management Plan)</w:t>
      </w:r>
    </w:p>
    <w:p>
      <w:pPr>
        <w:sectPr>
          <w:pgSz w:w="11900" w:h="16838" w:orient="portrait"/>
          <w:cols w:equalWidth="0" w:num="1">
            <w:col w:w="9019"/>
          </w:cols>
          <w:pgMar w:left="1440" w:top="1417" w:right="1440"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u w:val="single" w:color="auto"/>
          <w:color w:val="auto"/>
        </w:rPr>
        <w:t>ANNEX 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(Loan Interest Rate and Payment of Principal Schedule)</w:t>
      </w:r>
    </w:p>
    <w:p>
      <w:pPr>
        <w:sectPr>
          <w:pgSz w:w="11900" w:h="16838" w:orient="portrait"/>
          <w:cols w:equalWidth="0" w:num="1">
            <w:col w:w="9019"/>
          </w:cols>
          <w:pgMar w:left="1440" w:top="1417"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10.41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EXAGEN INC.</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Debra Zack, MD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Zack,</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 am pleased to confirm our offer for you to join Exagen Inc. as Chief Medical Officer with a start date of 3/24/2020. This offer is contingent upon the successful completion of a pre-employment background check and proof of work eligibility. This is an exempt position and will report to Ron Rocca. We are offering you a bi-weekly salary of $14,615.38 ($380,000.00 annualized).</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You are eligible for achievement incentive compensation which will be contingent on you meeting certain performance goals. Your annual incentive compensation will be worth 45% of your annual salary and will be pro-rated in the first year to start date. In addition, you will receive 100,000 options to purchase the company's common stock contingent upon the approval of the Exagen Board of Directors, the timing of which will also be subject to the Board's discretion.</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 are eligible to participate in the Exagen benefits program, a summary of which you will receive under separate cover. You will accrue 3 weeks (or 120 hours) of paid time off a year in addition to the ten holidays currently recognized by Exagen.</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Exagen currently has a safe harbor 40l(k) plan and contributes an amount equal to 3% of your annual income into your 40l(k). There is no vesting period in the 40l(k). You must be employed by Exagen for 3 months before becoming eligible to participate in the 40l(k).</w:t>
      </w:r>
    </w:p>
    <w:p>
      <w:pPr>
        <w:spacing w:after="0" w:line="1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Employment at Will: This letter is intended to communicate certain terms and conditions of employment with Exagen Inc. but is not intended to be and should not be considered an employment contract. Your employment is not for a specific duration and may be terminated by you or Exagen Inc. at any time, for any reason or for no reason whatsoever, with or without notice and with or without cause unless otherwise specified by law. Your employment is "at will." The "at will" status of your employment may not be altered except by a separate written contract signed by the Chief Financial Officer of Exagen Inc. No one other than the Chief Financial Officer has the authority to enter into an employment contract with you.</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 look forward to working with you as a member of the Exagen team. We are excited about the contributions you will make to the success of our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please do not hesitate to contact me.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370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 Accept the Offer Stated Above</w:t>
            </w:r>
          </w:p>
        </w:tc>
      </w:tr>
      <w:tr>
        <w:trPr>
          <w:trHeight w:val="270"/>
        </w:trPr>
        <w:tc>
          <w:tcPr>
            <w:tcW w:w="6160" w:type="dxa"/>
            <w:vAlign w:val="bottom"/>
            <w:gridSpan w:val="2"/>
          </w:tcPr>
          <w:p>
            <w:pPr>
              <w:ind w:left="80"/>
              <w:spacing w:after="0"/>
              <w:rPr>
                <w:sz w:val="20"/>
                <w:szCs w:val="20"/>
                <w:color w:val="auto"/>
              </w:rPr>
            </w:pPr>
            <w:r>
              <w:rPr>
                <w:rFonts w:ascii="Arial" w:cs="Arial" w:eastAsia="Arial" w:hAnsi="Arial"/>
                <w:sz w:val="18"/>
                <w:szCs w:val="18"/>
                <w:color w:val="auto"/>
              </w:rPr>
              <w:t>/s/ Kamal Adawi</w:t>
            </w:r>
          </w:p>
        </w:tc>
        <w:tc>
          <w:tcPr>
            <w:tcW w:w="3700" w:type="dxa"/>
            <w:vAlign w:val="bottom"/>
          </w:tcPr>
          <w:p>
            <w:pPr>
              <w:ind w:left="60"/>
              <w:spacing w:after="0"/>
              <w:rPr>
                <w:sz w:val="20"/>
                <w:szCs w:val="20"/>
                <w:color w:val="auto"/>
              </w:rPr>
            </w:pPr>
            <w:r>
              <w:rPr>
                <w:rFonts w:ascii="Arial" w:cs="Arial" w:eastAsia="Arial" w:hAnsi="Arial"/>
                <w:sz w:val="18"/>
                <w:szCs w:val="18"/>
                <w:color w:val="auto"/>
              </w:rPr>
              <w:t>/s/ Debra Zack</w:t>
            </w:r>
          </w:p>
        </w:tc>
      </w:tr>
      <w:tr>
        <w:trPr>
          <w:trHeight w:val="27"/>
        </w:trPr>
        <w:tc>
          <w:tcPr>
            <w:tcW w:w="386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Kamal Adawi</w:t>
            </w:r>
          </w:p>
        </w:tc>
        <w:tc>
          <w:tcPr>
            <w:tcW w:w="3700" w:type="dxa"/>
            <w:vAlign w:val="bottom"/>
          </w:tcPr>
          <w:p>
            <w:pPr>
              <w:spacing w:after="0"/>
              <w:rPr>
                <w:sz w:val="20"/>
                <w:szCs w:val="20"/>
                <w:color w:val="auto"/>
              </w:rPr>
            </w:pPr>
            <w:r>
              <w:rPr>
                <w:rFonts w:ascii="Arial" w:cs="Arial" w:eastAsia="Arial" w:hAnsi="Arial"/>
                <w:sz w:val="18"/>
                <w:szCs w:val="18"/>
                <w:color w:val="auto"/>
              </w:rPr>
              <w:t>Debra Zack, MD Ph.D.</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700" w:type="dxa"/>
            <w:vAlign w:val="bottom"/>
          </w:tcPr>
          <w:p>
            <w:pPr>
              <w:spacing w:after="0"/>
              <w:rPr>
                <w:sz w:val="23"/>
                <w:szCs w:val="23"/>
                <w:color w:val="auto"/>
              </w:rPr>
            </w:pPr>
          </w:p>
        </w:tc>
      </w:tr>
    </w:tbl>
    <w:p>
      <w:pPr>
        <w:sectPr>
          <w:pgSz w:w="11900" w:h="16838" w:orient="portrait"/>
          <w:cols w:equalWidth="0" w:num="1">
            <w:col w:w="11240"/>
          </w:cols>
          <w:pgMar w:left="320" w:top="1417" w:right="339" w:bottom="1440" w:gutter="0" w:footer="0" w:header="0"/>
        </w:sectPr>
      </w:pPr>
    </w:p>
    <w:bookmarkStart w:id="169" w:name="page170"/>
    <w:bookmarkEnd w:id="169"/>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Form S-8 (No. 333-233878) of Exagen Inc. of our report dated March 25, 2020, relating to the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ectPr>
          <w:pgSz w:w="11900" w:h="16838" w:orient="portrait"/>
          <w:cols w:equalWidth="0" w:num="1">
            <w:col w:w="11240"/>
          </w:cols>
          <w:pgMar w:left="320" w:top="1440"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right="120" w:firstLine="332"/>
        <w:spacing w:after="0" w:line="355" w:lineRule="auto"/>
        <w:tabs>
          <w:tab w:leader="none" w:pos="78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171" w:name="page172"/>
    <w:bookmarkEnd w:id="171"/>
    <w:p>
      <w:pPr>
        <w:ind w:left="-20" w:firstLine="332"/>
        <w:spacing w:after="0" w:line="355" w:lineRule="auto"/>
        <w:tabs>
          <w:tab w:leader="none" w:pos="76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Date: March 25, 2020</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43"/>
        </w:trPr>
        <w:tc>
          <w:tcPr>
            <w:tcW w:w="50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324"/>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38"/>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340" w:top="1111" w:right="6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right="120" w:firstLine="332"/>
        <w:spacing w:after="0" w:line="355" w:lineRule="auto"/>
        <w:tabs>
          <w:tab w:leader="none" w:pos="78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173" w:name="page174"/>
    <w:bookmarkEnd w:id="173"/>
    <w:p>
      <w:pPr>
        <w:ind w:left="-20" w:firstLine="332"/>
        <w:spacing w:after="0" w:line="355" w:lineRule="auto"/>
        <w:tabs>
          <w:tab w:leader="none" w:pos="76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Date: March 25, 2020</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43"/>
        </w:trPr>
        <w:tc>
          <w:tcPr>
            <w:tcW w:w="50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324"/>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338"/>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0860"/>
          </w:cols>
          <w:pgMar w:left="340" w:top="1111" w:right="6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2019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2020</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50" w:lineRule="auto"/>
        <w:tabs>
          <w:tab w:leader="none" w:pos="11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2019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2020</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1."/>
      <w:numFmt w:val="decimal"/>
      <w:start w:val="1"/>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1)"/>
      <w:numFmt w:val="lowerRoman"/>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1"/>
      <w:numFmt w:val="upperLetter"/>
      <w:start w:val="35"/>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1."/>
      <w:numFmt w:val="lowerLetter"/>
      <w:start w:val="1"/>
    </w:lvl>
  </w:abstractNum>
  <w:abstractNum w:abstractNumId="41">
    <w:nsid w:val="26F324BA"/>
    <w:multiLevelType w:val="hybridMultilevel"/>
    <w:lvl w:ilvl="0">
      <w:lvlJc w:val="left"/>
      <w:lvlText w:val="(%1)"/>
      <w:numFmt w:val="lowerRoman"/>
      <w:start w:val="1"/>
    </w:lvl>
  </w:abstractNum>
  <w:abstractNum w:abstractNumId="42">
    <w:nsid w:val="7F01579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3">
    <w:nsid w:val="49DA307D"/>
    <w:multiLevelType w:val="hybridMultilevel"/>
    <w:lvl w:ilvl="0">
      <w:lvlJc w:val="left"/>
      <w:lvlText w:val="(%1)"/>
      <w:numFmt w:val="lowerRoman"/>
      <w:start w:val="1"/>
    </w:lvl>
  </w:abstractNum>
  <w:abstractNum w:abstractNumId="44">
    <w:nsid w:val="7055A5F5"/>
    <w:multiLevelType w:val="hybridMultilevel"/>
    <w:lvl w:ilvl="0">
      <w:lvlJc w:val="left"/>
      <w:lvlText w:val="☐"/>
      <w:numFmt w:val="bullet"/>
      <w:start w:val="1"/>
    </w:lvl>
    <w:lvl w:ilvl="1">
      <w:lvlJc w:val="left"/>
      <w:lvlText w:val="%2"/>
      <w:numFmt w:val="lowerLetter"/>
      <w:start w:val="1"/>
    </w:lvl>
    <w:lvl w:ilvl="2">
      <w:lvlJc w:val="left"/>
      <w:lvlText w:val="%3)"/>
      <w:numFmt w:val="decimal"/>
      <w:start w:val="2"/>
    </w:lvl>
  </w:abstractNum>
  <w:abstractNum w:abstractNumId="45">
    <w:nsid w:val="5FB8370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1."/>
      <w:numFmt w:val="decimal"/>
      <w:start w:val="1"/>
    </w:lvl>
    <w:lvl w:ilvl="1">
      <w:lvlJc w:val="left"/>
      <w:lvlText w:val="%2."/>
      <w:numFmt w:val="lowerLetter"/>
      <w:start w:val="1"/>
    </w:lvl>
  </w:abstractNum>
  <w:abstractNum w:abstractNumId="48">
    <w:nsid w:val="5FB8011C"/>
    <w:multiLevelType w:val="hybridMultilevel"/>
    <w:lvl w:ilvl="0">
      <w:lvlJc w:val="left"/>
      <w:lvlText w:val="%1."/>
      <w:numFmt w:val="decimal"/>
      <w:start w:val="4"/>
    </w:lvl>
  </w:abstractNum>
  <w:abstractNum w:abstractNumId="49">
    <w:nsid w:val="6AA78F7F"/>
    <w:multiLevelType w:val="hybridMultilevel"/>
    <w:lvl w:ilvl="0">
      <w:lvlJc w:val="left"/>
      <w:lvlText w:val="%1."/>
      <w:numFmt w:val="decimal"/>
      <w:start w:val="8"/>
    </w:lvl>
  </w:abstractNum>
  <w:abstractNum w:abstractNumId="50">
    <w:nsid w:val="7672BD23"/>
    <w:multiLevelType w:val="hybridMultilevel"/>
    <w:lvl w:ilvl="0">
      <w:lvlJc w:val="left"/>
      <w:lvlText w:val="%1."/>
      <w:numFmt w:val="decimal"/>
      <w:start w:val="9"/>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5"/>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
      <w:numFmt w:val="bullet"/>
      <w:start w:val="1"/>
    </w:lvl>
    <w:lvl w:ilvl="1">
      <w:lvlJc w:val="left"/>
      <w:lvlText w:val="(%2)"/>
      <w:numFmt w:val="lowerLetter"/>
      <w:start w:val="2"/>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1."/>
      <w:numFmt w:val="decimal"/>
      <w:start w:val="1"/>
    </w:lvl>
    <w:lvl w:ilvl="1">
      <w:lvlJc w:val="left"/>
      <w:lvlText w:val="☑"/>
      <w:numFmt w:val="bullet"/>
      <w:start w:val="1"/>
    </w:lvl>
  </w:abstractNum>
  <w:abstractNum w:abstractNumId="58">
    <w:nsid w:val="3FA62ACA"/>
    <w:multiLevelType w:val="hybridMultilevel"/>
    <w:lvl w:ilvl="0">
      <w:lvlJc w:val="left"/>
      <w:lvlText w:val="(%1)"/>
      <w:numFmt w:val="lowerLetter"/>
      <w:start w:val="1"/>
    </w:lvl>
    <w:lvl w:ilvl="1">
      <w:lvlJc w:val="left"/>
      <w:lvlText w:val="(%2)"/>
      <w:numFmt w:val="lowerLetter"/>
      <w:start w:val="3"/>
    </w:lvl>
  </w:abstractNum>
  <w:abstractNum w:abstractNumId="59">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0">
    <w:nsid w:val="6A3DD3E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61">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2">
    <w:nsid w:val="9DAF632"/>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5"/>
    </w:lvl>
  </w:abstractNum>
  <w:abstractNum w:abstractNumId="63">
    <w:nsid w:val="53299938"/>
    <w:multiLevelType w:val="hybridMultilevel"/>
    <w:lvl w:ilvl="0">
      <w:lvlJc w:val="left"/>
      <w:lvlText w:val="%1"/>
      <w:numFmt w:val="decimal"/>
      <w:start w:val="1"/>
    </w:lvl>
    <w:lvl w:ilvl="1">
      <w:lvlJc w:val="left"/>
      <w:lvlText w:val="(%2)"/>
      <w:numFmt w:val="lowerLetter"/>
      <w:start w:val="6"/>
    </w:lvl>
  </w:abstractNum>
  <w:abstractNum w:abstractNumId="64">
    <w:nsid w:val="1FBFE8E0"/>
    <w:multiLevelType w:val="hybridMultilevel"/>
    <w:lvl w:ilvl="0">
      <w:lvlJc w:val="left"/>
      <w:lvlText w:val="%1."/>
      <w:numFmt w:val="decimal"/>
      <w:start w:val="3"/>
    </w:lvl>
    <w:lvl w:ilvl="1">
      <w:lvlJc w:val="left"/>
      <w:lvlText w:val="%2"/>
      <w:numFmt w:val="lowerLetter"/>
      <w:start w:val="1"/>
    </w:lvl>
  </w:abstractNum>
  <w:abstractNum w:abstractNumId="65">
    <w:nsid w:val="5092CA79"/>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7"/>
    </w:lvl>
  </w:abstractNum>
  <w:abstractNum w:abstractNumId="66">
    <w:nsid w:val="1D545C4D"/>
    <w:multiLevelType w:val="hybridMultilevel"/>
    <w:lvl w:ilvl="0">
      <w:lvlJc w:val="left"/>
      <w:lvlText w:val="%1"/>
      <w:numFmt w:val="lowerRoman"/>
      <w:start w:val="1"/>
    </w:lvl>
    <w:lvl w:ilvl="1">
      <w:lvlJc w:val="left"/>
      <w:lvlText w:val="(%2)"/>
      <w:numFmt w:val="lowerLetter"/>
      <w:start w:val="30"/>
    </w:lvl>
  </w:abstractNum>
  <w:abstractNum w:abstractNumId="67">
    <w:nsid w:val="59ADEA3D"/>
    <w:multiLevelType w:val="hybridMultilevel"/>
    <w:lvl w:ilvl="0">
      <w:lvlJc w:val="left"/>
      <w:lvlText w:val="(%1)"/>
      <w:numFmt w:val="lowerRoman"/>
      <w:start w:val="2"/>
    </w:lvl>
    <w:lvl w:ilvl="1">
      <w:lvlJc w:val="left"/>
      <w:lvlText w:val="%2"/>
      <w:numFmt w:val="lowerLetter"/>
      <w:start w:val="1"/>
    </w:lvl>
  </w:abstractNum>
  <w:abstractNum w:abstractNumId="68">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69">
    <w:nsid w:val="2A155D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0">
    <w:nsid w:val="1D9F6E5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97E1B4E"/>
    <w:multiLevelType w:val="hybridMultilevel"/>
    <w:lvl w:ilvl="0">
      <w:lvlJc w:val="left"/>
      <w:lvlText w:val="(%1)"/>
      <w:numFmt w:val="lowerLetter"/>
      <w:start w:val="1"/>
    </w:lvl>
  </w:abstractNum>
  <w:abstractNum w:abstractNumId="72">
    <w:nsid w:val="51088277"/>
    <w:multiLevelType w:val="hybridMultilevel"/>
    <w:lvl w:ilvl="0">
      <w:lvlJc w:val="left"/>
      <w:lvlText w:val="(%1)"/>
      <w:numFmt w:val="lowerLetter"/>
      <w:start w:val="5"/>
    </w:lvl>
  </w:abstractNum>
  <w:abstractNum w:abstractNumId="73">
    <w:nsid w:val="1CA0C5FA"/>
    <w:multiLevelType w:val="hybridMultilevel"/>
    <w:lvl w:ilvl="0">
      <w:lvlJc w:val="left"/>
      <w:lvlText w:val="%1."/>
      <w:numFmt w:val="decimal"/>
      <w:start w:val="7"/>
    </w:lvl>
    <w:lvl w:ilvl="1">
      <w:lvlJc w:val="left"/>
      <w:lvlText w:val="(%2)"/>
      <w:numFmt w:val="lowerLetter"/>
      <w:start w:val="1"/>
    </w:lvl>
  </w:abstractNum>
  <w:abstractNum w:abstractNumId="74">
    <w:nsid w:val="53584BCB"/>
    <w:multiLevelType w:val="hybridMultilevel"/>
    <w:lvl w:ilvl="0">
      <w:lvlJc w:val="left"/>
      <w:lvlText w:val="%1"/>
      <w:numFmt w:val="decimal"/>
      <w:start w:val="1"/>
    </w:lvl>
    <w:lvl w:ilvl="1">
      <w:lvlJc w:val="left"/>
      <w:lvlText w:val="(%2)"/>
      <w:numFmt w:val="lowerLetter"/>
      <w:start w:val="3"/>
    </w:lvl>
  </w:abstractNum>
  <w:abstractNum w:abstractNumId="75">
    <w:nsid w:val="415E286C"/>
    <w:multiLevelType w:val="hybridMultilevel"/>
    <w:lvl w:ilvl="0">
      <w:lvlJc w:val="left"/>
      <w:lvlText w:val="%1"/>
      <w:numFmt w:val="decimal"/>
      <w:start w:val="1"/>
    </w:lvl>
    <w:lvl w:ilvl="1">
      <w:lvlJc w:val="left"/>
      <w:lvlText w:val="(%2)"/>
      <w:numFmt w:val="lowerLetter"/>
      <w:start w:val="1"/>
    </w:lvl>
  </w:abstractNum>
  <w:abstractNum w:abstractNumId="76">
    <w:nsid w:val="7C58FD05"/>
    <w:multiLevelType w:val="hybridMultilevel"/>
    <w:lvl w:ilvl="0">
      <w:lvlJc w:val="left"/>
      <w:lvlText w:val="%1"/>
      <w:numFmt w:val="decimal"/>
      <w:start w:val="1"/>
    </w:lvl>
    <w:lvl w:ilvl="1">
      <w:lvlJc w:val="left"/>
      <w:lvlText w:val="(%2)"/>
      <w:numFmt w:val="lowerLetter"/>
      <w:start w:val="1"/>
    </w:lvl>
  </w:abstractNum>
  <w:abstractNum w:abstractNumId="77">
    <w:nsid w:val="23D86AAC"/>
    <w:multiLevelType w:val="hybridMultilevel"/>
    <w:lvl w:ilvl="0">
      <w:lvlJc w:val="left"/>
      <w:lvlText w:val="%1."/>
      <w:numFmt w:val="decimal"/>
      <w:start w:val="8"/>
    </w:lvl>
    <w:lvl w:ilvl="1">
      <w:lvlJc w:val="left"/>
      <w:lvlText w:val="%2"/>
      <w:numFmt w:val="lowerLetter"/>
      <w:start w:val="1"/>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decimal"/>
      <w:start w:val="1"/>
    </w:lvl>
    <w:lvl w:ilvl="1">
      <w:lvlJc w:val="left"/>
      <w:lvlText w:val="(%2)"/>
      <w:numFmt w:val="lowerLetter"/>
      <w:start w:val="3"/>
    </w:lvl>
  </w:abstractNum>
  <w:abstractNum w:abstractNumId="81">
    <w:nsid w:val="3C5991AA"/>
    <w:multiLevelType w:val="hybridMultilevel"/>
    <w:lvl w:ilvl="0">
      <w:lvlJc w:val="left"/>
      <w:lvlText w:val="%1"/>
      <w:numFmt w:val="decimal"/>
      <w:start w:val="1"/>
    </w:lvl>
    <w:lvl w:ilvl="1">
      <w:lvlJc w:val="left"/>
      <w:lvlText w:val="(%2)"/>
      <w:numFmt w:val="lowerLetter"/>
      <w:start w:val="1"/>
    </w:lvl>
  </w:abstractNum>
  <w:abstractNum w:abstractNumId="82">
    <w:nsid w:val="4BD8591A"/>
    <w:multiLevelType w:val="hybridMultilevel"/>
    <w:lvl w:ilvl="0">
      <w:lvlJc w:val="left"/>
      <w:lvlText w:val="%1."/>
      <w:numFmt w:val="decimal"/>
      <w:start w:val="9"/>
    </w:lvl>
    <w:lvl w:ilvl="1">
      <w:lvlJc w:val="left"/>
      <w:lvlText w:val="%2"/>
      <w:numFmt w:val="lowerLetter"/>
      <w:start w:val="1"/>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lowerLetter"/>
      <w:start w:val="5"/>
    </w:lvl>
  </w:abstractNum>
  <w:abstractNum w:abstractNumId="85">
    <w:nsid w:val="2B0D8DBE"/>
    <w:multiLevelType w:val="hybridMultilevel"/>
    <w:lvl w:ilvl="0">
      <w:lvlJc w:val="left"/>
      <w:lvlText w:val="%1"/>
      <w:numFmt w:val="decimal"/>
      <w:start w:val="1"/>
    </w:lvl>
    <w:lvl w:ilvl="1">
      <w:lvlJc w:val="left"/>
      <w:lvlText w:val="(%2)"/>
      <w:numFmt w:val="lowerLetter"/>
      <w:start w:val="1"/>
    </w:lvl>
  </w:abstractNum>
  <w:abstractNum w:abstractNumId="86">
    <w:nsid w:val="6C80EC70"/>
    <w:multiLevelType w:val="hybridMultilevel"/>
    <w:lvl w:ilvl="0">
      <w:lvlJc w:val="left"/>
      <w:lvlText w:val="%1."/>
      <w:numFmt w:val="decimal"/>
      <w:start w:val="10"/>
    </w:lvl>
    <w:lvl w:ilvl="1">
      <w:lvlJc w:val="left"/>
      <w:lvlText w:val="%2"/>
      <w:numFmt w:val="lowerLetter"/>
      <w:start w:val="1"/>
    </w:lvl>
  </w:abstractNum>
  <w:abstractNum w:abstractNumId="87">
    <w:nsid w:val="379E21B5"/>
    <w:multiLevelType w:val="hybridMultilevel"/>
    <w:lvl w:ilvl="0">
      <w:lvlJc w:val="left"/>
      <w:lvlText w:val="%1."/>
      <w:numFmt w:val="decimal"/>
      <w:start w:val="11"/>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4"/>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3"/>
    </w:lvl>
  </w:abstractNum>
  <w:abstractNum w:abstractNumId="92">
    <w:nsid w:val="1DF029D3"/>
    <w:multiLevelType w:val="hybridMultilevel"/>
    <w:lvl w:ilvl="0">
      <w:lvlJc w:val="left"/>
      <w:lvlText w:val="%1"/>
      <w:numFmt w:val="decimal"/>
      <w:start w:val="1"/>
    </w:lvl>
    <w:lvl w:ilvl="1">
      <w:lvlJc w:val="left"/>
      <w:lvlText w:val="(%2)"/>
      <w:numFmt w:val="lowerLetter"/>
      <w:start w:val="7"/>
    </w:lvl>
  </w:abstractNum>
  <w:abstractNum w:abstractNumId="93">
    <w:nsid w:val="5675FF36"/>
    <w:multiLevelType w:val="hybridMultilevel"/>
    <w:lvl w:ilvl="0">
      <w:lvlJc w:val="left"/>
      <w:lvlText w:val="%1"/>
      <w:numFmt w:val="decimal"/>
      <w:start w:val="1"/>
    </w:lvl>
    <w:lvl w:ilvl="1">
      <w:lvlJc w:val="left"/>
      <w:lvlText w:val="(%2)"/>
      <w:numFmt w:val="lowerLetter"/>
      <w:start w:val="1"/>
    </w:lvl>
  </w:abstractNum>
  <w:abstractNum w:abstractNumId="94">
    <w:nsid w:val="3DD15094"/>
    <w:multiLevelType w:val="hybridMultilevel"/>
    <w:lvl w:ilvl="0">
      <w:lvlJc w:val="left"/>
      <w:lvlText w:val="%1."/>
      <w:numFmt w:val="decimal"/>
      <w:start w:val="13"/>
    </w:lvl>
    <w:lvl w:ilvl="1">
      <w:lvlJc w:val="left"/>
      <w:lvlText w:val="%2"/>
      <w:numFmt w:val="lowerLetter"/>
      <w:start w:val="1"/>
    </w:lvl>
  </w:abstractNum>
  <w:abstractNum w:abstractNumId="95">
    <w:nsid w:val="3DB012B3"/>
    <w:multiLevelType w:val="hybridMultilevel"/>
    <w:lvl w:ilvl="0">
      <w:lvlJc w:val="left"/>
      <w:lvlText w:val="(%1)"/>
      <w:numFmt w:val="lowerLetter"/>
      <w:start w:val="2"/>
    </w:lvl>
  </w:abstractNum>
  <w:abstractNum w:abstractNumId="96">
    <w:nsid w:val="2708C9AF"/>
    <w:multiLevelType w:val="hybridMultilevel"/>
    <w:lvl w:ilvl="0">
      <w:lvlJc w:val="left"/>
      <w:lvlText w:val="(%1)"/>
      <w:numFmt w:val="lowerLetter"/>
      <w:start w:val="5"/>
    </w:lvl>
  </w:abstractNum>
  <w:abstractNum w:abstractNumId="97">
    <w:nsid w:val="5B25ACE2"/>
    <w:multiLevelType w:val="hybridMultilevel"/>
    <w:lvl w:ilvl="0">
      <w:lvlJc w:val="left"/>
      <w:lvlText w:val="(%1)"/>
      <w:numFmt w:val="lowerLetter"/>
      <w:start w:val="7"/>
    </w:lvl>
  </w:abstractNum>
  <w:abstractNum w:abstractNumId="98">
    <w:nsid w:val="175DFCF0"/>
    <w:multiLevelType w:val="hybridMultilevel"/>
    <w:lvl w:ilvl="0">
      <w:lvlJc w:val="left"/>
      <w:lvlText w:val="(%1)"/>
      <w:numFmt w:val="lowerLetter"/>
      <w:start w:val="2"/>
    </w:lvl>
  </w:abstractNum>
  <w:abstractNum w:abstractNumId="99">
    <w:nsid w:val="4F97E3E4"/>
    <w:multiLevelType w:val="hybridMultilevel"/>
    <w:lvl w:ilvl="0">
      <w:lvlJc w:val="left"/>
      <w:lvlText w:val="(%1)"/>
      <w:numFmt w:val="lowerLetter"/>
      <w:start w:val="1"/>
    </w:lvl>
  </w:abstractNum>
  <w:abstractNum w:abstractNumId="100">
    <w:nsid w:val="53B0A9E"/>
    <w:multiLevelType w:val="hybridMultilevel"/>
    <w:lvl w:ilvl="0">
      <w:lvlJc w:val="left"/>
      <w:lvlText w:val="%1."/>
      <w:numFmt w:val="decimal"/>
      <w:start w:val="14"/>
    </w:lvl>
  </w:abstractNum>
  <w:abstractNum w:abstractNumId="101">
    <w:nsid w:val="34FD6B4F"/>
    <w:multiLevelType w:val="hybridMultilevel"/>
    <w:lvl w:ilvl="0">
      <w:lvlJc w:val="left"/>
      <w:lvlText w:val="%1."/>
      <w:numFmt w:val="decimal"/>
      <w:start w:val="16"/>
    </w:lvl>
    <w:lvl w:ilvl="1">
      <w:lvlJc w:val="left"/>
      <w:lvlText w:val="(%2)"/>
      <w:numFmt w:val="lowerLetter"/>
      <w:start w:val="1"/>
    </w:lvl>
  </w:abstractNum>
  <w:abstractNum w:abstractNumId="102">
    <w:nsid w:val="5915FF32"/>
    <w:multiLevelType w:val="hybridMultilevel"/>
    <w:lvl w:ilvl="0">
      <w:lvlJc w:val="left"/>
      <w:lvlText w:val="(%1)"/>
      <w:numFmt w:val="lowerLetter"/>
      <w:start w:val="3"/>
    </w:lvl>
  </w:abstractNum>
  <w:abstractNum w:abstractNumId="103">
    <w:nsid w:val="56438D15"/>
    <w:multiLevelType w:val="hybridMultilevel"/>
    <w:lvl w:ilvl="0">
      <w:lvlJc w:val="left"/>
      <w:lvlText w:val="%1."/>
      <w:numFmt w:val="decimal"/>
      <w:start w:val="17"/>
    </w:lvl>
  </w:abstractNum>
  <w:abstractNum w:abstractNumId="104">
    <w:nsid w:val="519E3149"/>
    <w:multiLevelType w:val="hybridMultilevel"/>
    <w:lvl w:ilvl="0">
      <w:lvlJc w:val="left"/>
      <w:lvlText w:val="%1."/>
      <w:numFmt w:val="decimal"/>
      <w:start w:val="24"/>
    </w:lvl>
    <w:lvl w:ilvl="1">
      <w:lvlJc w:val="left"/>
      <w:lvlText w:val="(%2)"/>
      <w:numFmt w:val="lowerLetter"/>
      <w:start w:val="1"/>
    </w:lvl>
  </w:abstractNum>
  <w:abstractNum w:abstractNumId="105">
    <w:nsid w:val="2C6E4AF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6">
    <w:nsid w:val="17A1B582"/>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1."/>
      <w:numFmt w:val="decimal"/>
      <w:start w:val="26"/>
    </w:lvl>
  </w:abstractNum>
  <w:abstractNum w:abstractNumId="109">
    <w:nsid w:val="5D888A08"/>
    <w:multiLevelType w:val="hybridMultilevel"/>
    <w:lvl w:ilvl="0">
      <w:lvlJc w:val="left"/>
      <w:lvlText w:val="%1."/>
      <w:numFmt w:val="decimal"/>
      <w:start w:val="31"/>
    </w:lvl>
  </w:abstractNum>
  <w:abstractNum w:abstractNumId="110">
    <w:nsid w:val="2A082C70"/>
    <w:multiLevelType w:val="hybridMultilevel"/>
    <w:lvl w:ilvl="0">
      <w:lvlJc w:val="left"/>
      <w:lvlText w:val="%1."/>
      <w:numFmt w:val="decimal"/>
      <w:start w:val="38"/>
    </w:lvl>
  </w:abstractNum>
  <w:abstractNum w:abstractNumId="111">
    <w:nsid w:val="5EC6AFD4"/>
    <w:multiLevelType w:val="hybridMultilevel"/>
    <w:lvl w:ilvl="0">
      <w:lvlJc w:val="left"/>
      <w:lvlText w:val="%1"/>
      <w:numFmt w:val="decimal"/>
      <w:start w:val="1"/>
    </w:lvl>
    <w:lvl w:ilvl="1">
      <w:lvlJc w:val="left"/>
      <w:lvlText w:val="(%2)"/>
      <w:numFmt w:val="lowerLetter"/>
      <w:start w:val="1"/>
    </w:lvl>
  </w:abstractNum>
  <w:abstractNum w:abstractNumId="112">
    <w:nsid w:val="19E21BB2"/>
    <w:multiLevelType w:val="hybridMultilevel"/>
    <w:lvl w:ilvl="0">
      <w:lvlJc w:val="left"/>
      <w:lvlText w:val="%1."/>
      <w:numFmt w:val="decimal"/>
      <w:start w:val="40"/>
    </w:lvl>
    <w:lvl w:ilvl="1">
      <w:lvlJc w:val="left"/>
      <w:lvlText w:val="%2"/>
      <w:numFmt w:val="lowerLetter"/>
      <w:start w:val="1"/>
    </w:lvl>
  </w:abstractNum>
  <w:abstractNum w:abstractNumId="113">
    <w:nsid w:val="75E0858A"/>
    <w:multiLevelType w:val="hybridMultilevel"/>
    <w:lvl w:ilvl="0">
      <w:lvlJc w:val="left"/>
      <w:lvlText w:val="%1."/>
      <w:numFmt w:val="decimal"/>
      <w:start w:val="41"/>
    </w:lvl>
    <w:lvl w:ilvl="1">
      <w:lvlJc w:val="left"/>
      <w:lvlText w:val="(%2)"/>
      <w:numFmt w:val="lowerLetter"/>
      <w:start w:val="1"/>
    </w:lvl>
  </w:abstractNum>
  <w:abstractNum w:abstractNumId="114">
    <w:nsid w:val="57A61A29"/>
    <w:multiLevelType w:val="hybridMultilevel"/>
    <w:lvl w:ilvl="0">
      <w:lvlJc w:val="left"/>
      <w:lvlText w:val="%1"/>
      <w:numFmt w:val="decimal"/>
      <w:start w:val="1"/>
    </w:lvl>
    <w:lvl w:ilvl="1">
      <w:lvlJc w:val="left"/>
      <w:lvlText w:val="(%2)"/>
      <w:numFmt w:val="lowerLetter"/>
      <w:start w:val="3"/>
    </w:lvl>
  </w:abstractNum>
  <w:abstractNum w:abstractNumId="115">
    <w:nsid w:val="5399C654"/>
    <w:multiLevelType w:val="hybridMultilevel"/>
    <w:lvl w:ilvl="0">
      <w:lvlJc w:val="left"/>
      <w:lvlText w:val="%1."/>
      <w:numFmt w:val="decimal"/>
      <w:start w:val="44"/>
    </w:lvl>
    <w:lvl w:ilvl="1">
      <w:lvlJc w:val="left"/>
      <w:lvlText w:val="%2"/>
      <w:numFmt w:val="lowerLetter"/>
      <w:start w:val="1"/>
    </w:lvl>
  </w:abstractNum>
  <w:abstractNum w:abstractNumId="116">
    <w:nsid w:val="20EE1348"/>
    <w:multiLevelType w:val="hybridMultilevel"/>
    <w:lvl w:ilvl="0">
      <w:lvlJc w:val="left"/>
      <w:lvlText w:val="%1."/>
      <w:numFmt w:val="decimal"/>
      <w:start w:val="46"/>
    </w:lvl>
    <w:lvl w:ilvl="1">
      <w:lvlJc w:val="left"/>
      <w:lvlText w:val="☑"/>
      <w:numFmt w:val="bullet"/>
      <w:start w:val="1"/>
    </w:lvl>
    <w:lvl w:ilvl="2">
      <w:lvlJc w:val="left"/>
      <w:lvlText w:val="(%3)"/>
      <w:numFmt w:val="lowerLetter"/>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1)"/>
      <w:numFmt w:val="lowerLetter"/>
      <w:start w:val="2"/>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1)"/>
      <w:numFmt w:val="lowerLetter"/>
      <w:start w:val="1"/>
    </w:lvl>
  </w:abstractNum>
  <w:abstractNum w:abstractNumId="122">
    <w:nsid w:val="BFFAE18"/>
    <w:multiLevelType w:val="hybridMultilevel"/>
    <w:lvl w:ilvl="0">
      <w:lvlJc w:val="left"/>
      <w:lvlText w:val="(%1)"/>
      <w:numFmt w:val="lowerLetter"/>
      <w:start w:val="1"/>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lowerLetter"/>
      <w:start w:val="11"/>
    </w:lvl>
  </w:abstractNum>
  <w:abstractNum w:abstractNumId="126">
    <w:nsid w:val="4BEE5A5B"/>
    <w:multiLevelType w:val="hybridMultilevel"/>
    <w:lvl w:ilvl="0">
      <w:lvlJc w:val="left"/>
      <w:lvlText w:val="(%1)"/>
      <w:numFmt w:val="upperLetter"/>
      <w:start w:val="3"/>
    </w:lvl>
  </w:abstractNum>
  <w:abstractNum w:abstractNumId="127">
    <w:nsid w:val="5551B9F3"/>
    <w:multiLevelType w:val="hybridMultilevel"/>
    <w:lvl w:ilvl="0">
      <w:lvlJc w:val="left"/>
      <w:lvlText w:val="(%1)"/>
      <w:numFmt w:val="lowerLetter"/>
      <w:start w:val="4"/>
    </w:lvl>
  </w:abstractNum>
  <w:abstractNum w:abstractNumId="128">
    <w:nsid w:val="24F6AB8E"/>
    <w:multiLevelType w:val="hybridMultilevel"/>
    <w:lvl w:ilvl="0">
      <w:lvlJc w:val="left"/>
      <w:lvlText w:val="%1."/>
      <w:numFmt w:val="decimal"/>
      <w:start w:val="1"/>
    </w:lvl>
  </w:abstractNum>
  <w:abstractNum w:abstractNumId="129">
    <w:nsid w:val="634C574C"/>
    <w:multiLevelType w:val="hybridMultilevel"/>
    <w:lvl w:ilvl="0">
      <w:lvlJc w:val="left"/>
      <w:lvlText w:val="(%1)"/>
      <w:numFmt w:val="lowerLetter"/>
      <w:start w:val="2"/>
    </w:lvl>
  </w:abstractNum>
  <w:abstractNum w:abstractNumId="130">
    <w:nsid w:val="24E99DD7"/>
    <w:multiLevelType w:val="hybridMultilevel"/>
    <w:lvl w:ilvl="0">
      <w:lvlJc w:val="left"/>
      <w:lvlText w:val="%1"/>
      <w:numFmt w:val="lowerLetter"/>
      <w:start w:val="1"/>
    </w:lvl>
    <w:lvl w:ilvl="1">
      <w:lvlJc w:val="left"/>
      <w:lvlText w:val="(%2)"/>
      <w:numFmt w:val="lowerLetter"/>
      <w:start w:val="4"/>
    </w:lvl>
  </w:abstractNum>
  <w:abstractNum w:abstractNumId="131">
    <w:nsid w:val="2A31B62D"/>
    <w:multiLevelType w:val="hybridMultilevel"/>
    <w:lvl w:ilvl="0">
      <w:lvlJc w:val="left"/>
      <w:lvlText w:val="(%1)"/>
      <w:numFmt w:val="lowerLetter"/>
      <w:start w:val="61"/>
    </w:lvl>
    <w:lvl w:ilvl="1">
      <w:lvlJc w:val="left"/>
      <w:lvlText w:val="%2"/>
      <w:numFmt w:val="lowerLetter"/>
      <w:start w:val="1"/>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lowerLetter"/>
      <w:start w:val="1"/>
    </w:lvl>
  </w:abstractNum>
  <w:abstractNum w:abstractNumId="134">
    <w:nsid w:val="754342"/>
    <w:multiLevelType w:val="hybridMultilevel"/>
    <w:lvl w:ilvl="0">
      <w:lvlJc w:val="left"/>
      <w:lvlText w:val="(%1)"/>
      <w:numFmt w:val="lowerRoman"/>
      <w:start w:val="1"/>
    </w:lvl>
  </w:abstractNum>
  <w:abstractNum w:abstractNumId="135">
    <w:nsid w:val="69E7F3E5"/>
    <w:multiLevelType w:val="hybridMultilevel"/>
    <w:lvl w:ilvl="0">
      <w:lvlJc w:val="left"/>
      <w:lvlText w:val="%1."/>
      <w:numFmt w:val="decimal"/>
      <w:start w:val="3"/>
    </w:lvl>
  </w:abstractNum>
  <w:abstractNum w:abstractNumId="136">
    <w:nsid w:val="2A6DE806"/>
    <w:multiLevelType w:val="hybridMultilevel"/>
    <w:lvl w:ilvl="0">
      <w:lvlJc w:val="left"/>
      <w:lvlText w:val="%1."/>
      <w:numFmt w:val="decimal"/>
      <w:start w:val="4"/>
    </w:lvl>
  </w:abstractNum>
  <w:abstractNum w:abstractNumId="137">
    <w:nsid w:val="1816F8C4"/>
    <w:multiLevelType w:val="hybridMultilevel"/>
    <w:lvl w:ilvl="0">
      <w:lvlJc w:val="left"/>
      <w:lvlText w:val="%1."/>
      <w:numFmt w:val="decimal"/>
      <w:start w:val="5"/>
    </w:lvl>
  </w:abstractNum>
  <w:abstractNum w:abstractNumId="138">
    <w:nsid w:val="37DF2233"/>
    <w:multiLevelType w:val="hybridMultilevel"/>
    <w:lvl w:ilvl="0">
      <w:lvlJc w:val="left"/>
      <w:lvlText w:val="%1"/>
      <w:numFmt w:val="decimal"/>
      <w:start w:val="1"/>
    </w:lvl>
    <w:lvl w:ilvl="1">
      <w:lvlJc w:val="left"/>
      <w:lvlText w:val="%2)"/>
      <w:numFmt w:val="lowerLetter"/>
      <w:start w:val="1"/>
    </w:lvl>
  </w:abstractNum>
  <w:abstractNum w:abstractNumId="139">
    <w:nsid w:val="7AB49DAF"/>
    <w:multiLevelType w:val="hybridMultilevel"/>
    <w:lvl w:ilvl="0">
      <w:lvlJc w:val="left"/>
      <w:lvlText w:val="%1."/>
      <w:numFmt w:val="decimal"/>
      <w:start w:val="9"/>
    </w:lvl>
    <w:lvl w:ilvl="1">
      <w:lvlJc w:val="left"/>
      <w:lvlText w:val="%2"/>
      <w:numFmt w:val="lowerLetter"/>
      <w:start w:val="1"/>
    </w:lvl>
  </w:abstractNum>
  <w:abstractNum w:abstractNumId="140">
    <w:nsid w:val="759F82CD"/>
    <w:multiLevelType w:val="hybridMultilevel"/>
    <w:lvl w:ilvl="0">
      <w:lvlJc w:val="left"/>
      <w:lvlText w:val="%1."/>
      <w:numFmt w:val="decimal"/>
      <w:start w:val="10"/>
    </w:lvl>
  </w:abstractNum>
  <w:abstractNum w:abstractNumId="141">
    <w:nsid w:val="61E74EA3"/>
    <w:multiLevelType w:val="hybridMultilevel"/>
    <w:lvl w:ilvl="0">
      <w:lvlJc w:val="left"/>
      <w:lvlText w:val="%1."/>
      <w:numFmt w:val="decimal"/>
      <w:start w:val="1"/>
    </w:lvl>
    <w:lvl w:ilvl="1">
      <w:lvlJc w:val="left"/>
      <w:lvlText w:val="(%2)"/>
      <w:numFmt w:val="lowerLetter"/>
      <w:start w:val="1"/>
    </w:lvl>
  </w:abstractNum>
  <w:abstractNum w:abstractNumId="142">
    <w:nsid w:val="597B4D84"/>
    <w:multiLevelType w:val="hybridMultilevel"/>
    <w:lvl w:ilvl="0">
      <w:lvlJc w:val="left"/>
      <w:lvlText w:val="(%1)"/>
      <w:numFmt w:val="lowerLetter"/>
      <w:start w:val="2"/>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lowerLetter"/>
      <w:start w:val="2"/>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2" Type="http://schemas.openxmlformats.org/officeDocument/2006/relationships/image" Target="media/image138.png"/><Relationship Id="rId179"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jpeg"/><Relationship Id="rId203" Type="http://schemas.openxmlformats.org/officeDocument/2006/relationships/image" Target="media/image152.jpe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jpe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jpeg"/><Relationship Id="rId266" Type="http://schemas.openxmlformats.org/officeDocument/2006/relationships/image" Target="media/image215.jpe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jpe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145" Type="http://schemas.openxmlformats.org/officeDocument/2006/relationships/hyperlink" Target="http://www.sec.gov/Archives/edgar/data/1274737/000119312519252366/d769261dex31.htm" TargetMode="External"/><Relationship Id="rId146" Type="http://schemas.openxmlformats.org/officeDocument/2006/relationships/hyperlink" Target="http://www.sec.gov/Archives/edgar/data/1274737/000119312519252366/d769261dex32.htm" TargetMode="External"/><Relationship Id="rId147" Type="http://schemas.openxmlformats.org/officeDocument/2006/relationships/hyperlink" Target="http://www.sec.gov/Archives/edgar/data/1274737/000119312519240403/d692844dex41.htm" TargetMode="External"/><Relationship Id="rId148" Type="http://schemas.openxmlformats.org/officeDocument/2006/relationships/hyperlink" Target="http://www.sec.gov/Archives/edgar/data/1274737/000119312519228011/d692844dex42.htm" TargetMode="External"/><Relationship Id="rId149" Type="http://schemas.openxmlformats.org/officeDocument/2006/relationships/hyperlink" Target="http://www.sec.gov/Archives/edgar/data/1274737/000119312519228011/d692844dex44.htm" TargetMode="External"/><Relationship Id="rId150" Type="http://schemas.openxmlformats.org/officeDocument/2006/relationships/hyperlink" Target="http://www.sec.gov/Archives/edgar/data/1274737/000119312519228011/d692844dex45.htm" TargetMode="External"/><Relationship Id="rId151" Type="http://schemas.openxmlformats.org/officeDocument/2006/relationships/hyperlink" Target="http://www.sec.gov/Archives/edgar/data/1274737/000119312519228011/d692844dex46.htm" TargetMode="External"/><Relationship Id="rId152" Type="http://schemas.openxmlformats.org/officeDocument/2006/relationships/hyperlink" Target="http://www.sec.gov/Archives/edgar/data/1274737/000119312519228011/d692844dex47.htm" TargetMode="External"/><Relationship Id="rId153" Type="http://schemas.openxmlformats.org/officeDocument/2006/relationships/hyperlink" Target="http://www.sec.gov/Archives/edgar/data/1274737/000119312519228011/d692844dex48.htm" TargetMode="External"/><Relationship Id="rId154" Type="http://schemas.openxmlformats.org/officeDocument/2006/relationships/hyperlink" Target="http://www.sec.gov/Archives/edgar/data/1274737/000119312519228011/d692844dex49.htm" TargetMode="External"/><Relationship Id="rId155" Type="http://schemas.openxmlformats.org/officeDocument/2006/relationships/hyperlink" Target="http://www.sec.gov/Archives/edgar/data/1274737/000119312519228011/d692844dex101.htm" TargetMode="External"/><Relationship Id="rId156" Type="http://schemas.openxmlformats.org/officeDocument/2006/relationships/hyperlink" Target="http://www.sec.gov/Archives/edgar/data/1274737/000119312519228011/d692844dex102.htm" TargetMode="External"/><Relationship Id="rId157" Type="http://schemas.openxmlformats.org/officeDocument/2006/relationships/hyperlink" Target="http://www.sec.gov/Archives/edgar/data/1274737/000119312519240403/d692844dex103.htm" TargetMode="External"/><Relationship Id="rId158" Type="http://schemas.openxmlformats.org/officeDocument/2006/relationships/hyperlink" Target="http://www.sec.gov/Archives/edgar/data/1274737/000119312519240403/d692844dex104.htm" TargetMode="External"/><Relationship Id="rId159" Type="http://schemas.openxmlformats.org/officeDocument/2006/relationships/hyperlink" Target="http://www.sec.gov/Archives/edgar/data/1274737/000119312519240403/d692844dex105.htm" TargetMode="External"/><Relationship Id="rId160" Type="http://schemas.openxmlformats.org/officeDocument/2006/relationships/hyperlink" Target="http://www.sec.gov/Archives/edgar/data/1274737/000119312519228011/d692844dex105.htm" TargetMode="External"/><Relationship Id="rId161" Type="http://schemas.openxmlformats.org/officeDocument/2006/relationships/hyperlink" Target="http://www.sec.gov/Archives/edgar/data/1274737/000119312519228011/d692844dex106.htm" TargetMode="External"/><Relationship Id="rId163" Type="http://schemas.openxmlformats.org/officeDocument/2006/relationships/hyperlink" Target="http://www.sec.gov/Archives/edgar/data/1274737/000119312519228011/d692844dex107.htm" TargetMode="External"/><Relationship Id="rId164" Type="http://schemas.openxmlformats.org/officeDocument/2006/relationships/hyperlink" Target="http://www.sec.gov/Archives/edgar/data/1274737/000119312519228011/d692844dex108.htm" TargetMode="External"/><Relationship Id="rId165" Type="http://schemas.openxmlformats.org/officeDocument/2006/relationships/hyperlink" Target="http://www.sec.gov/Archives/edgar/data/1274737/000119312519228011/d692844dex109.htm" TargetMode="External"/><Relationship Id="rId166" Type="http://schemas.openxmlformats.org/officeDocument/2006/relationships/hyperlink" Target="http://www.sec.gov/Archives/edgar/data/1274737/000119312519228011/d692844dex1010.htm" TargetMode="External"/><Relationship Id="rId167" Type="http://schemas.openxmlformats.org/officeDocument/2006/relationships/hyperlink" Target="http://www.sec.gov/Archives/edgar/data/1274737/000119312519228011/d692844dex1011.htm" TargetMode="External"/><Relationship Id="rId168" Type="http://schemas.openxmlformats.org/officeDocument/2006/relationships/hyperlink" Target="http://www.sec.gov/Archives/edgar/data/1274737/000119312519228011/d692844dex1012.htm" TargetMode="External"/><Relationship Id="rId169" Type="http://schemas.openxmlformats.org/officeDocument/2006/relationships/hyperlink" Target="http://www.sec.gov/Archives/edgar/data/1274737/000119312519228011/d692844dex1013.htm" TargetMode="External"/><Relationship Id="rId170" Type="http://schemas.openxmlformats.org/officeDocument/2006/relationships/hyperlink" Target="http://www.sec.gov/Archives/edgar/data/1274737/000119312519228011/d692844dex1014.htm" TargetMode="External"/><Relationship Id="rId171" Type="http://schemas.openxmlformats.org/officeDocument/2006/relationships/hyperlink" Target="http://www.sec.gov/Archives/edgar/data/1274737/000119312519228011/d692844dex1015.htm" TargetMode="External"/><Relationship Id="rId172" Type="http://schemas.openxmlformats.org/officeDocument/2006/relationships/hyperlink" Target="http://www.sec.gov/Archives/edgar/data/1274737/000119312519228011/d692844dex1016.htm" TargetMode="External"/><Relationship Id="rId173" Type="http://schemas.openxmlformats.org/officeDocument/2006/relationships/hyperlink" Target="http://www.sec.gov/Archives/edgar/data/1274737/000119312519228011/d692844dex1017.htm" TargetMode="External"/><Relationship Id="rId174" Type="http://schemas.openxmlformats.org/officeDocument/2006/relationships/hyperlink" Target="http://www.sec.gov/Archives/edgar/data/1274737/000119312519228011/d692844dex1018.htm" TargetMode="External"/><Relationship Id="rId175" Type="http://schemas.openxmlformats.org/officeDocument/2006/relationships/hyperlink" Target="http://www.sec.gov/Archives/edgar/data/1274737/000119312519228011/d692844dex1019.htm" TargetMode="External"/><Relationship Id="rId176" Type="http://schemas.openxmlformats.org/officeDocument/2006/relationships/hyperlink" Target="http://www.sec.gov/Archives/edgar/data/1274737/000119312519228011/d692844dex1020.htm" TargetMode="External"/><Relationship Id="rId177" Type="http://schemas.openxmlformats.org/officeDocument/2006/relationships/hyperlink" Target="http://www.sec.gov/Archives/edgar/data/1274737/000119312519228011/d692844dex1021.htm" TargetMode="External"/><Relationship Id="rId178" Type="http://schemas.openxmlformats.org/officeDocument/2006/relationships/hyperlink" Target="http://www.sec.gov/Archives/edgar/data/1274737/000119312519228011/d692844dex1022.htm" TargetMode="External"/><Relationship Id="rId180" Type="http://schemas.openxmlformats.org/officeDocument/2006/relationships/hyperlink" Target="http://www.sec.gov/Archives/edgar/data/1274737/000119312519228011/d692844dex1023.htm" TargetMode="External"/><Relationship Id="rId181" Type="http://schemas.openxmlformats.org/officeDocument/2006/relationships/hyperlink" Target="http://www.sec.gov/Archives/edgar/data/1274737/000119312519228011/d692844dex1024.htm" TargetMode="External"/><Relationship Id="rId182" Type="http://schemas.openxmlformats.org/officeDocument/2006/relationships/hyperlink" Target="http://www.sec.gov/Archives/edgar/data/1274737/000119312519228011/d692844dex1025.htm" TargetMode="External"/><Relationship Id="rId183" Type="http://schemas.openxmlformats.org/officeDocument/2006/relationships/hyperlink" Target="http://www.sec.gov/Archives/edgar/data/1274737/000119312519228011/d692844dex1030.htm" TargetMode="External"/><Relationship Id="rId184" Type="http://schemas.openxmlformats.org/officeDocument/2006/relationships/hyperlink" Target="http://www.sec.gov/Archives/edgar/data/1274737/000119312519228011/d692844dex1031.htm" TargetMode="External"/><Relationship Id="rId185" Type="http://schemas.openxmlformats.org/officeDocument/2006/relationships/hyperlink" Target="http://www.sec.gov/Archives/edgar/data/1274737/000119312519228011/d692844dex1032.htm" TargetMode="External"/><Relationship Id="rId186" Type="http://schemas.openxmlformats.org/officeDocument/2006/relationships/hyperlink" Target="http://www.sec.gov/Archives/edgar/data/1274737/000119312519240403/d692844dex1034.htm" TargetMode="External"/><Relationship Id="rId187" Type="http://schemas.openxmlformats.org/officeDocument/2006/relationships/hyperlink" Target="http://www.sec.gov/Archives/edgar/data/1274737/000119312519228011/d692844dex1034.htm" TargetMode="External"/><Relationship Id="rId188" Type="http://schemas.openxmlformats.org/officeDocument/2006/relationships/hyperlink" Target="http://www.sec.gov/Archives/edgar/data/1274737/000119312519240403/d692844dex1036.htm" TargetMode="External"/><Relationship Id="rId189" Type="http://schemas.openxmlformats.org/officeDocument/2006/relationships/hyperlink" Target="http://www.sec.gov/Archives/edgar/data/1274737/000119312519240403/d692844dex1037.htm" TargetMode="External"/><Relationship Id="rId190" Type="http://schemas.openxmlformats.org/officeDocument/2006/relationships/hyperlink" Target="http://www.sec.gov/Archives/edgar/data/1274737/000119312519240403/d692844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2020-03-25T16:20:56Z</dcterms:created>
  <dcterms:modified xsi:type="dcterms:W3CDTF">2020-03-25T16:20:56Z</dcterms:modified>
</cp:coreProperties>
</file>