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-231140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5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5400040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279640" cy="9400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940054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560"/>
            <w:col w:w="8720"/>
          </w:cols>
          <w:pgMar w:left="240" w:top="220"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restart"/>
          </w:tcPr>
          <w:p>
            <w:pPr>
              <w:ind w:left="20"/>
              <w:spacing w:after="0"/>
              <w:rPr>
                <w:rFonts w:ascii="Arial" w:cs="Arial" w:eastAsia="Arial" w:hAnsi="Arial"/>
                <w:sz w:val="20"/>
                <w:szCs w:val="20"/>
                <w:color w:val="0000EE"/>
                <w:w w:val="99"/>
              </w:rPr>
            </w:pPr>
            <w:hyperlink r:id="rId12">
              <w:r>
                <w:rPr>
                  <w:rFonts w:ascii="Arial" w:cs="Arial" w:eastAsia="Arial" w:hAnsi="Arial"/>
                  <w:sz w:val="20"/>
                  <w:szCs w:val="20"/>
                  <w:color w:val="0000EE"/>
                  <w:w w:val="99"/>
                </w:rPr>
                <w:t>TULLIS DICKERSON CAPITAL FOCUS</w:t>
              </w:r>
            </w:hyperlink>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7"/>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EXAGEN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gridSpan w:val="8"/>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gridSpan w:val="8"/>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840" w:type="dxa"/>
            <w:vAlign w:val="bottom"/>
            <w:gridSpan w:val="4"/>
            <w:vMerge w:val="restart"/>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gridSpan w:val="8"/>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vMerge w:val="restart"/>
          </w:tcPr>
          <w:p>
            <w:pPr>
              <w:spacing w:after="0" w:line="197" w:lineRule="exact"/>
              <w:rPr>
                <w:rFonts w:ascii="Arial" w:cs="Arial" w:eastAsia="Arial" w:hAnsi="Arial"/>
                <w:sz w:val="20"/>
                <w:szCs w:val="20"/>
                <w:color w:val="0000EE"/>
                <w:w w:val="94"/>
              </w:rPr>
            </w:pPr>
            <w:hyperlink r:id="rId12">
              <w:r>
                <w:rPr>
                  <w:rFonts w:ascii="Arial" w:cs="Arial" w:eastAsia="Arial" w:hAnsi="Arial"/>
                  <w:sz w:val="20"/>
                  <w:szCs w:val="20"/>
                  <w:color w:val="0000EE"/>
                  <w:w w:val="94"/>
                </w:rPr>
                <w:t>III, L.P.</w:t>
              </w:r>
            </w:hyperlink>
          </w:p>
        </w:tc>
        <w:tc>
          <w:tcPr>
            <w:tcW w:w="6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620" w:type="dxa"/>
            <w:vAlign w:val="bottom"/>
            <w:tcBorders>
              <w:bottom w:val="single" w:sz="8" w:color="0000EE"/>
            </w:tcBorders>
            <w:vMerge w:val="continue"/>
          </w:tcPr>
          <w:p>
            <w:pPr>
              <w:spacing w:after="0"/>
              <w:rPr>
                <w:sz w:val="10"/>
                <w:szCs w:val="10"/>
                <w:color w:val="auto"/>
              </w:rPr>
            </w:pPr>
          </w:p>
        </w:tc>
        <w:tc>
          <w:tcPr>
            <w:tcW w:w="6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840" w:type="dxa"/>
            <w:vAlign w:val="bottom"/>
            <w:gridSpan w:val="4"/>
            <w:vMerge w:val="restart"/>
          </w:tcPr>
          <w:p>
            <w:pPr>
              <w:ind w:left="5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60"/>
              <w:spacing w:after="0" w:line="96" w:lineRule="exact"/>
              <w:rPr>
                <w:sz w:val="20"/>
                <w:szCs w:val="20"/>
                <w:color w:val="auto"/>
              </w:rPr>
            </w:pPr>
            <w:r>
              <w:rPr>
                <w:rFonts w:ascii="Arial" w:cs="Arial" w:eastAsia="Arial" w:hAnsi="Arial"/>
                <w:sz w:val="11"/>
                <w:szCs w:val="11"/>
                <w:color w:val="auto"/>
              </w:rPr>
              <w:t>below)</w:t>
            </w:r>
          </w:p>
        </w:tc>
        <w:tc>
          <w:tcPr>
            <w:tcW w:w="660" w:type="dxa"/>
            <w:vAlign w:val="bottom"/>
          </w:tcPr>
          <w:p>
            <w:pPr>
              <w:spacing w:after="0"/>
              <w:rPr>
                <w:sz w:val="10"/>
                <w:szCs w:val="10"/>
                <w:color w:val="auto"/>
              </w:rPr>
            </w:pPr>
          </w:p>
        </w:tc>
        <w:tc>
          <w:tcPr>
            <w:tcW w:w="980" w:type="dxa"/>
            <w:vAlign w:val="bottom"/>
          </w:tcPr>
          <w:p>
            <w:pPr>
              <w:ind w:left="560"/>
              <w:spacing w:after="0" w:line="96" w:lineRule="exact"/>
              <w:rPr>
                <w:sz w:val="20"/>
                <w:szCs w:val="20"/>
                <w:color w:val="auto"/>
              </w:rPr>
            </w:pPr>
            <w:r>
              <w:rPr>
                <w:rFonts w:ascii="Arial" w:cs="Arial" w:eastAsia="Arial" w:hAnsi="Arial"/>
                <w:sz w:val="11"/>
                <w:szCs w:val="11"/>
                <w:color w:val="auto"/>
              </w:rPr>
              <w:t>below)</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Borders>
              <w:top w:val="single" w:sz="8" w:color="EEEEEE"/>
            </w:tcBorders>
          </w:tcPr>
          <w:p>
            <w:pPr>
              <w:spacing w:after="0"/>
              <w:rPr>
                <w:sz w:val="14"/>
                <w:szCs w:val="14"/>
                <w:color w:val="auto"/>
              </w:rPr>
            </w:pPr>
          </w:p>
        </w:tc>
        <w:tc>
          <w:tcPr>
            <w:tcW w:w="122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EEEEEE"/>
            </w:tcBorders>
            <w:gridSpan w:val="2"/>
            <w:vMerge w:val="restart"/>
          </w:tcPr>
          <w:p>
            <w:pPr>
              <w:ind w:left="12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60" w:type="dxa"/>
            <w:vAlign w:val="bottom"/>
            <w:gridSpan w:val="7"/>
            <w:vMerge w:val="restart"/>
          </w:tcPr>
          <w:p>
            <w:pPr>
              <w:ind w:left="360"/>
              <w:spacing w:after="0"/>
              <w:rPr>
                <w:sz w:val="20"/>
                <w:szCs w:val="20"/>
                <w:color w:val="auto"/>
              </w:rPr>
            </w:pPr>
            <w:r>
              <w:rPr>
                <w:rFonts w:ascii="Arial" w:cs="Arial" w:eastAsia="Arial" w:hAnsi="Arial"/>
                <w:sz w:val="17"/>
                <w:szCs w:val="17"/>
                <w:color w:val="0000FF"/>
              </w:rPr>
              <w:t>09/19/2019</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restart"/>
          </w:tcPr>
          <w:p>
            <w:pPr>
              <w:ind w:left="20"/>
              <w:spacing w:after="0"/>
              <w:rPr>
                <w:sz w:val="20"/>
                <w:szCs w:val="20"/>
                <w:color w:val="auto"/>
              </w:rPr>
            </w:pPr>
            <w:r>
              <w:rPr>
                <w:rFonts w:ascii="Arial" w:cs="Arial" w:eastAsia="Arial" w:hAnsi="Arial"/>
                <w:sz w:val="17"/>
                <w:szCs w:val="17"/>
                <w:color w:val="0000FF"/>
              </w:rPr>
              <w:t>11770 US HIGHWAY ONE, SUITE 503</w:t>
            </w:r>
          </w:p>
        </w:tc>
        <w:tc>
          <w:tcPr>
            <w:tcW w:w="1660" w:type="dxa"/>
            <w:vAlign w:val="bottom"/>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gridSpan w:val="8"/>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5"/>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gridSpan w:val="2"/>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gridSpan w:val="5"/>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gridSpan w:val="10"/>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7"/>
                <w:szCs w:val="17"/>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PALM BEACH</w:t>
            </w: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color w:val="0000FF"/>
              </w:rPr>
              <w:t>FL</w:t>
            </w:r>
          </w:p>
        </w:tc>
        <w:tc>
          <w:tcPr>
            <w:tcW w:w="1100" w:type="dxa"/>
            <w:vAlign w:val="bottom"/>
            <w:vMerge w:val="restart"/>
          </w:tcPr>
          <w:p>
            <w:pPr>
              <w:ind w:left="120"/>
              <w:spacing w:after="0"/>
              <w:rPr>
                <w:sz w:val="20"/>
                <w:szCs w:val="20"/>
                <w:color w:val="auto"/>
              </w:rPr>
            </w:pPr>
            <w:r>
              <w:rPr>
                <w:rFonts w:ascii="Arial" w:cs="Arial" w:eastAsia="Arial" w:hAnsi="Arial"/>
                <w:sz w:val="17"/>
                <w:szCs w:val="17"/>
                <w:color w:val="0000FF"/>
              </w:rPr>
              <w:t>33408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GARDENS</w:t>
            </w:r>
          </w:p>
        </w:tc>
        <w:tc>
          <w:tcPr>
            <w:tcW w:w="122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6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gridSpan w:val="2"/>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8"/>
          </w:tcPr>
          <w:p>
            <w:pPr>
              <w:jc w:val="center"/>
              <w:ind w:right="99"/>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7"/>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gridSpan w:val="2"/>
          </w:tcPr>
          <w:p>
            <w:pPr>
              <w:ind w:left="860"/>
              <w:spacing w:after="0" w:line="125" w:lineRule="exact"/>
              <w:rPr>
                <w:sz w:val="20"/>
                <w:szCs w:val="20"/>
                <w:color w:val="auto"/>
              </w:rPr>
            </w:pPr>
            <w:r>
              <w:rPr>
                <w:rFonts w:ascii="Arial" w:cs="Arial" w:eastAsia="Arial" w:hAnsi="Arial"/>
                <w:sz w:val="12"/>
                <w:szCs w:val="12"/>
                <w:b w:val="1"/>
                <w:bCs w:val="1"/>
                <w:color w:val="auto"/>
                <w:w w:val="99"/>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8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0"/>
                <w:szCs w:val="10"/>
                <w:color w:val="auto"/>
              </w:rPr>
            </w:pPr>
          </w:p>
        </w:tc>
        <w:tc>
          <w:tcPr>
            <w:tcW w:w="124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gridSpan w:val="7"/>
          </w:tcPr>
          <w:p>
            <w:pPr>
              <w:jc w:val="center"/>
              <w:ind w:left="691"/>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1"/>
              </w:rPr>
              <w:t>Reported</w:t>
            </w: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gridSpan w:val="6"/>
            <w:vMerge w:val="restart"/>
          </w:tcPr>
          <w:p>
            <w:pPr>
              <w:jc w:val="center"/>
              <w:ind w:left="851"/>
              <w:spacing w:after="0"/>
              <w:rPr>
                <w:sz w:val="20"/>
                <w:szCs w:val="20"/>
                <w:color w:val="auto"/>
              </w:rPr>
            </w:pPr>
            <w:r>
              <w:rPr>
                <w:rFonts w:ascii="Arial" w:cs="Arial" w:eastAsia="Arial" w:hAnsi="Arial"/>
                <w:sz w:val="17"/>
                <w:szCs w:val="17"/>
                <w:color w:val="0000FF"/>
                <w:w w:val="89"/>
              </w:rPr>
              <w:t>09/19/2019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center"/>
              <w:ind w:right="263"/>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jc w:val="center"/>
              <w:ind w:left="119"/>
              <w:spacing w:after="0"/>
              <w:rPr>
                <w:sz w:val="20"/>
                <w:szCs w:val="20"/>
                <w:color w:val="auto"/>
              </w:rPr>
            </w:pPr>
            <w:r>
              <w:rPr>
                <w:rFonts w:ascii="Arial" w:cs="Arial" w:eastAsia="Arial" w:hAnsi="Arial"/>
                <w:sz w:val="17"/>
                <w:szCs w:val="17"/>
                <w:color w:val="0000FF"/>
                <w:w w:val="88"/>
              </w:rPr>
              <w:t>11,498</w:t>
            </w:r>
          </w:p>
        </w:tc>
        <w:tc>
          <w:tcPr>
            <w:tcW w:w="80" w:type="dxa"/>
            <w:vAlign w:val="bottom"/>
          </w:tcPr>
          <w:p>
            <w:pPr>
              <w:spacing w:after="0"/>
              <w:rPr>
                <w:sz w:val="21"/>
                <w:szCs w:val="21"/>
                <w:color w:val="auto"/>
              </w:rPr>
            </w:pP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14.3235</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11,597</w:t>
            </w:r>
          </w:p>
        </w:tc>
        <w:tc>
          <w:tcPr>
            <w:tcW w:w="98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gridSpan w:val="6"/>
            <w:vMerge w:val="restart"/>
          </w:tcPr>
          <w:p>
            <w:pPr>
              <w:jc w:val="center"/>
              <w:ind w:left="851"/>
              <w:spacing w:after="0"/>
              <w:rPr>
                <w:sz w:val="20"/>
                <w:szCs w:val="20"/>
                <w:color w:val="auto"/>
              </w:rPr>
            </w:pPr>
            <w:r>
              <w:rPr>
                <w:rFonts w:ascii="Arial" w:cs="Arial" w:eastAsia="Arial" w:hAnsi="Arial"/>
                <w:sz w:val="17"/>
                <w:szCs w:val="17"/>
                <w:color w:val="0000FF"/>
                <w:w w:val="89"/>
              </w:rPr>
              <w:t>09/19/2019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center"/>
              <w:ind w:right="263"/>
              <w:spacing w:after="0"/>
              <w:rPr>
                <w:sz w:val="20"/>
                <w:szCs w:val="20"/>
                <w:color w:val="auto"/>
              </w:rPr>
            </w:pPr>
            <w:r>
              <w:rPr>
                <w:rFonts w:ascii="Arial" w:cs="Arial" w:eastAsia="Arial" w:hAnsi="Arial"/>
                <w:sz w:val="13"/>
                <w:szCs w:val="13"/>
                <w:color w:val="0000FF"/>
                <w:w w:val="74"/>
              </w:rPr>
              <w:t>F</w:t>
            </w:r>
          </w:p>
        </w:tc>
        <w:tc>
          <w:tcPr>
            <w:tcW w:w="720" w:type="dxa"/>
            <w:vAlign w:val="bottom"/>
            <w:vMerge w:val="restart"/>
          </w:tcPr>
          <w:p>
            <w:pPr>
              <w:jc w:val="center"/>
              <w:ind w:left="119"/>
              <w:spacing w:after="0"/>
              <w:rPr>
                <w:sz w:val="20"/>
                <w:szCs w:val="20"/>
                <w:color w:val="auto"/>
              </w:rPr>
            </w:pPr>
            <w:r>
              <w:rPr>
                <w:rFonts w:ascii="Arial" w:cs="Arial" w:eastAsia="Arial" w:hAnsi="Arial"/>
                <w:sz w:val="17"/>
                <w:szCs w:val="17"/>
                <w:color w:val="0000FF"/>
                <w:w w:val="89"/>
              </w:rPr>
              <w:t>8,865</w:t>
            </w:r>
          </w:p>
        </w:tc>
        <w:tc>
          <w:tcPr>
            <w:tcW w:w="80" w:type="dxa"/>
            <w:vAlign w:val="bottom"/>
          </w:tcPr>
          <w:p>
            <w:pPr>
              <w:spacing w:after="0"/>
              <w:rPr>
                <w:sz w:val="21"/>
                <w:szCs w:val="21"/>
                <w:color w:val="auto"/>
              </w:rPr>
            </w:pP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18.58</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2,732</w:t>
            </w:r>
          </w:p>
        </w:tc>
        <w:tc>
          <w:tcPr>
            <w:tcW w:w="98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gridSpan w:val="6"/>
            <w:vMerge w:val="restart"/>
          </w:tcPr>
          <w:p>
            <w:pPr>
              <w:jc w:val="center"/>
              <w:ind w:left="851"/>
              <w:spacing w:after="0"/>
              <w:rPr>
                <w:sz w:val="20"/>
                <w:szCs w:val="20"/>
                <w:color w:val="auto"/>
              </w:rPr>
            </w:pPr>
            <w:r>
              <w:rPr>
                <w:rFonts w:ascii="Arial" w:cs="Arial" w:eastAsia="Arial" w:hAnsi="Arial"/>
                <w:sz w:val="17"/>
                <w:szCs w:val="17"/>
                <w:color w:val="0000FF"/>
                <w:w w:val="89"/>
              </w:rPr>
              <w:t>09/23/2019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center"/>
              <w:ind w:right="243"/>
              <w:spacing w:after="0"/>
              <w:rPr>
                <w:sz w:val="20"/>
                <w:szCs w:val="20"/>
                <w:color w:val="auto"/>
              </w:rPr>
            </w:pPr>
            <w:r>
              <w:rPr>
                <w:rFonts w:ascii="Arial" w:cs="Arial" w:eastAsia="Arial" w:hAnsi="Arial"/>
                <w:sz w:val="13"/>
                <w:szCs w:val="13"/>
                <w:color w:val="0000FF"/>
                <w:w w:val="84"/>
              </w:rPr>
              <w:t>C</w:t>
            </w:r>
          </w:p>
        </w:tc>
        <w:tc>
          <w:tcPr>
            <w:tcW w:w="800" w:type="dxa"/>
            <w:vAlign w:val="bottom"/>
            <w:gridSpan w:val="2"/>
            <w:vMerge w:val="restart"/>
          </w:tcPr>
          <w:p>
            <w:pPr>
              <w:jc w:val="center"/>
              <w:ind w:left="39"/>
              <w:spacing w:after="0"/>
              <w:rPr>
                <w:sz w:val="20"/>
                <w:szCs w:val="20"/>
                <w:color w:val="auto"/>
              </w:rPr>
            </w:pPr>
            <w:r>
              <w:rPr>
                <w:rFonts w:ascii="Arial" w:cs="Arial" w:eastAsia="Arial" w:hAnsi="Arial"/>
                <w:sz w:val="17"/>
                <w:szCs w:val="17"/>
                <w:color w:val="0000FF"/>
                <w:w w:val="87"/>
              </w:rPr>
              <w:t>1,786,853</w:t>
            </w: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left="166"/>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8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1,789,585</w:t>
            </w:r>
          </w:p>
        </w:tc>
        <w:tc>
          <w:tcPr>
            <w:tcW w:w="98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60" w:type="dxa"/>
            <w:vAlign w:val="bottom"/>
            <w:gridSpan w:val="18"/>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700" w:type="dxa"/>
            <w:vAlign w:val="bottom"/>
            <w:gridSpan w:val="16"/>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Conversion</w:t>
            </w:r>
          </w:p>
        </w:tc>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0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ind w:left="38"/>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Beneficially</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Warrants</w:t>
            </w:r>
          </w:p>
        </w:tc>
        <w:tc>
          <w:tcPr>
            <w:tcW w:w="72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14.3235</w:t>
            </w:r>
          </w:p>
        </w:tc>
        <w:tc>
          <w:tcPr>
            <w:tcW w:w="1040" w:type="dxa"/>
            <w:vAlign w:val="bottom"/>
            <w:vMerge w:val="restart"/>
          </w:tcPr>
          <w:p>
            <w:pPr>
              <w:jc w:val="center"/>
              <w:ind w:left="38"/>
              <w:spacing w:after="0"/>
              <w:rPr>
                <w:sz w:val="20"/>
                <w:szCs w:val="20"/>
                <w:color w:val="auto"/>
              </w:rPr>
            </w:pPr>
            <w:r>
              <w:rPr>
                <w:rFonts w:ascii="Arial" w:cs="Arial" w:eastAsia="Arial" w:hAnsi="Arial"/>
                <w:sz w:val="13"/>
                <w:szCs w:val="13"/>
                <w:color w:val="0000FF"/>
                <w:w w:val="89"/>
              </w:rPr>
              <w:t>09/19/2019</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5"/>
            <w:vMerge w:val="restart"/>
          </w:tcPr>
          <w:p>
            <w:pPr>
              <w:jc w:val="center"/>
              <w:ind w:right="340"/>
              <w:spacing w:after="0"/>
              <w:rPr>
                <w:sz w:val="20"/>
                <w:szCs w:val="20"/>
                <w:color w:val="auto"/>
              </w:rPr>
            </w:pPr>
            <w:r>
              <w:rPr>
                <w:rFonts w:ascii="Arial" w:cs="Arial" w:eastAsia="Arial" w:hAnsi="Arial"/>
                <w:sz w:val="13"/>
                <w:szCs w:val="13"/>
                <w:color w:val="0000FF"/>
              </w:rPr>
              <w:t>X</w:t>
            </w:r>
          </w:p>
        </w:tc>
        <w:tc>
          <w:tcPr>
            <w:tcW w:w="900" w:type="dxa"/>
            <w:vAlign w:val="bottom"/>
            <w:gridSpan w:val="2"/>
            <w:vMerge w:val="restart"/>
          </w:tcPr>
          <w:p>
            <w:pPr>
              <w:jc w:val="center"/>
              <w:ind w:left="419"/>
              <w:spacing w:after="0"/>
              <w:rPr>
                <w:sz w:val="20"/>
                <w:szCs w:val="20"/>
                <w:color w:val="auto"/>
              </w:rPr>
            </w:pPr>
            <w:r>
              <w:rPr>
                <w:rFonts w:ascii="Arial" w:cs="Arial" w:eastAsia="Arial" w:hAnsi="Arial"/>
                <w:sz w:val="13"/>
                <w:szCs w:val="13"/>
                <w:color w:val="0000FF"/>
                <w:w w:val="85"/>
              </w:rPr>
              <w:t>11,498</w:t>
            </w:r>
          </w:p>
        </w:tc>
        <w:tc>
          <w:tcPr>
            <w:tcW w:w="14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11,498</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14.3235</w:t>
            </w: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60" w:type="dxa"/>
            <w:vAlign w:val="bottom"/>
            <w:gridSpan w:val="3"/>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jc w:val="center"/>
              <w:ind w:right="75"/>
              <w:spacing w:after="0" w:line="65"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(4)</w:t>
            </w:r>
          </w:p>
        </w:tc>
        <w:tc>
          <w:tcPr>
            <w:tcW w:w="6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60" w:type="dxa"/>
            <w:vAlign w:val="bottom"/>
            <w:gridSpan w:val="3"/>
          </w:tcPr>
          <w:p>
            <w:pPr>
              <w:ind w:left="20"/>
              <w:spacing w:after="0" w:line="65"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(1)(5)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5"/>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Series A-3</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4"/>
          </w:tcPr>
          <w:p>
            <w:pPr>
              <w:ind w:left="60"/>
              <w:spacing w:after="0" w:line="141" w:lineRule="exact"/>
              <w:rPr>
                <w:sz w:val="20"/>
                <w:szCs w:val="20"/>
                <w:color w:val="auto"/>
              </w:rPr>
            </w:pPr>
            <w:r>
              <w:rPr>
                <w:rFonts w:ascii="Arial" w:cs="Arial" w:eastAsia="Arial" w:hAnsi="Arial"/>
                <w:sz w:val="13"/>
                <w:szCs w:val="13"/>
                <w:color w:val="0000FF"/>
                <w:w w:val="94"/>
              </w:rPr>
              <w:t>Redeemable</w:t>
            </w:r>
          </w:p>
        </w:tc>
        <w:tc>
          <w:tcPr>
            <w:tcW w:w="540" w:type="dxa"/>
            <w:vAlign w:val="bottom"/>
            <w:vMerge w:val="restart"/>
          </w:tcPr>
          <w:p>
            <w:pPr>
              <w:jc w:val="center"/>
              <w:ind w:left="124"/>
              <w:spacing w:after="0"/>
              <w:rPr>
                <w:sz w:val="20"/>
                <w:szCs w:val="20"/>
                <w:color w:val="auto"/>
              </w:rPr>
            </w:pPr>
            <w:r>
              <w:rPr>
                <w:rFonts w:ascii="Arial" w:cs="Arial" w:eastAsia="Arial" w:hAnsi="Arial"/>
                <w:sz w:val="11"/>
                <w:szCs w:val="11"/>
                <w:color w:val="008000"/>
                <w:w w:val="88"/>
              </w:rPr>
              <w:t>(6)</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2,550</w:t>
            </w:r>
          </w:p>
        </w:tc>
        <w:tc>
          <w:tcPr>
            <w:tcW w:w="180" w:type="dxa"/>
            <w:vAlign w:val="bottom"/>
          </w:tcPr>
          <w:p>
            <w:pPr>
              <w:spacing w:after="0"/>
              <w:rPr>
                <w:sz w:val="12"/>
                <w:szCs w:val="12"/>
                <w:color w:val="auto"/>
              </w:rPr>
            </w:pPr>
          </w:p>
        </w:tc>
        <w:tc>
          <w:tcPr>
            <w:tcW w:w="580" w:type="dxa"/>
            <w:vAlign w:val="bottom"/>
            <w:vMerge w:val="restart"/>
          </w:tcPr>
          <w:p>
            <w:pPr>
              <w:jc w:val="center"/>
              <w:ind w:right="159"/>
              <w:spacing w:after="0"/>
              <w:rPr>
                <w:sz w:val="20"/>
                <w:szCs w:val="20"/>
                <w:color w:val="auto"/>
              </w:rPr>
            </w:pPr>
            <w:r>
              <w:rPr>
                <w:rFonts w:ascii="Arial" w:cs="Arial" w:eastAsia="Arial" w:hAnsi="Arial"/>
                <w:sz w:val="11"/>
                <w:szCs w:val="11"/>
                <w:color w:val="008000"/>
                <w:w w:val="88"/>
              </w:rPr>
              <w:t>(6)</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Convertible</w:t>
            </w: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center"/>
              <w:ind w:left="38"/>
              <w:spacing w:after="0"/>
              <w:rPr>
                <w:sz w:val="20"/>
                <w:szCs w:val="20"/>
                <w:color w:val="auto"/>
              </w:rPr>
            </w:pPr>
            <w:r>
              <w:rPr>
                <w:rFonts w:ascii="Arial" w:cs="Arial" w:eastAsia="Arial" w:hAnsi="Arial"/>
                <w:sz w:val="13"/>
                <w:szCs w:val="13"/>
                <w:color w:val="0000FF"/>
                <w:w w:val="89"/>
              </w:rPr>
              <w:t>09/23/2019</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5"/>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900" w:type="dxa"/>
            <w:vAlign w:val="bottom"/>
            <w:gridSpan w:val="2"/>
            <w:vMerge w:val="restart"/>
          </w:tcPr>
          <w:p>
            <w:pPr>
              <w:jc w:val="center"/>
              <w:ind w:left="419"/>
              <w:spacing w:after="0"/>
              <w:rPr>
                <w:sz w:val="20"/>
                <w:szCs w:val="20"/>
                <w:color w:val="auto"/>
              </w:rPr>
            </w:pPr>
            <w:r>
              <w:rPr>
                <w:rFonts w:ascii="Arial" w:cs="Arial" w:eastAsia="Arial" w:hAnsi="Arial"/>
                <w:sz w:val="13"/>
                <w:szCs w:val="13"/>
                <w:color w:val="0000FF"/>
                <w:w w:val="89"/>
              </w:rPr>
              <w:t>468,321</w:t>
            </w: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5"/>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60" w:type="dxa"/>
            <w:vAlign w:val="bottom"/>
            <w:gridSpan w:val="3"/>
            <w:vMerge w:val="restart"/>
          </w:tcPr>
          <w:p>
            <w:pPr>
              <w:ind w:left="2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gridSpan w:val="4"/>
          </w:tcPr>
          <w:p>
            <w:pPr>
              <w:ind w:left="60"/>
              <w:spacing w:after="0" w:line="81" w:lineRule="exact"/>
              <w:rPr>
                <w:sz w:val="20"/>
                <w:szCs w:val="20"/>
                <w:color w:val="auto"/>
              </w:rPr>
            </w:pPr>
            <w:r>
              <w:rPr>
                <w:rFonts w:ascii="Arial" w:cs="Arial" w:eastAsia="Arial" w:hAnsi="Arial"/>
                <w:sz w:val="9"/>
                <w:szCs w:val="9"/>
                <w:color w:val="0000FF"/>
              </w:rPr>
              <w:t>Preferred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Series C</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4"/>
          </w:tcPr>
          <w:p>
            <w:pPr>
              <w:ind w:left="60"/>
              <w:spacing w:after="0" w:line="141" w:lineRule="exact"/>
              <w:rPr>
                <w:sz w:val="20"/>
                <w:szCs w:val="20"/>
                <w:color w:val="auto"/>
              </w:rPr>
            </w:pPr>
            <w:r>
              <w:rPr>
                <w:rFonts w:ascii="Arial" w:cs="Arial" w:eastAsia="Arial" w:hAnsi="Arial"/>
                <w:sz w:val="13"/>
                <w:szCs w:val="13"/>
                <w:color w:val="0000FF"/>
                <w:w w:val="94"/>
              </w:rPr>
              <w:t>Redeemable</w:t>
            </w:r>
          </w:p>
        </w:tc>
        <w:tc>
          <w:tcPr>
            <w:tcW w:w="540" w:type="dxa"/>
            <w:vAlign w:val="bottom"/>
            <w:vMerge w:val="restart"/>
          </w:tcPr>
          <w:p>
            <w:pPr>
              <w:jc w:val="center"/>
              <w:ind w:left="124"/>
              <w:spacing w:after="0"/>
              <w:rPr>
                <w:sz w:val="20"/>
                <w:szCs w:val="20"/>
                <w:color w:val="auto"/>
              </w:rPr>
            </w:pPr>
            <w:r>
              <w:rPr>
                <w:rFonts w:ascii="Arial" w:cs="Arial" w:eastAsia="Arial" w:hAnsi="Arial"/>
                <w:sz w:val="11"/>
                <w:szCs w:val="11"/>
                <w:color w:val="008000"/>
                <w:w w:val="88"/>
              </w:rPr>
              <w:t>(7)</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95,069</w:t>
            </w:r>
          </w:p>
        </w:tc>
        <w:tc>
          <w:tcPr>
            <w:tcW w:w="180" w:type="dxa"/>
            <w:vAlign w:val="bottom"/>
          </w:tcPr>
          <w:p>
            <w:pPr>
              <w:spacing w:after="0"/>
              <w:rPr>
                <w:sz w:val="12"/>
                <w:szCs w:val="12"/>
                <w:color w:val="auto"/>
              </w:rPr>
            </w:pPr>
          </w:p>
        </w:tc>
        <w:tc>
          <w:tcPr>
            <w:tcW w:w="580" w:type="dxa"/>
            <w:vAlign w:val="bottom"/>
            <w:vMerge w:val="restart"/>
          </w:tcPr>
          <w:p>
            <w:pPr>
              <w:jc w:val="center"/>
              <w:ind w:right="159"/>
              <w:spacing w:after="0"/>
              <w:rPr>
                <w:sz w:val="20"/>
                <w:szCs w:val="20"/>
                <w:color w:val="auto"/>
              </w:rPr>
            </w:pPr>
            <w:r>
              <w:rPr>
                <w:rFonts w:ascii="Arial" w:cs="Arial" w:eastAsia="Arial" w:hAnsi="Arial"/>
                <w:sz w:val="11"/>
                <w:szCs w:val="11"/>
                <w:color w:val="008000"/>
                <w:w w:val="88"/>
              </w:rPr>
              <w:t>(7)</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Convertible</w:t>
            </w: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center"/>
              <w:ind w:left="38"/>
              <w:spacing w:after="0"/>
              <w:rPr>
                <w:sz w:val="20"/>
                <w:szCs w:val="20"/>
                <w:color w:val="auto"/>
              </w:rPr>
            </w:pPr>
            <w:r>
              <w:rPr>
                <w:rFonts w:ascii="Arial" w:cs="Arial" w:eastAsia="Arial" w:hAnsi="Arial"/>
                <w:sz w:val="13"/>
                <w:szCs w:val="13"/>
                <w:color w:val="0000FF"/>
                <w:w w:val="89"/>
              </w:rPr>
              <w:t>09/23/2019</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5"/>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1040" w:type="dxa"/>
            <w:vAlign w:val="bottom"/>
            <w:gridSpan w:val="3"/>
            <w:vMerge w:val="restart"/>
          </w:tcPr>
          <w:p>
            <w:pPr>
              <w:jc w:val="center"/>
              <w:ind w:left="259"/>
              <w:spacing w:after="0"/>
              <w:rPr>
                <w:sz w:val="20"/>
                <w:szCs w:val="20"/>
                <w:color w:val="auto"/>
              </w:rPr>
            </w:pPr>
            <w:r>
              <w:rPr>
                <w:rFonts w:ascii="Arial" w:cs="Arial" w:eastAsia="Arial" w:hAnsi="Arial"/>
                <w:sz w:val="13"/>
                <w:szCs w:val="13"/>
                <w:color w:val="0000FF"/>
                <w:w w:val="89"/>
              </w:rPr>
              <w:t>5,446,902</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5"/>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60" w:type="dxa"/>
            <w:vAlign w:val="bottom"/>
            <w:gridSpan w:val="3"/>
            <w:vMerge w:val="restart"/>
          </w:tcPr>
          <w:p>
            <w:pPr>
              <w:ind w:left="2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gridSpan w:val="4"/>
          </w:tcPr>
          <w:p>
            <w:pPr>
              <w:ind w:left="60"/>
              <w:spacing w:after="0" w:line="81" w:lineRule="exact"/>
              <w:rPr>
                <w:sz w:val="20"/>
                <w:szCs w:val="20"/>
                <w:color w:val="auto"/>
              </w:rPr>
            </w:pPr>
            <w:r>
              <w:rPr>
                <w:rFonts w:ascii="Arial" w:cs="Arial" w:eastAsia="Arial" w:hAnsi="Arial"/>
                <w:sz w:val="9"/>
                <w:szCs w:val="9"/>
                <w:color w:val="0000FF"/>
              </w:rPr>
              <w:t>Preferred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Series E</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4"/>
          </w:tcPr>
          <w:p>
            <w:pPr>
              <w:ind w:left="60"/>
              <w:spacing w:after="0" w:line="141" w:lineRule="exact"/>
              <w:rPr>
                <w:sz w:val="20"/>
                <w:szCs w:val="20"/>
                <w:color w:val="auto"/>
              </w:rPr>
            </w:pPr>
            <w:r>
              <w:rPr>
                <w:rFonts w:ascii="Arial" w:cs="Arial" w:eastAsia="Arial" w:hAnsi="Arial"/>
                <w:sz w:val="13"/>
                <w:szCs w:val="13"/>
                <w:color w:val="0000FF"/>
                <w:w w:val="94"/>
              </w:rPr>
              <w:t>Redeemable</w:t>
            </w:r>
          </w:p>
        </w:tc>
        <w:tc>
          <w:tcPr>
            <w:tcW w:w="540" w:type="dxa"/>
            <w:vAlign w:val="bottom"/>
            <w:vMerge w:val="restart"/>
          </w:tcPr>
          <w:p>
            <w:pPr>
              <w:jc w:val="center"/>
              <w:ind w:left="124"/>
              <w:spacing w:after="0"/>
              <w:rPr>
                <w:sz w:val="20"/>
                <w:szCs w:val="20"/>
                <w:color w:val="auto"/>
              </w:rPr>
            </w:pPr>
            <w:r>
              <w:rPr>
                <w:rFonts w:ascii="Arial" w:cs="Arial" w:eastAsia="Arial" w:hAnsi="Arial"/>
                <w:sz w:val="11"/>
                <w:szCs w:val="11"/>
                <w:color w:val="008000"/>
                <w:w w:val="88"/>
              </w:rPr>
              <w:t>(8)</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929,432</w:t>
            </w:r>
          </w:p>
        </w:tc>
        <w:tc>
          <w:tcPr>
            <w:tcW w:w="180" w:type="dxa"/>
            <w:vAlign w:val="bottom"/>
          </w:tcPr>
          <w:p>
            <w:pPr>
              <w:spacing w:after="0"/>
              <w:rPr>
                <w:sz w:val="12"/>
                <w:szCs w:val="12"/>
                <w:color w:val="auto"/>
              </w:rPr>
            </w:pPr>
          </w:p>
        </w:tc>
        <w:tc>
          <w:tcPr>
            <w:tcW w:w="580" w:type="dxa"/>
            <w:vAlign w:val="bottom"/>
            <w:vMerge w:val="restart"/>
          </w:tcPr>
          <w:p>
            <w:pPr>
              <w:jc w:val="center"/>
              <w:ind w:right="159"/>
              <w:spacing w:after="0"/>
              <w:rPr>
                <w:sz w:val="20"/>
                <w:szCs w:val="20"/>
                <w:color w:val="auto"/>
              </w:rPr>
            </w:pPr>
            <w:r>
              <w:rPr>
                <w:rFonts w:ascii="Arial" w:cs="Arial" w:eastAsia="Arial" w:hAnsi="Arial"/>
                <w:sz w:val="11"/>
                <w:szCs w:val="11"/>
                <w:color w:val="008000"/>
                <w:w w:val="88"/>
              </w:rPr>
              <w:t>(8)</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Convertible</w:t>
            </w: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center"/>
              <w:ind w:left="38"/>
              <w:spacing w:after="0"/>
              <w:rPr>
                <w:sz w:val="20"/>
                <w:szCs w:val="20"/>
                <w:color w:val="auto"/>
              </w:rPr>
            </w:pPr>
            <w:r>
              <w:rPr>
                <w:rFonts w:ascii="Arial" w:cs="Arial" w:eastAsia="Arial" w:hAnsi="Arial"/>
                <w:sz w:val="13"/>
                <w:szCs w:val="13"/>
                <w:color w:val="0000FF"/>
                <w:w w:val="89"/>
              </w:rPr>
              <w:t>09/23/2019</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5"/>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1040" w:type="dxa"/>
            <w:vAlign w:val="bottom"/>
            <w:gridSpan w:val="3"/>
            <w:vMerge w:val="restart"/>
          </w:tcPr>
          <w:p>
            <w:pPr>
              <w:jc w:val="center"/>
              <w:ind w:left="279"/>
              <w:spacing w:after="0"/>
              <w:rPr>
                <w:sz w:val="20"/>
                <w:szCs w:val="20"/>
                <w:color w:val="auto"/>
              </w:rPr>
            </w:pPr>
            <w:r>
              <w:rPr>
                <w:rFonts w:ascii="Arial" w:cs="Arial" w:eastAsia="Arial" w:hAnsi="Arial"/>
                <w:sz w:val="13"/>
                <w:szCs w:val="13"/>
                <w:color w:val="0000FF"/>
                <w:w w:val="89"/>
              </w:rPr>
              <w:t>53,251,030</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5"/>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60" w:type="dxa"/>
            <w:vAlign w:val="bottom"/>
            <w:gridSpan w:val="3"/>
            <w:vMerge w:val="restart"/>
          </w:tcPr>
          <w:p>
            <w:pPr>
              <w:ind w:left="2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(1)(9)</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gridSpan w:val="4"/>
          </w:tcPr>
          <w:p>
            <w:pPr>
              <w:ind w:left="60"/>
              <w:spacing w:after="0" w:line="81" w:lineRule="exact"/>
              <w:rPr>
                <w:sz w:val="20"/>
                <w:szCs w:val="20"/>
                <w:color w:val="auto"/>
              </w:rPr>
            </w:pPr>
            <w:r>
              <w:rPr>
                <w:rFonts w:ascii="Arial" w:cs="Arial" w:eastAsia="Arial" w:hAnsi="Arial"/>
                <w:sz w:val="9"/>
                <w:szCs w:val="9"/>
                <w:color w:val="0000FF"/>
              </w:rPr>
              <w:t>Preferred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Series F</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4"/>
          </w:tcPr>
          <w:p>
            <w:pPr>
              <w:ind w:left="60"/>
              <w:spacing w:after="0" w:line="141" w:lineRule="exact"/>
              <w:rPr>
                <w:sz w:val="20"/>
                <w:szCs w:val="20"/>
                <w:color w:val="auto"/>
              </w:rPr>
            </w:pPr>
            <w:r>
              <w:rPr>
                <w:rFonts w:ascii="Arial" w:cs="Arial" w:eastAsia="Arial" w:hAnsi="Arial"/>
                <w:sz w:val="13"/>
                <w:szCs w:val="13"/>
                <w:color w:val="0000FF"/>
                <w:w w:val="94"/>
              </w:rPr>
              <w:t>Redeemable</w:t>
            </w:r>
          </w:p>
        </w:tc>
        <w:tc>
          <w:tcPr>
            <w:tcW w:w="540" w:type="dxa"/>
            <w:vAlign w:val="bottom"/>
            <w:vMerge w:val="restart"/>
          </w:tcPr>
          <w:p>
            <w:pPr>
              <w:jc w:val="center"/>
              <w:ind w:left="144"/>
              <w:spacing w:after="0"/>
              <w:rPr>
                <w:sz w:val="20"/>
                <w:szCs w:val="20"/>
                <w:color w:val="auto"/>
              </w:rPr>
            </w:pPr>
            <w:r>
              <w:rPr>
                <w:rFonts w:ascii="Arial" w:cs="Arial" w:eastAsia="Arial" w:hAnsi="Arial"/>
                <w:sz w:val="11"/>
                <w:szCs w:val="11"/>
                <w:color w:val="008000"/>
                <w:w w:val="91"/>
              </w:rPr>
              <w:t>(10)</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441,998</w:t>
            </w:r>
          </w:p>
        </w:tc>
        <w:tc>
          <w:tcPr>
            <w:tcW w:w="180" w:type="dxa"/>
            <w:vAlign w:val="bottom"/>
          </w:tcPr>
          <w:p>
            <w:pPr>
              <w:spacing w:after="0"/>
              <w:rPr>
                <w:sz w:val="12"/>
                <w:szCs w:val="12"/>
                <w:color w:val="auto"/>
              </w:rPr>
            </w:pPr>
          </w:p>
        </w:tc>
        <w:tc>
          <w:tcPr>
            <w:tcW w:w="580" w:type="dxa"/>
            <w:vAlign w:val="bottom"/>
            <w:vMerge w:val="restart"/>
          </w:tcPr>
          <w:p>
            <w:pPr>
              <w:jc w:val="center"/>
              <w:ind w:right="179"/>
              <w:spacing w:after="0"/>
              <w:rPr>
                <w:sz w:val="20"/>
                <w:szCs w:val="20"/>
                <w:color w:val="auto"/>
              </w:rPr>
            </w:pPr>
            <w:r>
              <w:rPr>
                <w:rFonts w:ascii="Arial" w:cs="Arial" w:eastAsia="Arial" w:hAnsi="Arial"/>
                <w:sz w:val="11"/>
                <w:szCs w:val="11"/>
                <w:color w:val="008000"/>
                <w:w w:val="91"/>
              </w:rPr>
              <w:t>(10)</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Convertible</w:t>
            </w: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center"/>
              <w:ind w:left="38"/>
              <w:spacing w:after="0"/>
              <w:rPr>
                <w:sz w:val="20"/>
                <w:szCs w:val="20"/>
                <w:color w:val="auto"/>
              </w:rPr>
            </w:pPr>
            <w:r>
              <w:rPr>
                <w:rFonts w:ascii="Arial" w:cs="Arial" w:eastAsia="Arial" w:hAnsi="Arial"/>
                <w:sz w:val="13"/>
                <w:szCs w:val="13"/>
                <w:color w:val="0000FF"/>
                <w:w w:val="89"/>
              </w:rPr>
              <w:t>09/23/2019</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5"/>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1040" w:type="dxa"/>
            <w:vAlign w:val="bottom"/>
            <w:gridSpan w:val="3"/>
            <w:vMerge w:val="restart"/>
          </w:tcPr>
          <w:p>
            <w:pPr>
              <w:jc w:val="center"/>
              <w:ind w:left="279"/>
              <w:spacing w:after="0"/>
              <w:rPr>
                <w:sz w:val="20"/>
                <w:szCs w:val="20"/>
                <w:color w:val="auto"/>
              </w:rPr>
            </w:pPr>
            <w:r>
              <w:rPr>
                <w:rFonts w:ascii="Arial" w:cs="Arial" w:eastAsia="Arial" w:hAnsi="Arial"/>
                <w:sz w:val="13"/>
                <w:szCs w:val="13"/>
                <w:color w:val="0000FF"/>
                <w:w w:val="89"/>
              </w:rPr>
              <w:t>81,166,266</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5"/>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60" w:type="dxa"/>
            <w:vAlign w:val="bottom"/>
            <w:gridSpan w:val="3"/>
            <w:vMerge w:val="restart"/>
          </w:tcPr>
          <w:p>
            <w:pPr>
              <w:ind w:left="2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(1)(11)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gridSpan w:val="4"/>
          </w:tcPr>
          <w:p>
            <w:pPr>
              <w:ind w:left="60"/>
              <w:spacing w:after="0" w:line="81" w:lineRule="exact"/>
              <w:rPr>
                <w:sz w:val="20"/>
                <w:szCs w:val="20"/>
                <w:color w:val="auto"/>
              </w:rPr>
            </w:pPr>
            <w:r>
              <w:rPr>
                <w:rFonts w:ascii="Arial" w:cs="Arial" w:eastAsia="Arial" w:hAnsi="Arial"/>
                <w:sz w:val="9"/>
                <w:szCs w:val="9"/>
                <w:color w:val="0000FF"/>
              </w:rPr>
              <w:t>Preferred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Series H</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4"/>
          </w:tcPr>
          <w:p>
            <w:pPr>
              <w:ind w:left="60"/>
              <w:spacing w:after="0" w:line="141" w:lineRule="exact"/>
              <w:rPr>
                <w:sz w:val="20"/>
                <w:szCs w:val="20"/>
                <w:color w:val="auto"/>
              </w:rPr>
            </w:pPr>
            <w:r>
              <w:rPr>
                <w:rFonts w:ascii="Arial" w:cs="Arial" w:eastAsia="Arial" w:hAnsi="Arial"/>
                <w:sz w:val="13"/>
                <w:szCs w:val="13"/>
                <w:color w:val="0000FF"/>
                <w:w w:val="94"/>
              </w:rPr>
              <w:t>Redeemable</w:t>
            </w:r>
          </w:p>
        </w:tc>
        <w:tc>
          <w:tcPr>
            <w:tcW w:w="540" w:type="dxa"/>
            <w:vAlign w:val="bottom"/>
            <w:vMerge w:val="restart"/>
          </w:tcPr>
          <w:p>
            <w:pPr>
              <w:jc w:val="center"/>
              <w:ind w:left="144"/>
              <w:spacing w:after="0"/>
              <w:rPr>
                <w:sz w:val="20"/>
                <w:szCs w:val="20"/>
                <w:color w:val="auto"/>
              </w:rPr>
            </w:pPr>
            <w:r>
              <w:rPr>
                <w:rFonts w:ascii="Arial" w:cs="Arial" w:eastAsia="Arial" w:hAnsi="Arial"/>
                <w:sz w:val="11"/>
                <w:szCs w:val="11"/>
                <w:color w:val="008000"/>
                <w:w w:val="91"/>
              </w:rPr>
              <w:t>(12)</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317,804</w:t>
            </w:r>
          </w:p>
        </w:tc>
        <w:tc>
          <w:tcPr>
            <w:tcW w:w="180" w:type="dxa"/>
            <w:vAlign w:val="bottom"/>
          </w:tcPr>
          <w:p>
            <w:pPr>
              <w:spacing w:after="0"/>
              <w:rPr>
                <w:sz w:val="12"/>
                <w:szCs w:val="12"/>
                <w:color w:val="auto"/>
              </w:rPr>
            </w:pPr>
          </w:p>
        </w:tc>
        <w:tc>
          <w:tcPr>
            <w:tcW w:w="580" w:type="dxa"/>
            <w:vAlign w:val="bottom"/>
            <w:vMerge w:val="restart"/>
          </w:tcPr>
          <w:p>
            <w:pPr>
              <w:jc w:val="center"/>
              <w:ind w:right="179"/>
              <w:spacing w:after="0"/>
              <w:rPr>
                <w:sz w:val="20"/>
                <w:szCs w:val="20"/>
                <w:color w:val="auto"/>
              </w:rPr>
            </w:pPr>
            <w:r>
              <w:rPr>
                <w:rFonts w:ascii="Arial" w:cs="Arial" w:eastAsia="Arial" w:hAnsi="Arial"/>
                <w:sz w:val="11"/>
                <w:szCs w:val="11"/>
                <w:color w:val="008000"/>
                <w:w w:val="91"/>
              </w:rPr>
              <w:t>(12)</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Convertible</w:t>
            </w: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center"/>
              <w:ind w:left="38"/>
              <w:spacing w:after="0"/>
              <w:rPr>
                <w:sz w:val="20"/>
                <w:szCs w:val="20"/>
                <w:color w:val="auto"/>
              </w:rPr>
            </w:pPr>
            <w:r>
              <w:rPr>
                <w:rFonts w:ascii="Arial" w:cs="Arial" w:eastAsia="Arial" w:hAnsi="Arial"/>
                <w:sz w:val="13"/>
                <w:szCs w:val="13"/>
                <w:color w:val="0000FF"/>
                <w:w w:val="89"/>
              </w:rPr>
              <w:t>09/23/2019</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5"/>
            <w:vMerge w:val="restart"/>
          </w:tcPr>
          <w:p>
            <w:pPr>
              <w:jc w:val="center"/>
              <w:ind w:right="360"/>
              <w:spacing w:after="0"/>
              <w:rPr>
                <w:sz w:val="20"/>
                <w:szCs w:val="20"/>
                <w:color w:val="auto"/>
              </w:rPr>
            </w:pPr>
            <w:r>
              <w:rPr>
                <w:rFonts w:ascii="Arial" w:cs="Arial" w:eastAsia="Arial" w:hAnsi="Arial"/>
                <w:sz w:val="13"/>
                <w:szCs w:val="13"/>
                <w:color w:val="0000FF"/>
                <w:w w:val="84"/>
              </w:rPr>
              <w:t>C</w:t>
            </w:r>
          </w:p>
        </w:tc>
        <w:tc>
          <w:tcPr>
            <w:tcW w:w="1040" w:type="dxa"/>
            <w:vAlign w:val="bottom"/>
            <w:gridSpan w:val="3"/>
            <w:vMerge w:val="restart"/>
          </w:tcPr>
          <w:p>
            <w:pPr>
              <w:jc w:val="center"/>
              <w:ind w:left="279"/>
              <w:spacing w:after="0"/>
              <w:rPr>
                <w:sz w:val="20"/>
                <w:szCs w:val="20"/>
                <w:color w:val="auto"/>
              </w:rPr>
            </w:pPr>
            <w:r>
              <w:rPr>
                <w:rFonts w:ascii="Arial" w:cs="Arial" w:eastAsia="Arial" w:hAnsi="Arial"/>
                <w:sz w:val="13"/>
                <w:szCs w:val="13"/>
                <w:color w:val="0000FF"/>
                <w:w w:val="89"/>
              </w:rPr>
              <w:t>58,359,932</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98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center"/>
              <w:ind w:right="75"/>
              <w:spacing w:after="0"/>
              <w:rPr>
                <w:sz w:val="20"/>
                <w:szCs w:val="20"/>
                <w:color w:val="auto"/>
              </w:rPr>
            </w:pPr>
            <w:r>
              <w:rPr>
                <w:rFonts w:ascii="Arial" w:cs="Arial" w:eastAsia="Arial" w:hAnsi="Arial"/>
                <w:sz w:val="13"/>
                <w:szCs w:val="13"/>
                <w:color w:val="0000FF"/>
                <w:w w:val="92"/>
              </w:rPr>
              <w:t>Stock</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60" w:type="dxa"/>
            <w:vAlign w:val="bottom"/>
            <w:gridSpan w:val="3"/>
            <w:vMerge w:val="restart"/>
          </w:tcPr>
          <w:p>
            <w:pPr>
              <w:ind w:left="2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(1)(13)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gridSpan w:val="4"/>
          </w:tcPr>
          <w:p>
            <w:pPr>
              <w:ind w:left="60"/>
              <w:spacing w:after="0" w:line="81" w:lineRule="exact"/>
              <w:rPr>
                <w:sz w:val="20"/>
                <w:szCs w:val="20"/>
                <w:color w:val="auto"/>
              </w:rPr>
            </w:pPr>
            <w:r>
              <w:rPr>
                <w:rFonts w:ascii="Arial" w:cs="Arial" w:eastAsia="Arial" w:hAnsi="Arial"/>
                <w:sz w:val="9"/>
                <w:szCs w:val="9"/>
                <w:color w:val="0000FF"/>
              </w:rPr>
              <w:t>Preferred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7"/>
          </w:tcPr>
          <w:p>
            <w:pPr>
              <w:ind w:left="60"/>
              <w:spacing w:after="0" w:line="233"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60" w:type="dxa"/>
            <w:vAlign w:val="bottom"/>
            <w:gridSpan w:val="13"/>
          </w:tcPr>
          <w:p>
            <w:pPr>
              <w:ind w:left="20"/>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TULLIS DICKERSON CAPITAL FOCUS III, L.P.</w:t>
              </w:r>
            </w:hyperlink>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-4945380</wp:posOffset>
            </wp:positionV>
            <wp:extent cx="24130" cy="433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43338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11770 US HIGHWAY ONE, SUITE 503</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0" w:right="139" w:bottom="0" w:gutter="0" w:footer="0" w:header="0"/>
          <w:type w:val="continuous"/>
        </w:sectPr>
      </w:pPr>
    </w:p>
    <w:p>
      <w:pPr>
        <w:spacing w:after="0" w:line="21"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PALM BEACH</w:t>
      </w:r>
      <w:r>
        <w:rPr>
          <w:sz w:val="20"/>
          <w:szCs w:val="20"/>
          <w:color w:val="auto"/>
        </w:rPr>
        <w:tab/>
      </w:r>
      <w:r>
        <w:rPr>
          <w:rFonts w:ascii="Arial" w:cs="Arial" w:eastAsia="Arial" w:hAnsi="Arial"/>
          <w:sz w:val="17"/>
          <w:szCs w:val="17"/>
          <w:color w:val="0000FF"/>
        </w:rPr>
        <w:t>FL</w:t>
      </w:r>
      <w:r>
        <w:rPr>
          <w:sz w:val="20"/>
          <w:szCs w:val="20"/>
          <w:color w:val="auto"/>
        </w:rPr>
        <w:tab/>
      </w:r>
      <w:r>
        <w:rPr>
          <w:rFonts w:ascii="Arial" w:cs="Arial" w:eastAsia="Arial" w:hAnsi="Arial"/>
          <w:sz w:val="13"/>
          <w:szCs w:val="13"/>
          <w:color w:val="0000FF"/>
        </w:rPr>
        <w:t>33408</w:t>
      </w:r>
    </w:p>
    <w:p>
      <w:pPr>
        <w:sectPr>
          <w:pgSz w:w="11900" w:h="16838" w:orient="portrait"/>
          <w:cols w:equalWidth="0" w:num="1">
            <w:col w:w="11520"/>
          </w:cols>
          <w:pgMar w:left="240" w:top="220" w:right="139" w:bottom="0" w:gutter="0" w:footer="0" w:header="0"/>
          <w:type w:val="continuous"/>
        </w:sectPr>
      </w:pPr>
    </w:p>
    <w:bookmarkStart w:id="1" w:name="page2"/>
    <w:bookmarkEnd w:id="1"/>
    <w:p>
      <w:pPr>
        <w:spacing w:after="0" w:line="26"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GARDENS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-118110</wp:posOffset>
            </wp:positionV>
            <wp:extent cx="2922270" cy="5635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2270" cy="563562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9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900" w:type="dxa"/>
            <w:vAlign w:val="bottom"/>
            <w:gridSpan w:val="5"/>
          </w:tcPr>
          <w:p>
            <w:pPr>
              <w:ind w:left="20"/>
              <w:spacing w:after="0" w:line="213" w:lineRule="exact"/>
              <w:rPr>
                <w:rFonts w:ascii="Arial" w:cs="Arial" w:eastAsia="Arial" w:hAnsi="Arial"/>
                <w:sz w:val="20"/>
                <w:szCs w:val="20"/>
                <w:color w:val="0000EE"/>
              </w:rPr>
            </w:pPr>
            <w:hyperlink r:id="rId16">
              <w:r>
                <w:rPr>
                  <w:rFonts w:ascii="Arial" w:cs="Arial" w:eastAsia="Arial" w:hAnsi="Arial"/>
                  <w:sz w:val="20"/>
                  <w:szCs w:val="20"/>
                  <w:color w:val="0000EE"/>
                </w:rPr>
                <w:t>Tullis Growth Fund, L.P.</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900" w:type="dxa"/>
            <w:vAlign w:val="bottom"/>
            <w:gridSpan w:val="5"/>
          </w:tcPr>
          <w:p>
            <w:pPr>
              <w:ind w:left="20"/>
              <w:spacing w:after="0"/>
              <w:rPr>
                <w:sz w:val="20"/>
                <w:szCs w:val="20"/>
                <w:color w:val="auto"/>
              </w:rPr>
            </w:pPr>
            <w:r>
              <w:rPr>
                <w:rFonts w:ascii="Arial" w:cs="Arial" w:eastAsia="Arial" w:hAnsi="Arial"/>
                <w:sz w:val="17"/>
                <w:szCs w:val="17"/>
                <w:color w:val="0000FF"/>
                <w:w w:val="96"/>
              </w:rPr>
              <w:t>11770 US HIGHWAY ONE, SUITE 503</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PALM BEACH</w:t>
            </w:r>
          </w:p>
        </w:tc>
        <w:tc>
          <w:tcPr>
            <w:tcW w:w="1620" w:type="dxa"/>
            <w:vAlign w:val="bottom"/>
            <w:gridSpan w:val="3"/>
            <w:vMerge w:val="restart"/>
          </w:tcPr>
          <w:p>
            <w:pPr>
              <w:ind w:left="200"/>
              <w:spacing w:after="0"/>
              <w:rPr>
                <w:sz w:val="20"/>
                <w:szCs w:val="20"/>
                <w:color w:val="auto"/>
              </w:rPr>
            </w:pPr>
            <w:r>
              <w:rPr>
                <w:rFonts w:ascii="Arial" w:cs="Arial" w:eastAsia="Arial" w:hAnsi="Arial"/>
                <w:sz w:val="17"/>
                <w:szCs w:val="17"/>
                <w:color w:val="0000FF"/>
              </w:rPr>
              <w:t>FL</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0000FF"/>
              </w:rPr>
              <w:t>33408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GARDENS</w:t>
            </w:r>
          </w:p>
        </w:tc>
        <w:tc>
          <w:tcPr>
            <w:tcW w:w="1620" w:type="dxa"/>
            <w:vAlign w:val="bottom"/>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9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900" w:type="dxa"/>
            <w:vAlign w:val="bottom"/>
            <w:gridSpan w:val="5"/>
          </w:tcPr>
          <w:p>
            <w:pPr>
              <w:ind w:left="20"/>
              <w:spacing w:after="0" w:line="213" w:lineRule="exact"/>
              <w:rPr>
                <w:rFonts w:ascii="Arial" w:cs="Arial" w:eastAsia="Arial" w:hAnsi="Arial"/>
                <w:sz w:val="20"/>
                <w:szCs w:val="20"/>
                <w:color w:val="0000EE"/>
                <w:w w:val="98"/>
              </w:rPr>
            </w:pPr>
            <w:hyperlink r:id="rId17">
              <w:r>
                <w:rPr>
                  <w:rFonts w:ascii="Arial" w:cs="Arial" w:eastAsia="Arial" w:hAnsi="Arial"/>
                  <w:sz w:val="20"/>
                  <w:szCs w:val="20"/>
                  <w:color w:val="0000EE"/>
                  <w:w w:val="98"/>
                </w:rPr>
                <w:t>TULLIS GROWTH FUND II, L.P.</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900" w:type="dxa"/>
            <w:vAlign w:val="bottom"/>
            <w:gridSpan w:val="5"/>
          </w:tcPr>
          <w:p>
            <w:pPr>
              <w:ind w:left="20"/>
              <w:spacing w:after="0"/>
              <w:rPr>
                <w:sz w:val="20"/>
                <w:szCs w:val="20"/>
                <w:color w:val="auto"/>
              </w:rPr>
            </w:pPr>
            <w:r>
              <w:rPr>
                <w:rFonts w:ascii="Arial" w:cs="Arial" w:eastAsia="Arial" w:hAnsi="Arial"/>
                <w:sz w:val="17"/>
                <w:szCs w:val="17"/>
                <w:color w:val="0000FF"/>
                <w:w w:val="96"/>
              </w:rPr>
              <w:t>11770 US HIGHWAY ONE, SUITE 503</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PALM BEACH</w:t>
            </w:r>
          </w:p>
        </w:tc>
        <w:tc>
          <w:tcPr>
            <w:tcW w:w="1620" w:type="dxa"/>
            <w:vAlign w:val="bottom"/>
            <w:gridSpan w:val="3"/>
            <w:vMerge w:val="restart"/>
          </w:tcPr>
          <w:p>
            <w:pPr>
              <w:ind w:left="200"/>
              <w:spacing w:after="0"/>
              <w:rPr>
                <w:sz w:val="20"/>
                <w:szCs w:val="20"/>
                <w:color w:val="auto"/>
              </w:rPr>
            </w:pPr>
            <w:r>
              <w:rPr>
                <w:rFonts w:ascii="Arial" w:cs="Arial" w:eastAsia="Arial" w:hAnsi="Arial"/>
                <w:sz w:val="17"/>
                <w:szCs w:val="17"/>
                <w:color w:val="0000FF"/>
              </w:rPr>
              <w:t>FL</w:t>
            </w:r>
          </w:p>
        </w:tc>
        <w:tc>
          <w:tcPr>
            <w:tcW w:w="1460" w:type="dxa"/>
            <w:vAlign w:val="bottom"/>
            <w:vMerge w:val="restart"/>
          </w:tcPr>
          <w:p>
            <w:pPr>
              <w:ind w:left="40"/>
              <w:spacing w:after="0"/>
              <w:rPr>
                <w:sz w:val="20"/>
                <w:szCs w:val="20"/>
                <w:color w:val="auto"/>
              </w:rPr>
            </w:pPr>
            <w:r>
              <w:rPr>
                <w:rFonts w:ascii="Arial" w:cs="Arial" w:eastAsia="Arial" w:hAnsi="Arial"/>
                <w:sz w:val="17"/>
                <w:szCs w:val="17"/>
                <w:color w:val="0000FF"/>
              </w:rPr>
              <w:t>33408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GARDENS</w:t>
            </w:r>
          </w:p>
        </w:tc>
        <w:tc>
          <w:tcPr>
            <w:tcW w:w="1620" w:type="dxa"/>
            <w:vAlign w:val="bottom"/>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TULLIS DICKERSON PARTNERS III,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4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tcPr>
          <w:p>
            <w:pPr>
              <w:ind w:left="1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20" w:type="dxa"/>
            <w:vAlign w:val="bottom"/>
            <w:gridSpan w:val="2"/>
          </w:tcPr>
          <w:p>
            <w:pPr>
              <w:ind w:left="20"/>
              <w:spacing w:after="0"/>
              <w:rPr>
                <w:sz w:val="20"/>
                <w:szCs w:val="20"/>
                <w:color w:val="auto"/>
              </w:rPr>
            </w:pPr>
            <w:r>
              <w:rPr>
                <w:rFonts w:ascii="Arial" w:cs="Arial" w:eastAsia="Arial" w:hAnsi="Arial"/>
                <w:sz w:val="17"/>
                <w:szCs w:val="17"/>
                <w:color w:val="0000FF"/>
                <w:w w:val="93"/>
              </w:rPr>
              <w:t>11770 US HIGHWAY ONE, SUITE 503</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PALM BEACH</w:t>
            </w:r>
          </w:p>
        </w:tc>
        <w:tc>
          <w:tcPr>
            <w:tcW w:w="1540" w:type="dxa"/>
            <w:vAlign w:val="bottom"/>
            <w:vMerge w:val="restart"/>
          </w:tcPr>
          <w:p>
            <w:pPr>
              <w:ind w:left="200"/>
              <w:spacing w:after="0"/>
              <w:rPr>
                <w:sz w:val="20"/>
                <w:szCs w:val="20"/>
                <w:color w:val="auto"/>
              </w:rPr>
            </w:pPr>
            <w:r>
              <w:rPr>
                <w:rFonts w:ascii="Arial" w:cs="Arial" w:eastAsia="Arial" w:hAnsi="Arial"/>
                <w:sz w:val="17"/>
                <w:szCs w:val="17"/>
                <w:color w:val="0000FF"/>
              </w:rPr>
              <w:t>FL</w:t>
            </w:r>
          </w:p>
        </w:tc>
        <w:tc>
          <w:tcPr>
            <w:tcW w:w="1540" w:type="dxa"/>
            <w:vAlign w:val="bottom"/>
            <w:vMerge w:val="restart"/>
          </w:tcPr>
          <w:p>
            <w:pPr>
              <w:ind w:left="120"/>
              <w:spacing w:after="0"/>
              <w:rPr>
                <w:sz w:val="20"/>
                <w:szCs w:val="20"/>
                <w:color w:val="auto"/>
              </w:rPr>
            </w:pPr>
            <w:r>
              <w:rPr>
                <w:rFonts w:ascii="Arial" w:cs="Arial" w:eastAsia="Arial" w:hAnsi="Arial"/>
                <w:sz w:val="17"/>
                <w:szCs w:val="17"/>
                <w:color w:val="0000FF"/>
              </w:rPr>
              <w:t>33408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vMerge w:val="restart"/>
          </w:tcPr>
          <w:p>
            <w:pPr>
              <w:ind w:left="20"/>
              <w:spacing w:after="0"/>
              <w:rPr>
                <w:sz w:val="20"/>
                <w:szCs w:val="20"/>
                <w:color w:val="auto"/>
              </w:rPr>
            </w:pPr>
            <w:r>
              <w:rPr>
                <w:rFonts w:ascii="Arial" w:cs="Arial" w:eastAsia="Arial" w:hAnsi="Arial"/>
                <w:sz w:val="17"/>
                <w:szCs w:val="17"/>
                <w:color w:val="0000FF"/>
              </w:rPr>
              <w:t>GARDENS</w:t>
            </w:r>
          </w:p>
        </w:tc>
        <w:tc>
          <w:tcPr>
            <w:tcW w:w="154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4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tcPr>
          <w:p>
            <w:pPr>
              <w:ind w:left="1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1"/>
        <w:spacing w:after="0" w:line="232"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31"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held of record by Tullis.</w:t>
      </w:r>
    </w:p>
    <w:p>
      <w:pPr>
        <w:spacing w:after="0" w:line="42"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terminate upon closing of the Issuer's initial public offering.</w:t>
      </w:r>
    </w:p>
    <w:p>
      <w:pPr>
        <w:spacing w:after="0" w:line="42"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warrants that previously entitled the holders to purchase Series E Redeemable Convertible Preferred Stock, which, pursuant to their terms, were settled in shares of the Issuer's Common Stock.</w:t>
      </w:r>
    </w:p>
    <w:p>
      <w:pPr>
        <w:spacing w:after="0" w:line="53" w:lineRule="exact"/>
        <w:rPr>
          <w:rFonts w:ascii="Arial" w:cs="Arial" w:eastAsia="Arial" w:hAnsi="Arial"/>
          <w:sz w:val="12"/>
          <w:szCs w:val="12"/>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warrants held by Tullis and Tullis Growth, respectively, to purchase 43 shares of the Issuer's Common Stock and warrants to purchase 11,455 shares of the Issuer's Common Stock.</w:t>
      </w:r>
    </w:p>
    <w:p>
      <w:pPr>
        <w:spacing w:after="0" w:line="42" w:lineRule="exact"/>
        <w:rPr>
          <w:rFonts w:ascii="Arial" w:cs="Arial" w:eastAsia="Arial" w:hAnsi="Arial"/>
          <w:sz w:val="13"/>
          <w:szCs w:val="13"/>
          <w:color w:val="008000"/>
        </w:rPr>
      </w:pPr>
    </w:p>
    <w:p>
      <w:pPr>
        <w:ind w:left="20" w:right="140" w:firstLine="1"/>
        <w:spacing w:after="0" w:line="24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A-3 Redeemable Convertible Preferred Stock (the "Series A-3") is convertible into the Issuer's Common Stock on a 183.635-for-one basis at the holder's election and has no expiration date. The Series A-3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0" w:right="540" w:firstLine="1"/>
        <w:spacing w:after="0" w:line="24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C Redeemable Convertible Preferred Stock (the "Series C") is convertible into the Issuer's Common Stock on a 57.294-for-one basis at the holder's election and has no expiration date. The Series C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0" w:right="560" w:firstLine="1"/>
        <w:spacing w:after="0" w:line="24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E Redeemable Convertible Preferred Stock (the "Series E") is convertible into the Issuer's Common Stock on a 57.294-for-one basis at the holder's election and has no expiration date. The Series E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140" w:hanging="119"/>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656,282 and 273,150 shares of common stock underlying the Series E shares held by Tullis and Tullis Growth, respectively.</w:t>
      </w:r>
    </w:p>
    <w:p>
      <w:pPr>
        <w:spacing w:after="0" w:line="42" w:lineRule="exact"/>
        <w:rPr>
          <w:rFonts w:ascii="Arial" w:cs="Arial" w:eastAsia="Arial" w:hAnsi="Arial"/>
          <w:sz w:val="13"/>
          <w:szCs w:val="13"/>
          <w:color w:val="008000"/>
        </w:rPr>
      </w:pPr>
    </w:p>
    <w:p>
      <w:pPr>
        <w:ind w:left="20" w:right="660" w:firstLine="1"/>
        <w:spacing w:after="0" w:line="245" w:lineRule="auto"/>
        <w:tabs>
          <w:tab w:leader="none" w:pos="21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F Redeemable Convertible Preferred Stock ("Series F") is convertible into the Issuer's Common Stock on a 183.635-for-one basis at the holder's election and has no expiration date. The Series F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00" w:hanging="179"/>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242,226 and 199,771 shares of common stock underlying the Series F shares held by Tullis and Tullis Growth, respectively.</w:t>
      </w:r>
    </w:p>
    <w:p>
      <w:pPr>
        <w:spacing w:after="0" w:line="53" w:lineRule="exact"/>
        <w:rPr>
          <w:rFonts w:ascii="Arial" w:cs="Arial" w:eastAsia="Arial" w:hAnsi="Arial"/>
          <w:sz w:val="12"/>
          <w:szCs w:val="12"/>
          <w:color w:val="008000"/>
        </w:rPr>
      </w:pPr>
    </w:p>
    <w:p>
      <w:pPr>
        <w:ind w:left="20" w:right="580" w:firstLine="1"/>
        <w:spacing w:after="0" w:line="245" w:lineRule="auto"/>
        <w:tabs>
          <w:tab w:leader="none" w:pos="21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H Redeemable Convertible Preferred Stock ("Series H") is convertible into the Issuer's Common Stock on a 183.635-for-one basis at the holder's election and has no expiration date. The Series H automatically converted into Common Stock upon the closing of the Issuer's initial public offering.</w:t>
      </w:r>
    </w:p>
    <w:p>
      <w:pPr>
        <w:spacing w:after="0" w:line="27" w:lineRule="exact"/>
        <w:rPr>
          <w:rFonts w:ascii="Arial" w:cs="Arial" w:eastAsia="Arial" w:hAnsi="Arial"/>
          <w:sz w:val="13"/>
          <w:szCs w:val="13"/>
          <w:color w:val="008000"/>
        </w:rPr>
      </w:pPr>
    </w:p>
    <w:p>
      <w:pPr>
        <w:ind w:left="220" w:hanging="199"/>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106,897 shares, 105,453 shares and 105,453 shares of common stock underlying the Series H shares held by Tullis, Tullis Growth and Tullis Growth II, respectively.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65" w:orient="portrait"/>
          <w:cols w:equalWidth="0" w:num="1">
            <w:col w:w="11320"/>
          </w:cols>
          <w:pgMar w:left="260" w:top="131" w:right="319" w:bottom="0" w:gutter="0" w:footer="0" w:header="0"/>
        </w:sectPr>
      </w:pPr>
    </w:p>
    <w:p>
      <w:pPr>
        <w:spacing w:after="0" w:line="1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Tullis Growth Fund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-5080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Tullis-Growth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-17145</wp:posOffset>
            </wp:positionV>
            <wp:extent cx="1094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L.L.C.,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-10160</wp:posOffset>
            </wp:positionV>
            <wp:extent cx="1240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James L. L. Tullis, Name: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-2540</wp:posOffset>
            </wp:positionV>
            <wp:extent cx="1378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L.L. Tullis,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-17145</wp:posOffset>
            </wp:positionV>
            <wp:extent cx="1129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9030" cy="8255"/>
                    </a:xfrm>
                    <a:prstGeom prst="rect">
                      <a:avLst/>
                    </a:prstGeom>
                    <a:noFill/>
                  </pic:spPr>
                </pic:pic>
              </a:graphicData>
            </a:graphic>
          </wp:anchor>
        </w:drawing>
      </w:r>
    </w:p>
    <w:p>
      <w:pPr>
        <w:spacing w:after="0" w:line="3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Tullis Growth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-12700</wp:posOffset>
            </wp:positionV>
            <wp:extent cx="1256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Tullis-Growth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-10160</wp:posOffset>
            </wp:positionV>
            <wp:extent cx="1329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its general partner, /s/ James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-2540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 Tullis, Name: James 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-17145</wp:posOffset>
            </wp:positionV>
            <wp:extent cx="1185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Tullis,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-17145</wp:posOffset>
            </wp:positionV>
            <wp:extent cx="9213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21385" cy="8255"/>
                    </a:xfrm>
                    <a:prstGeom prst="rect">
                      <a:avLst/>
                    </a:prstGeom>
                    <a:noFill/>
                  </pic:spPr>
                </pic:pic>
              </a:graphicData>
            </a:graphic>
          </wp:anchor>
        </w:drawing>
      </w:r>
    </w:p>
    <w:p>
      <w:pPr>
        <w:spacing w:after="0" w:line="3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Tullis-Dickerson Capital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-5080</wp:posOffset>
            </wp:positionV>
            <wp:extent cx="1320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III, L.P., By: Tullis-Dickerson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-17145</wp:posOffset>
            </wp:positionV>
            <wp:extent cx="1264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Partners,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-17145</wp:posOffset>
            </wp:positionV>
            <wp:extent cx="1165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 /s/ James L. 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-10160</wp:posOffset>
            </wp:positionV>
            <wp:extent cx="1260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Name: James L.L. Tullis,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-10160</wp:posOffset>
            </wp:positionV>
            <wp:extent cx="1319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-17145</wp:posOffset>
            </wp:positionV>
            <wp:extent cx="3746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74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80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80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80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ectPr>
          <w:pgSz w:w="11900" w:h="16865" w:orient="portrait"/>
          <w:cols w:equalWidth="0" w:num="2">
            <w:col w:w="9020" w:space="120"/>
            <w:col w:w="2180"/>
          </w:cols>
          <w:pgMar w:left="260" w:top="131" w:right="31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6"/>
          <w:szCs w:val="16"/>
          <w:color w:val="0000FF"/>
        </w:rPr>
        <w:t>Tullis-Dickerson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-5080</wp:posOffset>
            </wp:positionV>
            <wp:extent cx="12414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/s/ James L. 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-10160</wp:posOffset>
            </wp:positionV>
            <wp:extent cx="1244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Name: James L.L. Tullis,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-2540</wp:posOffset>
            </wp:positionV>
            <wp:extent cx="1319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-17145</wp:posOffset>
            </wp:positionV>
            <wp:extent cx="3746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74650"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80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900" w:space="220"/>
            <w:col w:w="1059"/>
          </w:cols>
          <w:pgMar w:left="280" w:top="144"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799" w:firstLine="1"/>
        <w:spacing w:after="0" w:line="329"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144359" TargetMode="External"/><Relationship Id="rId13"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606950" TargetMode="External"/><Relationship Id="rId17" Type="http://schemas.openxmlformats.org/officeDocument/2006/relationships/hyperlink" Target="http://www.sec.gov/cgi-bin/browse-edgar?action=getcompany&amp;CIK=0001746842" TargetMode="External"/><Relationship Id="rId18" Type="http://schemas.openxmlformats.org/officeDocument/2006/relationships/hyperlink" Target="http://www.sec.gov/cgi-bin/browse-edgar?action=getcompany&amp;CIK=0001144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2019-12-23T16:03:59Z</dcterms:created>
  <dcterms:modified xsi:type="dcterms:W3CDTF">2019-12-23T16:03:59Z</dcterms:modified>
</cp:coreProperties>
</file>