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60" w:hanging="331"/>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7" w:lineRule="exact"/>
        <w:rPr>
          <w:rFonts w:ascii="MS PGothic" w:cs="MS PGothic" w:eastAsia="MS PGothic" w:hAnsi="MS PGothic"/>
          <w:sz w:val="22"/>
          <w:szCs w:val="22"/>
          <w:color w:val="auto"/>
          <w:highlight w:val="black"/>
        </w:rPr>
      </w:pPr>
    </w:p>
    <w:p>
      <w:pPr>
        <w:ind w:left="382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fiscal year ended December 31, 2025</w:t>
      </w:r>
    </w:p>
    <w:p>
      <w:pPr>
        <w:spacing w:after="0" w:line="52" w:lineRule="exact"/>
        <w:rPr>
          <w:sz w:val="24"/>
          <w:szCs w:val="24"/>
          <w:color w:val="auto"/>
        </w:rPr>
      </w:pPr>
    </w:p>
    <w:p>
      <w:pPr>
        <w:ind w:left="460" w:hanging="331"/>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transition period from to .</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110490</wp:posOffset>
            </wp:positionV>
            <wp:extent cx="1311275"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484"/>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3"/>
          </w:tcPr>
          <w:p>
            <w:pPr>
              <w:jc w:val="center"/>
              <w:ind w:right="62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720" w:type="dxa"/>
            <w:vAlign w:val="bottom"/>
          </w:tcPr>
          <w:p>
            <w:pPr>
              <w:spacing w:after="0"/>
              <w:rPr>
                <w:sz w:val="17"/>
                <w:szCs w:val="17"/>
                <w:color w:val="auto"/>
              </w:rPr>
            </w:pPr>
          </w:p>
        </w:tc>
        <w:tc>
          <w:tcPr>
            <w:tcW w:w="38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720" w:type="dxa"/>
            <w:vAlign w:val="bottom"/>
          </w:tcPr>
          <w:p>
            <w:pPr>
              <w:jc w:val="center"/>
              <w:ind w:left="1548"/>
              <w:spacing w:after="0"/>
              <w:rPr>
                <w:sz w:val="20"/>
                <w:szCs w:val="20"/>
                <w:color w:val="auto"/>
              </w:rPr>
            </w:pPr>
            <w:r>
              <w:rPr>
                <w:rFonts w:ascii="Arial" w:cs="Arial" w:eastAsia="Arial" w:hAnsi="Arial"/>
                <w:sz w:val="14"/>
                <w:szCs w:val="14"/>
                <w:b w:val="1"/>
                <w:bCs w:val="1"/>
                <w:color w:val="auto"/>
              </w:rPr>
              <w:t>Delaware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0"/>
        </w:trPr>
        <w:tc>
          <w:tcPr>
            <w:tcW w:w="3720" w:type="dxa"/>
            <w:vAlign w:val="bottom"/>
          </w:tcPr>
          <w:p>
            <w:pPr>
              <w:jc w:val="center"/>
              <w:ind w:left="1548"/>
              <w:spacing w:after="0" w:line="151" w:lineRule="exact"/>
              <w:rPr>
                <w:sz w:val="20"/>
                <w:szCs w:val="20"/>
                <w:color w:val="auto"/>
              </w:rPr>
            </w:pPr>
            <w:r>
              <w:rPr>
                <w:rFonts w:ascii="Arial" w:cs="Arial" w:eastAsia="Arial" w:hAnsi="Arial"/>
                <w:sz w:val="14"/>
                <w:szCs w:val="14"/>
                <w:b w:val="1"/>
                <w:bCs w:val="1"/>
                <w:color w:val="auto"/>
              </w:rPr>
              <w:t>(State or other jurisdiction of</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80" w:type="dxa"/>
            <w:vAlign w:val="bottom"/>
          </w:tcPr>
          <w:p>
            <w:pPr>
              <w:jc w:val="center"/>
              <w:ind w:right="788"/>
              <w:spacing w:after="0" w:line="151"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20" w:type="dxa"/>
            <w:vAlign w:val="bottom"/>
          </w:tcPr>
          <w:p>
            <w:pPr>
              <w:jc w:val="center"/>
              <w:ind w:left="1548"/>
              <w:spacing w:after="0"/>
              <w:rPr>
                <w:sz w:val="20"/>
                <w:szCs w:val="20"/>
                <w:color w:val="auto"/>
              </w:rPr>
            </w:pPr>
            <w:r>
              <w:rPr>
                <w:rFonts w:ascii="Arial" w:cs="Arial" w:eastAsia="Arial" w:hAnsi="Arial"/>
                <w:sz w:val="14"/>
                <w:szCs w:val="14"/>
                <w:b w:val="1"/>
                <w:bCs w:val="1"/>
                <w:color w:val="auto"/>
              </w:rPr>
              <w:t>incorporation or organization)</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301"/>
        </w:trPr>
        <w:tc>
          <w:tcPr>
            <w:tcW w:w="3720" w:type="dxa"/>
            <w:vAlign w:val="bottom"/>
          </w:tcPr>
          <w:p>
            <w:pPr>
              <w:jc w:val="center"/>
              <w:ind w:left="1048"/>
              <w:spacing w:after="0"/>
              <w:rPr>
                <w:sz w:val="20"/>
                <w:szCs w:val="20"/>
                <w:color w:val="auto"/>
              </w:rPr>
            </w:pPr>
            <w:r>
              <w:rPr>
                <w:rFonts w:ascii="Arial" w:cs="Arial" w:eastAsia="Arial" w:hAnsi="Arial"/>
                <w:sz w:val="14"/>
                <w:szCs w:val="14"/>
                <w:b w:val="1"/>
                <w:bCs w:val="1"/>
                <w:color w:val="auto"/>
              </w:rPr>
              <w:t>1261 Liberty Way</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720" w:type="dxa"/>
            <w:vAlign w:val="bottom"/>
          </w:tcPr>
          <w:p>
            <w:pPr>
              <w:jc w:val="center"/>
              <w:ind w:left="1048"/>
              <w:spacing w:after="0"/>
              <w:rPr>
                <w:sz w:val="20"/>
                <w:szCs w:val="20"/>
                <w:color w:val="auto"/>
              </w:rPr>
            </w:pPr>
            <w:r>
              <w:rPr>
                <w:rFonts w:ascii="Arial" w:cs="Arial" w:eastAsia="Arial" w:hAnsi="Arial"/>
                <w:sz w:val="14"/>
                <w:szCs w:val="14"/>
                <w:b w:val="1"/>
                <w:bCs w:val="1"/>
                <w:color w:val="auto"/>
              </w:rPr>
              <w:t>Vista, California</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6"/>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10"/>
        </w:trPr>
        <w:tc>
          <w:tcPr>
            <w:tcW w:w="3720" w:type="dxa"/>
            <w:vAlign w:val="bottom"/>
          </w:tcPr>
          <w:p>
            <w:pPr>
              <w:spacing w:after="0"/>
              <w:rPr>
                <w:sz w:val="24"/>
                <w:szCs w:val="24"/>
                <w:color w:val="auto"/>
              </w:rPr>
            </w:pPr>
          </w:p>
        </w:tc>
        <w:tc>
          <w:tcPr>
            <w:tcW w:w="3180" w:type="dxa"/>
            <w:vAlign w:val="bottom"/>
            <w:gridSpan w:val="3"/>
          </w:tcPr>
          <w:p>
            <w:pPr>
              <w:jc w:val="right"/>
              <w:ind w:right="546"/>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720" w:type="dxa"/>
            <w:vAlign w:val="bottom"/>
          </w:tcPr>
          <w:p>
            <w:pPr>
              <w:spacing w:after="0"/>
              <w:rPr>
                <w:sz w:val="17"/>
                <w:szCs w:val="17"/>
                <w:color w:val="auto"/>
              </w:rPr>
            </w:pPr>
          </w:p>
        </w:tc>
        <w:tc>
          <w:tcPr>
            <w:tcW w:w="38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77"/>
        </w:trPr>
        <w:tc>
          <w:tcPr>
            <w:tcW w:w="37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23"/>
        </w:trPr>
        <w:tc>
          <w:tcPr>
            <w:tcW w:w="37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20" w:type="dxa"/>
            <w:vAlign w:val="bottom"/>
          </w:tcPr>
          <w:p>
            <w:pPr>
              <w:jc w:val="center"/>
              <w:ind w:left="388"/>
              <w:spacing w:after="0"/>
              <w:rPr>
                <w:sz w:val="20"/>
                <w:szCs w:val="20"/>
                <w:color w:val="auto"/>
              </w:rPr>
            </w:pPr>
            <w:r>
              <w:rPr>
                <w:rFonts w:ascii="Arial" w:cs="Arial" w:eastAsia="Arial" w:hAnsi="Arial"/>
                <w:sz w:val="14"/>
                <w:szCs w:val="14"/>
                <w:b w:val="1"/>
                <w:bCs w:val="1"/>
                <w:color w:val="auto"/>
              </w:rPr>
              <w:t>Common Stock, par value $0.001 per share</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XGN</w:t>
            </w:r>
          </w:p>
        </w:tc>
        <w:tc>
          <w:tcPr>
            <w:tcW w:w="3680" w:type="dxa"/>
            <w:vAlign w:val="bottom"/>
          </w:tcPr>
          <w:p>
            <w:pPr>
              <w:jc w:val="center"/>
              <w:ind w:right="44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48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auto"/>
        </w:rPr>
        <w:t>"emerging growth company" in Rule 12b-2 of the Securities Exchange Act of 1934.</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1"/>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0"/>
          <w:szCs w:val="20"/>
          <w:color w:val="auto"/>
        </w:rPr>
      </w:pPr>
    </w:p>
    <w:p>
      <w:pPr>
        <w:spacing w:after="0" w:line="278" w:lineRule="exact"/>
        <w:rPr>
          <w:sz w:val="20"/>
          <w:szCs w:val="20"/>
          <w:color w:val="auto"/>
        </w:rPr>
      </w:pPr>
    </w:p>
    <w:p>
      <w:pPr>
        <w:ind w:right="28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7" w:lineRule="exact"/>
        <w:rPr>
          <w:sz w:val="20"/>
          <w:szCs w:val="20"/>
          <w:color w:val="auto"/>
        </w:rPr>
      </w:pPr>
    </w:p>
    <w:p>
      <w:pPr>
        <w:ind w:right="44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7" w:lineRule="exact"/>
        <w:rPr>
          <w:sz w:val="20"/>
          <w:szCs w:val="20"/>
          <w:color w:val="auto"/>
        </w:rPr>
      </w:pPr>
    </w:p>
    <w:p>
      <w:pPr>
        <w:ind w:right="60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87" w:lineRule="exact"/>
        <w:rPr>
          <w:sz w:val="20"/>
          <w:szCs w:val="20"/>
          <w:color w:val="auto"/>
        </w:rPr>
      </w:pPr>
    </w:p>
    <w:p>
      <w:pPr>
        <w:ind w:right="44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7"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As of June 30, 2025 (the last business day of the registrant's most recently completed second fiscal quarter), the aggregate market value of the registrant's common stock held by non-affiliates of the registrant was approximately $153.6 million, based on the closing price of the registrant's common stock on the Nasdaq Global Market of $6.98 per share.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Total shares of common stock outstanding as of the close of business on March 6, 2026 was 24,053,058.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31"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Certain information required to be disclosed in Part III of this report is incorporated by reference from the registrant's definitive Proxy Statement for the 2026 Annual Meeting of Stockholders, which proxy statement will be filed not later than 120 days after the end of the fiscal year covered by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340" w:type="dxa"/>
            <w:vAlign w:val="bottom"/>
            <w:gridSpan w:val="11"/>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spacing w:after="0" w:line="195" w:lineRule="exact"/>
              <w:rPr>
                <w:sz w:val="20"/>
                <w:szCs w:val="20"/>
                <w:color w:val="auto"/>
              </w:rPr>
            </w:pPr>
            <w:r>
              <w:rPr>
                <w:rFonts w:ascii="Arial" w:cs="Arial" w:eastAsia="Arial" w:hAnsi="Arial"/>
                <w:sz w:val="18"/>
                <w:szCs w:val="18"/>
                <w:color w:val="0000FF"/>
                <w:w w:val="97"/>
              </w:rPr>
              <w:t>Business.</w:t>
            </w:r>
          </w:p>
        </w:tc>
        <w:tc>
          <w:tcPr>
            <w:tcW w:w="7780" w:type="dxa"/>
            <w:vAlign w:val="bottom"/>
            <w:gridSpan w:val="21"/>
          </w:tcPr>
          <w:p>
            <w:pPr>
              <w:spacing w:after="0"/>
              <w:rPr>
                <w:sz w:val="16"/>
                <w:szCs w:val="16"/>
                <w:color w:val="auto"/>
              </w:rPr>
            </w:pPr>
          </w:p>
        </w:tc>
        <w:tc>
          <w:tcPr>
            <w:tcW w:w="1260" w:type="dxa"/>
            <w:vAlign w:val="bottom"/>
            <w:gridSpan w:val="3"/>
          </w:tcPr>
          <w:p>
            <w:pPr>
              <w:spacing w:after="0"/>
              <w:rPr>
                <w:sz w:val="16"/>
                <w:szCs w:val="16"/>
                <w:color w:val="auto"/>
              </w:rPr>
            </w:pPr>
          </w:p>
        </w:tc>
        <w:tc>
          <w:tcPr>
            <w:tcW w:w="12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856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1B.</w:t>
            </w:r>
          </w:p>
        </w:tc>
        <w:tc>
          <w:tcPr>
            <w:tcW w:w="2300" w:type="dxa"/>
            <w:vAlign w:val="bottom"/>
            <w:gridSpan w:val="10"/>
          </w:tcPr>
          <w:p>
            <w:pPr>
              <w:spacing w:after="0"/>
              <w:rPr>
                <w:sz w:val="20"/>
                <w:szCs w:val="20"/>
                <w:color w:val="auto"/>
              </w:rPr>
            </w:pPr>
            <w:r>
              <w:rPr>
                <w:rFonts w:ascii="Arial" w:cs="Arial" w:eastAsia="Arial" w:hAnsi="Arial"/>
                <w:sz w:val="18"/>
                <w:szCs w:val="18"/>
                <w:color w:val="0000FF"/>
                <w:w w:val="99"/>
              </w:rPr>
              <w:t>Unresolved Staff Comments.</w:t>
            </w: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1C.</w:t>
            </w:r>
          </w:p>
        </w:tc>
        <w:tc>
          <w:tcPr>
            <w:tcW w:w="1140" w:type="dxa"/>
            <w:vAlign w:val="bottom"/>
            <w:gridSpan w:val="5"/>
          </w:tcPr>
          <w:p>
            <w:pPr>
              <w:spacing w:after="0"/>
              <w:rPr>
                <w:sz w:val="20"/>
                <w:szCs w:val="20"/>
                <w:color w:val="auto"/>
              </w:rPr>
            </w:pPr>
            <w:r>
              <w:rPr>
                <w:rFonts w:ascii="Arial" w:cs="Arial" w:eastAsia="Arial" w:hAnsi="Arial"/>
                <w:sz w:val="18"/>
                <w:szCs w:val="18"/>
                <w:color w:val="0000FF"/>
                <w:w w:val="97"/>
              </w:rPr>
              <w:t>Cybersecurity.</w:t>
            </w:r>
          </w:p>
        </w:tc>
        <w:tc>
          <w:tcPr>
            <w:tcW w:w="1160" w:type="dxa"/>
            <w:vAlign w:val="bottom"/>
            <w:gridSpan w:val="5"/>
          </w:tcPr>
          <w:p>
            <w:pPr>
              <w:spacing w:after="0"/>
              <w:rPr>
                <w:sz w:val="18"/>
                <w:szCs w:val="18"/>
                <w:color w:val="auto"/>
              </w:rPr>
            </w:pPr>
          </w:p>
        </w:tc>
        <w:tc>
          <w:tcPr>
            <w:tcW w:w="6260" w:type="dxa"/>
            <w:vAlign w:val="bottom"/>
            <w:gridSpan w:val="1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 w:type="dxa"/>
            <w:vAlign w:val="bottom"/>
            <w:gridSpan w:val="3"/>
          </w:tcPr>
          <w:p>
            <w:pPr>
              <w:spacing w:after="0"/>
              <w:rPr>
                <w:sz w:val="20"/>
                <w:szCs w:val="20"/>
                <w:color w:val="auto"/>
              </w:rPr>
            </w:pPr>
            <w:r>
              <w:rPr>
                <w:rFonts w:ascii="Arial" w:cs="Arial" w:eastAsia="Arial" w:hAnsi="Arial"/>
                <w:sz w:val="18"/>
                <w:szCs w:val="18"/>
                <w:color w:val="0000FF"/>
                <w:w w:val="94"/>
              </w:rPr>
              <w:t>Properties.</w:t>
            </w:r>
          </w:p>
        </w:tc>
        <w:tc>
          <w:tcPr>
            <w:tcW w:w="280" w:type="dxa"/>
            <w:vAlign w:val="bottom"/>
            <w:gridSpan w:val="2"/>
          </w:tcPr>
          <w:p>
            <w:pPr>
              <w:spacing w:after="0"/>
              <w:rPr>
                <w:sz w:val="18"/>
                <w:szCs w:val="18"/>
                <w:color w:val="auto"/>
              </w:rPr>
            </w:pPr>
          </w:p>
        </w:tc>
        <w:tc>
          <w:tcPr>
            <w:tcW w:w="7420" w:type="dxa"/>
            <w:vAlign w:val="bottom"/>
            <w:gridSpan w:val="1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1540" w:type="dxa"/>
            <w:vAlign w:val="bottom"/>
            <w:gridSpan w:val="7"/>
          </w:tcPr>
          <w:p>
            <w:pPr>
              <w:spacing w:after="0"/>
              <w:rPr>
                <w:sz w:val="20"/>
                <w:szCs w:val="20"/>
                <w:color w:val="auto"/>
              </w:rPr>
            </w:pPr>
            <w:r>
              <w:rPr>
                <w:rFonts w:ascii="Arial" w:cs="Arial" w:eastAsia="Arial" w:hAnsi="Arial"/>
                <w:sz w:val="18"/>
                <w:szCs w:val="18"/>
                <w:color w:val="0000FF"/>
                <w:w w:val="98"/>
              </w:rPr>
              <w:t>Legal Proceedings.</w:t>
            </w:r>
          </w:p>
        </w:tc>
        <w:tc>
          <w:tcPr>
            <w:tcW w:w="7020" w:type="dxa"/>
            <w:vAlign w:val="bottom"/>
            <w:gridSpan w:val="1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68</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5.</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160" w:type="dxa"/>
            <w:vAlign w:val="bottom"/>
            <w:gridSpan w:val="2"/>
            <w:vMerge w:val="restart"/>
          </w:tcPr>
          <w:p>
            <w:pPr>
              <w:spacing w:after="0"/>
              <w:rPr>
                <w:sz w:val="16"/>
                <w:szCs w:val="16"/>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Securities.</w:t>
            </w:r>
          </w:p>
        </w:tc>
        <w:tc>
          <w:tcPr>
            <w:tcW w:w="7160" w:type="dxa"/>
            <w:vAlign w:val="bottom"/>
            <w:tcBorders>
              <w:top w:val="single" w:sz="8" w:color="0000FF"/>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60" w:type="dxa"/>
            <w:vAlign w:val="bottom"/>
            <w:gridSpan w:val="3"/>
            <w:shd w:val="clear" w:color="auto" w:fill="0000FF"/>
          </w:tcPr>
          <w:p>
            <w:pPr>
              <w:spacing w:after="0"/>
              <w:rPr>
                <w:sz w:val="2"/>
                <w:szCs w:val="2"/>
                <w:color w:val="auto"/>
              </w:rPr>
            </w:pPr>
          </w:p>
        </w:tc>
        <w:tc>
          <w:tcPr>
            <w:tcW w:w="580" w:type="dxa"/>
            <w:vAlign w:val="bottom"/>
            <w:gridSpan w:val="3"/>
          </w:tcPr>
          <w:p>
            <w:pPr>
              <w:spacing w:after="0"/>
              <w:rPr>
                <w:sz w:val="2"/>
                <w:szCs w:val="2"/>
                <w:color w:val="auto"/>
              </w:rPr>
            </w:pPr>
          </w:p>
        </w:tc>
        <w:tc>
          <w:tcPr>
            <w:tcW w:w="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860" w:type="dxa"/>
            <w:vAlign w:val="bottom"/>
            <w:gridSpan w:val="3"/>
          </w:tcPr>
          <w:p>
            <w:pPr>
              <w:spacing w:after="0"/>
              <w:rPr>
                <w:sz w:val="20"/>
                <w:szCs w:val="20"/>
                <w:color w:val="auto"/>
              </w:rPr>
            </w:pPr>
            <w:r>
              <w:rPr>
                <w:rFonts w:ascii="Arial" w:cs="Arial" w:eastAsia="Arial" w:hAnsi="Arial"/>
                <w:sz w:val="18"/>
                <w:szCs w:val="18"/>
                <w:color w:val="0000FF"/>
                <w:w w:val="89"/>
              </w:rPr>
              <w:t>[Reserved].</w:t>
            </w:r>
          </w:p>
        </w:tc>
        <w:tc>
          <w:tcPr>
            <w:tcW w:w="7700" w:type="dxa"/>
            <w:vAlign w:val="bottom"/>
            <w:gridSpan w:val="19"/>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7.</w:t>
            </w:r>
          </w:p>
        </w:tc>
        <w:tc>
          <w:tcPr>
            <w:tcW w:w="8560" w:type="dxa"/>
            <w:vAlign w:val="bottom"/>
            <w:gridSpan w:val="2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7A.</w:t>
            </w:r>
          </w:p>
        </w:tc>
        <w:tc>
          <w:tcPr>
            <w:tcW w:w="4760" w:type="dxa"/>
            <w:vAlign w:val="bottom"/>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1440" w:type="dxa"/>
            <w:vAlign w:val="bottom"/>
            <w:gridSpan w:val="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8.</w:t>
            </w:r>
          </w:p>
        </w:tc>
        <w:tc>
          <w:tcPr>
            <w:tcW w:w="476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w:t>
            </w:r>
          </w:p>
        </w:tc>
        <w:tc>
          <w:tcPr>
            <w:tcW w:w="3800" w:type="dxa"/>
            <w:vAlign w:val="bottom"/>
            <w:gridSpan w:val="7"/>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w:t>
            </w:r>
          </w:p>
        </w:tc>
        <w:tc>
          <w:tcPr>
            <w:tcW w:w="7180" w:type="dxa"/>
            <w:vAlign w:val="bottom"/>
            <w:gridSpan w:val="19"/>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9A.</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Controls and Procedures.</w:t>
            </w:r>
          </w:p>
        </w:tc>
        <w:tc>
          <w:tcPr>
            <w:tcW w:w="5140" w:type="dxa"/>
            <w:vAlign w:val="bottom"/>
            <w:gridSpan w:val="10"/>
          </w:tcPr>
          <w:p>
            <w:pPr>
              <w:spacing w:after="0"/>
              <w:rPr>
                <w:sz w:val="18"/>
                <w:szCs w:val="18"/>
                <w:color w:val="auto"/>
              </w:rPr>
            </w:pPr>
          </w:p>
        </w:tc>
        <w:tc>
          <w:tcPr>
            <w:tcW w:w="1380" w:type="dxa"/>
            <w:vAlign w:val="bottom"/>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9B.</w:t>
            </w:r>
          </w:p>
        </w:tc>
        <w:tc>
          <w:tcPr>
            <w:tcW w:w="20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520" w:type="dxa"/>
            <w:vAlign w:val="bottom"/>
            <w:gridSpan w:val="13"/>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9C.</w:t>
            </w:r>
          </w:p>
        </w:tc>
        <w:tc>
          <w:tcPr>
            <w:tcW w:w="856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380" w:type="dxa"/>
            <w:vAlign w:val="bottom"/>
            <w:gridSpan w:val="5"/>
          </w:tcPr>
          <w:p>
            <w:pPr>
              <w:jc w:val="right"/>
              <w:ind w:right="20"/>
              <w:spacing w:after="0"/>
              <w:rPr>
                <w:sz w:val="20"/>
                <w:szCs w:val="20"/>
                <w:color w:val="auto"/>
              </w:rPr>
            </w:pPr>
            <w:r>
              <w:rPr>
                <w:rFonts w:ascii="Arial" w:cs="Arial" w:eastAsia="Arial" w:hAnsi="Arial"/>
                <w:sz w:val="18"/>
                <w:szCs w:val="18"/>
                <w:color w:val="0000FF"/>
              </w:rPr>
              <w:t>82</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7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8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10.</w:t>
            </w:r>
          </w:p>
        </w:tc>
        <w:tc>
          <w:tcPr>
            <w:tcW w:w="856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1380" w:type="dxa"/>
            <w:vAlign w:val="bottom"/>
            <w:gridSpan w:val="5"/>
          </w:tcPr>
          <w:p>
            <w:pPr>
              <w:jc w:val="right"/>
              <w:ind w:right="20"/>
              <w:spacing w:after="0" w:line="195" w:lineRule="exact"/>
              <w:rPr>
                <w:sz w:val="20"/>
                <w:szCs w:val="20"/>
                <w:color w:val="auto"/>
              </w:rPr>
            </w:pPr>
            <w:r>
              <w:rPr>
                <w:rFonts w:ascii="Arial" w:cs="Arial" w:eastAsia="Arial" w:hAnsi="Arial"/>
                <w:sz w:val="18"/>
                <w:szCs w:val="18"/>
                <w:color w:val="0000FF"/>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11.</w:t>
            </w:r>
          </w:p>
        </w:tc>
        <w:tc>
          <w:tcPr>
            <w:tcW w:w="2040" w:type="dxa"/>
            <w:vAlign w:val="bottom"/>
            <w:gridSpan w:val="9"/>
          </w:tcPr>
          <w:p>
            <w:pPr>
              <w:spacing w:after="0"/>
              <w:rPr>
                <w:sz w:val="20"/>
                <w:szCs w:val="20"/>
                <w:color w:val="auto"/>
              </w:rPr>
            </w:pPr>
            <w:r>
              <w:rPr>
                <w:rFonts w:ascii="Arial" w:cs="Arial" w:eastAsia="Arial" w:hAnsi="Arial"/>
                <w:sz w:val="18"/>
                <w:szCs w:val="18"/>
                <w:color w:val="0000FF"/>
                <w:w w:val="97"/>
              </w:rPr>
              <w:t>Executive Compensation.</w:t>
            </w:r>
          </w:p>
        </w:tc>
        <w:tc>
          <w:tcPr>
            <w:tcW w:w="2500" w:type="dxa"/>
            <w:vAlign w:val="bottom"/>
            <w:gridSpan w:val="5"/>
          </w:tcPr>
          <w:p>
            <w:pPr>
              <w:spacing w:after="0"/>
              <w:rPr>
                <w:sz w:val="18"/>
                <w:szCs w:val="18"/>
                <w:color w:val="auto"/>
              </w:rPr>
            </w:pPr>
          </w:p>
        </w:tc>
        <w:tc>
          <w:tcPr>
            <w:tcW w:w="4020" w:type="dxa"/>
            <w:vAlign w:val="bottom"/>
            <w:gridSpan w:val="8"/>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12.</w:t>
            </w:r>
          </w:p>
        </w:tc>
        <w:tc>
          <w:tcPr>
            <w:tcW w:w="8060" w:type="dxa"/>
            <w:vAlign w:val="bottom"/>
            <w:gridSpan w:val="2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13.</w:t>
            </w:r>
          </w:p>
        </w:tc>
        <w:tc>
          <w:tcPr>
            <w:tcW w:w="6120" w:type="dxa"/>
            <w:vAlign w:val="bottom"/>
            <w:gridSpan w:val="1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14.</w:t>
            </w:r>
          </w:p>
        </w:tc>
        <w:tc>
          <w:tcPr>
            <w:tcW w:w="6120" w:type="dxa"/>
            <w:vAlign w:val="bottom"/>
            <w:gridSpan w:val="17"/>
          </w:tcPr>
          <w:p>
            <w:pPr>
              <w:spacing w:after="0"/>
              <w:rPr>
                <w:sz w:val="20"/>
                <w:szCs w:val="20"/>
                <w:color w:val="auto"/>
              </w:rPr>
            </w:pPr>
            <w:r>
              <w:rPr>
                <w:rFonts w:ascii="Arial" w:cs="Arial" w:eastAsia="Arial" w:hAnsi="Arial"/>
                <w:sz w:val="18"/>
                <w:szCs w:val="18"/>
                <w:color w:val="0000FF"/>
              </w:rPr>
              <w:t>Principal Accountant Fees and Services.</w:t>
            </w:r>
          </w:p>
        </w:tc>
        <w:tc>
          <w:tcPr>
            <w:tcW w:w="2440" w:type="dxa"/>
            <w:vAlign w:val="bottom"/>
            <w:gridSpan w:val="5"/>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83</w:t>
            </w:r>
          </w:p>
        </w:tc>
        <w:tc>
          <w:tcPr>
            <w:tcW w:w="0" w:type="dxa"/>
            <w:vAlign w:val="bottom"/>
          </w:tcPr>
          <w:p>
            <w:pPr>
              <w:spacing w:after="0"/>
              <w:rPr>
                <w:sz w:val="1"/>
                <w:szCs w:val="1"/>
                <w:color w:val="auto"/>
              </w:rPr>
            </w:pPr>
          </w:p>
        </w:tc>
      </w:tr>
      <w:tr>
        <w:trPr>
          <w:trHeight w:val="245"/>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7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92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15.</w:t>
            </w:r>
          </w:p>
        </w:tc>
        <w:tc>
          <w:tcPr>
            <w:tcW w:w="3560" w:type="dxa"/>
            <w:vAlign w:val="bottom"/>
            <w:gridSpan w:val="12"/>
          </w:tcPr>
          <w:p>
            <w:pPr>
              <w:spacing w:after="0" w:line="195" w:lineRule="exact"/>
              <w:rPr>
                <w:sz w:val="20"/>
                <w:szCs w:val="20"/>
                <w:color w:val="auto"/>
              </w:rPr>
            </w:pPr>
            <w:r>
              <w:rPr>
                <w:rFonts w:ascii="Arial" w:cs="Arial" w:eastAsia="Arial" w:hAnsi="Arial"/>
                <w:sz w:val="18"/>
                <w:szCs w:val="18"/>
                <w:color w:val="0000FF"/>
                <w:w w:val="99"/>
              </w:rPr>
              <w:t>Exhibits and Financial Statement Schedules.</w:t>
            </w:r>
          </w:p>
        </w:tc>
        <w:tc>
          <w:tcPr>
            <w:tcW w:w="5000" w:type="dxa"/>
            <w:vAlign w:val="bottom"/>
            <w:gridSpan w:val="10"/>
          </w:tcPr>
          <w:p>
            <w:pPr>
              <w:spacing w:after="0"/>
              <w:rPr>
                <w:sz w:val="16"/>
                <w:szCs w:val="16"/>
                <w:color w:val="auto"/>
              </w:rPr>
            </w:pPr>
          </w:p>
        </w:tc>
        <w:tc>
          <w:tcPr>
            <w:tcW w:w="1160" w:type="dxa"/>
            <w:vAlign w:val="bottom"/>
            <w:gridSpan w:val="2"/>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16.</w:t>
            </w:r>
          </w:p>
        </w:tc>
        <w:tc>
          <w:tcPr>
            <w:tcW w:w="3560" w:type="dxa"/>
            <w:vAlign w:val="bottom"/>
            <w:gridSpan w:val="12"/>
          </w:tcPr>
          <w:p>
            <w:pPr>
              <w:spacing w:after="0"/>
              <w:rPr>
                <w:sz w:val="20"/>
                <w:szCs w:val="20"/>
                <w:color w:val="auto"/>
              </w:rPr>
            </w:pPr>
            <w:r>
              <w:rPr>
                <w:rFonts w:ascii="Arial" w:cs="Arial" w:eastAsia="Arial" w:hAnsi="Arial"/>
                <w:sz w:val="18"/>
                <w:szCs w:val="18"/>
                <w:color w:val="0000FF"/>
              </w:rPr>
              <w:t>Form 10-K Summary.</w:t>
            </w:r>
          </w:p>
        </w:tc>
        <w:tc>
          <w:tcPr>
            <w:tcW w:w="5000" w:type="dxa"/>
            <w:vAlign w:val="bottom"/>
            <w:gridSpan w:val="10"/>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w w:val="95"/>
              </w:rPr>
              <w:t>Signatures</w:t>
            </w:r>
          </w:p>
        </w:tc>
        <w:tc>
          <w:tcPr>
            <w:tcW w:w="840" w:type="dxa"/>
            <w:vAlign w:val="bottom"/>
            <w:gridSpan w:val="5"/>
          </w:tcPr>
          <w:p>
            <w:pPr>
              <w:spacing w:after="0"/>
              <w:rPr>
                <w:sz w:val="18"/>
                <w:szCs w:val="18"/>
                <w:color w:val="auto"/>
              </w:rPr>
            </w:pPr>
          </w:p>
        </w:tc>
        <w:tc>
          <w:tcPr>
            <w:tcW w:w="6860" w:type="dxa"/>
            <w:vAlign w:val="bottom"/>
            <w:gridSpan w:val="14"/>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89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86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60" w:type="dxa"/>
            <w:vAlign w:val="bottom"/>
            <w:gridSpan w:val="22"/>
          </w:tcPr>
          <w:p>
            <w:pPr>
              <w:spacing w:after="0"/>
              <w:rPr>
                <w:sz w:val="20"/>
                <w:szCs w:val="20"/>
                <w:color w:val="auto"/>
              </w:rPr>
            </w:pPr>
            <w:r>
              <w:rPr>
                <w:rFonts w:ascii="Arial" w:cs="Arial" w:eastAsia="Arial" w:hAnsi="Arial"/>
                <w:sz w:val="18"/>
                <w:szCs w:val="18"/>
                <w:color w:val="0000FF"/>
              </w:rPr>
              <w:t>Financial Statements</w:t>
            </w:r>
          </w:p>
        </w:tc>
        <w:tc>
          <w:tcPr>
            <w:tcW w:w="1120" w:type="dxa"/>
            <w:vAlign w:val="bottom"/>
          </w:tcPr>
          <w:p>
            <w:pPr>
              <w:spacing w:after="0"/>
              <w:rPr>
                <w:sz w:val="18"/>
                <w:szCs w:val="18"/>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87"/>
              </w:rPr>
              <w:t>F-1</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Annual Report on Form 10-K (the Annual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Annual Report, including, but not limited to, statements regarding our future results of operations and financial position, business strategy, current and future product offerings, reimbursement and coverage, the expected benefits from our commercial arrangements with third parties, research and development costs, timing and likelihood of success, plans and objectives of management for future operations, our studies or clinical validations being predictive of actual use, our pipeline and potential growth, and profitability are forward-looking statements.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some cases, you can identify forward-looking statements by terms such as "believe," "may," "will," "should," "predict," "goal," "strategy," "aim," "potentially," "possible," "probable," "estimate," "continue," "anticipate," "intend," "could," "would," "project," "plan," "expect," "likely," "seek," and similar expressions that convey uncertainty of future events or outcomes, are intended to identify forward-looking statements.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138" w:lineRule="exact"/>
        <w:rPr>
          <w:sz w:val="20"/>
          <w:szCs w:val="20"/>
          <w:color w:val="auto"/>
        </w:rPr>
      </w:pPr>
    </w:p>
    <w:p>
      <w:pPr>
        <w:jc w:val="both"/>
        <w:spacing w:after="0" w:line="209" w:lineRule="exact"/>
        <w:rPr>
          <w:sz w:val="20"/>
          <w:szCs w:val="20"/>
          <w:color w:val="auto"/>
        </w:rPr>
      </w:pPr>
      <w:r>
        <w:rPr>
          <w:rFonts w:ascii="Arial" w:cs="Arial" w:eastAsia="Arial" w:hAnsi="Arial"/>
          <w:sz w:val="18"/>
          <w:szCs w:val="18"/>
          <w:color w:val="auto"/>
        </w:rPr>
        <w:t>In this Annual Report, we use the metric Adjusted EBITDA, which is not calculated in accordance with generally accepted accounting principles in the United States (GAAP) and is a non-GAAP financial measure. Adjusted EBITDA is defined as net loss adjusted for interest income (expense), income tax expense (benefit), depreciation and amortization expense,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 certain other non</w:t>
      </w:r>
      <w:r>
        <w:rPr>
          <w:rFonts w:ascii="MS PGothic" w:cs="MS PGothic" w:eastAsia="MS PGothic" w:hAnsi="MS PGothic"/>
          <w:sz w:val="18"/>
          <w:szCs w:val="18"/>
          <w:color w:val="auto"/>
        </w:rPr>
        <w:t>‑</w:t>
      </w:r>
      <w:r>
        <w:rPr>
          <w:rFonts w:ascii="Arial" w:cs="Arial" w:eastAsia="Arial" w:hAnsi="Arial"/>
          <w:sz w:val="18"/>
          <w:szCs w:val="18"/>
          <w:color w:val="auto"/>
        </w:rPr>
        <w:t>cash, unusual or non</w:t>
      </w:r>
      <w:r>
        <w:rPr>
          <w:rFonts w:ascii="MS PGothic" w:cs="MS PGothic" w:eastAsia="MS PGothic" w:hAnsi="MS PGothic"/>
          <w:sz w:val="18"/>
          <w:szCs w:val="18"/>
          <w:color w:val="auto"/>
        </w:rPr>
        <w:t>‑</w:t>
      </w:r>
      <w:r>
        <w:rPr>
          <w:rFonts w:ascii="Arial" w:cs="Arial" w:eastAsia="Arial" w:hAnsi="Arial"/>
          <w:sz w:val="18"/>
          <w:szCs w:val="18"/>
          <w:color w:val="auto"/>
        </w:rPr>
        <w:t>recurring items, including, for example, losses on extinguishment of debt and changes in the fair value of warrant liabilities; we do not exclude normal, recurring, cash operating expenses from this measure. Management believes Adjusted EBITDA reflects an additional way of viewing aspects of operations that, when viewed with GAAP results, provide a more complete understanding of the business. Adjusted EBITDA should not be considered in isolation of, or as an alternative to, measures prepared in accordance with GAAP. We strongly encourage investors and stockholders to review our financial statements and publicly filed reports in their entirety and not to rely on any single financial measure.</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We use our trademarks in this Annual Report as well as trademarks, tradenames and service marks that are the property of other organizations. Solely for convenience, certain trademarks and tradenames referred to in this Annual Report may appear without the </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4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unique biomarkers that empower clinicians to confidently and quickly diagnose various CTDs.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launching AVISE® CTD, we have produced an extensive body of peer-reviewed literature supporting the test’s clinical validity and utility, demonstrating the importance of AVISE® CTD in patient care. In 2025, we added eight new biomarkers to our AVISE CTD panel enhancing the clinical utility of our tests in the diagnoses of SLE and RA. Revenue from this product comprised 91% of our revenue for each of the years ended December 31, 2025 and 2024.</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Beginning in late 2022, w</w:t>
      </w:r>
      <w:r>
        <w:rPr>
          <w:rFonts w:ascii="Arial" w:cs="Arial" w:eastAsia="Arial" w:hAnsi="Arial"/>
          <w:sz w:val="18"/>
          <w:szCs w:val="18"/>
          <w:color w:val="080808"/>
        </w:rPr>
        <w:t>e revitalized our organization with the addition of key members to our senior leadership team each with successful</w:t>
      </w:r>
      <w:r>
        <w:rPr>
          <w:rFonts w:ascii="Arial" w:cs="Arial" w:eastAsia="Arial" w:hAnsi="Arial"/>
          <w:sz w:val="18"/>
          <w:szCs w:val="18"/>
          <w:color w:val="auto"/>
        </w:rPr>
        <w:t xml:space="preserve"> </w:t>
      </w:r>
      <w:r>
        <w:rPr>
          <w:rFonts w:ascii="Arial" w:cs="Arial" w:eastAsia="Arial" w:hAnsi="Arial"/>
          <w:sz w:val="18"/>
          <w:szCs w:val="18"/>
          <w:color w:val="080808"/>
        </w:rPr>
        <w:t xml:space="preserve">industry track records in diagnostics, medical device and medical technology, including our Chief Executive Officer, Chief Financial Officer, Chief Scientific Officer, Vice President of Sales, Vice President of Commercial Strategy and Medical and Laboratory Director. </w:t>
      </w:r>
      <w:r>
        <w:rPr>
          <w:rFonts w:ascii="Arial" w:cs="Arial" w:eastAsia="Arial" w:hAnsi="Arial"/>
          <w:sz w:val="18"/>
          <w:szCs w:val="18"/>
          <w:color w:val="000000"/>
        </w:rPr>
        <w:t>By leveraging</w:t>
      </w:r>
      <w:r>
        <w:rPr>
          <w:rFonts w:ascii="Arial" w:cs="Arial" w:eastAsia="Arial" w:hAnsi="Arial"/>
          <w:sz w:val="18"/>
          <w:szCs w:val="18"/>
          <w:color w:val="080808"/>
        </w:rPr>
        <w:t xml:space="preserve"> </w:t>
      </w:r>
      <w:r>
        <w:rPr>
          <w:rFonts w:ascii="Arial" w:cs="Arial" w:eastAsia="Arial" w:hAnsi="Arial"/>
          <w:sz w:val="18"/>
          <w:szCs w:val="18"/>
          <w:color w:val="000000"/>
        </w:rPr>
        <w:t xml:space="preserve">our team’s extensive experience to create clinically distinct solutions that improve patient lives, we </w:t>
      </w:r>
      <w:r>
        <w:rPr>
          <w:rFonts w:ascii="Arial" w:cs="Arial" w:eastAsia="Arial" w:hAnsi="Arial"/>
          <w:sz w:val="18"/>
          <w:szCs w:val="18"/>
          <w:color w:val="080808"/>
        </w:rPr>
        <w:t>have created a strong foundation for</w:t>
      </w:r>
      <w:r>
        <w:rPr>
          <w:rFonts w:ascii="Arial" w:cs="Arial" w:eastAsia="Arial" w:hAnsi="Arial"/>
          <w:sz w:val="18"/>
          <w:szCs w:val="18"/>
          <w:color w:val="000000"/>
        </w:rPr>
        <w:t xml:space="preserve"> </w:t>
      </w:r>
      <w:r>
        <w:rPr>
          <w:rFonts w:ascii="Arial" w:cs="Arial" w:eastAsia="Arial" w:hAnsi="Arial"/>
          <w:sz w:val="18"/>
          <w:szCs w:val="18"/>
          <w:color w:val="080808"/>
        </w:rPr>
        <w:t xml:space="preserve">growth and </w:t>
      </w:r>
      <w:r>
        <w:rPr>
          <w:rFonts w:ascii="Arial" w:cs="Arial" w:eastAsia="Arial" w:hAnsi="Arial"/>
          <w:sz w:val="18"/>
          <w:szCs w:val="18"/>
          <w:color w:val="000000"/>
        </w:rPr>
        <w:t>believe that we are well-positioned</w:t>
      </w:r>
      <w:r>
        <w:rPr>
          <w:rFonts w:ascii="Arial" w:cs="Arial" w:eastAsia="Arial" w:hAnsi="Arial"/>
          <w:sz w:val="18"/>
          <w:szCs w:val="18"/>
          <w:color w:val="080808"/>
        </w:rPr>
        <w:t xml:space="preserve"> to positively impact patient care and address unmet clinical needs in autoimmune disease</w:t>
      </w:r>
      <w:r>
        <w:rPr>
          <w:rFonts w:ascii="Arial" w:cs="Arial" w:eastAsia="Arial" w:hAnsi="Arial"/>
          <w:sz w:val="18"/>
          <w:szCs w:val="18"/>
          <w:color w:val="000000"/>
        </w:rPr>
        <w:t>.</w:t>
      </w:r>
      <w:r>
        <w:rPr>
          <w:rFonts w:ascii="Arial" w:cs="Arial" w:eastAsia="Arial" w:hAnsi="Arial"/>
          <w:sz w:val="18"/>
          <w:szCs w:val="18"/>
          <w:color w:val="080808"/>
        </w:rPr>
        <w:t xml:space="preserve"> </w:t>
      </w:r>
      <w:r>
        <w:rPr>
          <w:rFonts w:ascii="Arial" w:cs="Arial" w:eastAsia="Arial" w:hAnsi="Arial"/>
          <w:sz w:val="18"/>
          <w:szCs w:val="18"/>
          <w:color w:val="000000"/>
        </w:rPr>
        <w:t>We strive to become a partner of choice for doctors, hospitals, healthcare systems, and payors.</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have been executing an operational turnaround of the business, which has resulted in a return to revenue growth and gross margin expansion while significantly reducing operating expenses and cash burn. Comparing our financial results in fiscal 2025 to fiscal 2022, we have grown annual revenue by over 45%, expanded our AVISE® CTD trailing twelve-month average selling price by over 50%, improved gross margin by over 1,100 basis points, reduced operating expenses by over 20% and reduced net loss by nearly 60%. At the same time, we have nearly doubled our salesforce productivity and brought an intense focus to our Research and Development (R&amp;D) investments - resulting in more than 35% reduction in related expenses and prioritization of near-term pipeline opportunities.</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Revenue was a record $66.6 million for the year ended December 31, 2025, an increase of approximately 19.7% compared to the year ended December 31, 2024. This increase was driven by an approximate 11% increase in testing volume and an approximate 7% increase in average selling price (ASP) each as compared to the year ended December 31, 2024. These trends are consistent with the growth strategy we initiated in 2022. We believe these results highlight the power of combining volume with reimbursement growth and the resulting top line impact when both are moving in the same direction. Our execution across commercial, scientific, and operations underpinned this outcome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notably Q3 and Q4 volumes were our highest ever for those periods, without the typical second half seasonality we have experienced in the past.</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AVISE CTD trailing twelve-month ASP for 2025 was $441, up roughly 7%, or $30 per test, over 2024. The consistent ASP expansion reflects disciplined payer engagement, appeals and revenue cycle optimization, and the accretive impact of new biomarkers; however, our new biomarker reimbursement ramped more gradually than expected, and we experienced some payer headwinds in the second half of the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believe we are well positioned to deliver continued revenue growth and positive Adjusted EBITDA in the next 12-18 months.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Research and Development</w:t>
      </w:r>
    </w:p>
    <w:p>
      <w:pPr>
        <w:spacing w:after="0" w:line="3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continue our thoughtful approach to research and development. We believe there is significant potential to enhance existing or develop new testing products with superior clinical utility, on our own or through collaboration with partners.</w:t>
      </w:r>
    </w:p>
    <w:p>
      <w:pPr>
        <w:spacing w:after="0" w:line="19" w:lineRule="exact"/>
        <w:rPr>
          <w:sz w:val="20"/>
          <w:szCs w:val="20"/>
          <w:color w:val="auto"/>
        </w:rPr>
      </w:pPr>
    </w:p>
    <w:p>
      <w:pPr>
        <w:jc w:val="both"/>
        <w:ind w:left="660" w:hanging="328"/>
        <w:spacing w:after="0" w:line="218" w:lineRule="exact"/>
        <w:tabs>
          <w:tab w:leader="none" w:pos="656" w:val="left"/>
        </w:tabs>
        <w:numPr>
          <w:ilvl w:val="0"/>
          <w:numId w:val="4"/>
        </w:numPr>
        <w:rPr>
          <w:rFonts w:ascii="Arial" w:cs="Arial" w:eastAsia="Arial" w:hAnsi="Arial"/>
          <w:sz w:val="22"/>
          <w:szCs w:val="22"/>
          <w:color w:val="auto"/>
        </w:rPr>
      </w:pPr>
      <w:r>
        <w:rPr>
          <w:rFonts w:ascii="Arial" w:cs="Arial" w:eastAsia="Arial" w:hAnsi="Arial"/>
          <w:sz w:val="18"/>
          <w:szCs w:val="18"/>
          <w:u w:val="single" w:color="auto"/>
          <w:color w:val="auto"/>
        </w:rPr>
        <w:t>Lupus Nephritis (LN) Biomarkers</w:t>
      </w:r>
      <w:r>
        <w:rPr>
          <w:rFonts w:ascii="Arial" w:cs="Arial" w:eastAsia="Arial" w:hAnsi="Arial"/>
          <w:sz w:val="18"/>
          <w:szCs w:val="18"/>
          <w:color w:val="auto"/>
        </w:rPr>
        <w:t>. Early detection of lupus nephritis (LN) is critical to preventing irreversible kidney injury, yet current clinical practice continues to rely heavily on the urine protein-to-creatinine ratio (UPCR) as the primary screening tool. Although UPCR ≥0.5 g/g is recommended as the threshold for kidney biopsy, growing evidence indicates that UPCR lacks sensitivity for early or subclinical proliferative LN, with up to one</w:t>
      </w:r>
      <w:r>
        <w:rPr>
          <w:rFonts w:ascii="MS PGothic" w:cs="MS PGothic" w:eastAsia="MS PGothic" w:hAnsi="MS PGothic"/>
          <w:sz w:val="18"/>
          <w:szCs w:val="18"/>
          <w:color w:val="auto"/>
        </w:rPr>
        <w:t>‑</w:t>
      </w:r>
      <w:r>
        <w:rPr>
          <w:rFonts w:ascii="Arial" w:cs="Arial" w:eastAsia="Arial" w:hAnsi="Arial"/>
          <w:sz w:val="18"/>
          <w:szCs w:val="18"/>
          <w:color w:val="auto"/>
        </w:rPr>
        <w:t>third of patients exhibiting biopsy</w:t>
      </w:r>
      <w:r>
        <w:rPr>
          <w:rFonts w:ascii="MS PGothic" w:cs="MS PGothic" w:eastAsia="MS PGothic" w:hAnsi="MS PGothic"/>
          <w:sz w:val="18"/>
          <w:szCs w:val="18"/>
          <w:color w:val="auto"/>
        </w:rPr>
        <w:t>‑</w:t>
      </w:r>
      <w:r>
        <w:rPr>
          <w:rFonts w:ascii="Arial" w:cs="Arial" w:eastAsia="Arial" w:hAnsi="Arial"/>
          <w:sz w:val="18"/>
          <w:szCs w:val="18"/>
          <w:color w:val="auto"/>
        </w:rPr>
        <w:t>proven Class III/IV disease even when UPCR remains between 0.25–0.5 g/g. This diagnostic blind spot delays recognition of intrarenal inflammation, allowing ongoing immunologic injury that accelerates kidney damage, loss of renal reserve, and progression to end-stage kidney disease. Based on such unmet needs, recent studies have focused on emerging urinary biomarkers that reflect kidney-specific immunologic activity, offering a non-invasive and biologically grounded means of detecting LN earlier in its course. In collaboration with John’s Hopkins University (JHU), we presented novel data on the use of urinary biomarkers (Especially Tenascin</w:t>
      </w:r>
      <w:r>
        <w:rPr>
          <w:rFonts w:ascii="MS PGothic" w:cs="MS PGothic" w:eastAsia="MS PGothic" w:hAnsi="MS PGothic"/>
          <w:sz w:val="18"/>
          <w:szCs w:val="18"/>
          <w:color w:val="auto"/>
        </w:rPr>
        <w:t>‑</w:t>
      </w:r>
      <w:r>
        <w:rPr>
          <w:rFonts w:ascii="Arial" w:cs="Arial" w:eastAsia="Arial" w:hAnsi="Arial"/>
          <w:sz w:val="18"/>
          <w:szCs w:val="18"/>
          <w:color w:val="auto"/>
        </w:rPr>
        <w:t>C ) for the prediction of kidney function loss during the 2025 American College of Rheumatology (ACR) annual meeting (ACR 2025). Although standard-of-care regimens—such as glucocorticoids combined with mycophenolate mofetil or cyclophosphamide—remain foundational, emerging treatment options including B</w:t>
      </w:r>
      <w:r>
        <w:rPr>
          <w:rFonts w:ascii="MS PGothic" w:cs="MS PGothic" w:eastAsia="MS PGothic" w:hAnsi="MS PGothic"/>
          <w:sz w:val="18"/>
          <w:szCs w:val="18"/>
          <w:color w:val="auto"/>
        </w:rPr>
        <w:t>‑</w:t>
      </w:r>
      <w:r>
        <w:rPr>
          <w:rFonts w:ascii="Arial" w:cs="Arial" w:eastAsia="Arial" w:hAnsi="Arial"/>
          <w:sz w:val="18"/>
          <w:szCs w:val="18"/>
          <w:color w:val="auto"/>
        </w:rPr>
        <w:t>cell–targeted agents, B-cell Activating Factor inhibitors, complement pathway inhibitors, and cellular therapies (e.g., CAR</w:t>
      </w:r>
      <w:r>
        <w:rPr>
          <w:rFonts w:ascii="MS PGothic" w:cs="MS PGothic" w:eastAsia="MS PGothic" w:hAnsi="MS PGothic"/>
          <w:sz w:val="18"/>
          <w:szCs w:val="18"/>
          <w:color w:val="auto"/>
        </w:rPr>
        <w:t>‑</w:t>
      </w:r>
      <w:r>
        <w:rPr>
          <w:rFonts w:ascii="Arial" w:cs="Arial" w:eastAsia="Arial" w:hAnsi="Arial"/>
          <w:sz w:val="18"/>
          <w:szCs w:val="18"/>
          <w:color w:val="auto"/>
        </w:rPr>
        <w:t>T approaches) are reshaping the treatment landscape. These modalities are most effective when initiated prior to irreversible structural damage, further emphasizing the value of sensitive early detection tools. Novel biomarkers matched with specific therapies shift LN management toward earlier intervention, renal preservation, and better long</w:t>
      </w:r>
      <w:r>
        <w:rPr>
          <w:rFonts w:ascii="MS PGothic" w:cs="MS PGothic" w:eastAsia="MS PGothic" w:hAnsi="MS PGothic"/>
          <w:sz w:val="18"/>
          <w:szCs w:val="18"/>
          <w:color w:val="auto"/>
        </w:rPr>
        <w:t>‑</w:t>
      </w:r>
      <w:r>
        <w:rPr>
          <w:rFonts w:ascii="Arial" w:cs="Arial" w:eastAsia="Arial" w:hAnsi="Arial"/>
          <w:sz w:val="18"/>
          <w:szCs w:val="18"/>
          <w:color w:val="auto"/>
        </w:rPr>
        <w:t>term outcomes for SLE patients. During the first half of 2026, we expect further adoption by our existing and new pharma partnerships of our panel as part of exploratory trials. In addition, we continue our efforts to releasing our LN offering commercially through our clinical lab.</w:t>
      </w:r>
    </w:p>
    <w:p>
      <w:pPr>
        <w:spacing w:after="0" w:line="243" w:lineRule="exact"/>
        <w:rPr>
          <w:rFonts w:ascii="Arial" w:cs="Arial" w:eastAsia="Arial" w:hAnsi="Arial"/>
          <w:sz w:val="22"/>
          <w:szCs w:val="22"/>
          <w:color w:val="auto"/>
        </w:rPr>
      </w:pPr>
    </w:p>
    <w:p>
      <w:pPr>
        <w:jc w:val="both"/>
        <w:ind w:left="660" w:hanging="328"/>
        <w:spacing w:after="0" w:line="244" w:lineRule="auto"/>
        <w:tabs>
          <w:tab w:leader="none" w:pos="683" w:val="left"/>
        </w:tabs>
        <w:numPr>
          <w:ilvl w:val="0"/>
          <w:numId w:val="4"/>
        </w:numPr>
        <w:rPr>
          <w:rFonts w:ascii="Arial" w:cs="Arial" w:eastAsia="Arial" w:hAnsi="Arial"/>
          <w:sz w:val="22"/>
          <w:szCs w:val="22"/>
          <w:color w:val="auto"/>
        </w:rPr>
      </w:pPr>
      <w:r>
        <w:rPr>
          <w:rFonts w:ascii="Arial" w:cs="Arial" w:eastAsia="Arial" w:hAnsi="Arial"/>
          <w:sz w:val="18"/>
          <w:szCs w:val="18"/>
          <w:u w:val="single" w:color="auto"/>
          <w:color w:val="auto"/>
        </w:rPr>
        <w:t>SLE Disease Activity</w:t>
      </w:r>
      <w:r>
        <w:rPr>
          <w:rFonts w:ascii="Arial" w:cs="Arial" w:eastAsia="Arial" w:hAnsi="Arial"/>
          <w:sz w:val="18"/>
          <w:szCs w:val="18"/>
          <w:color w:val="auto"/>
        </w:rPr>
        <w:t>. We continue to leverage clinical and laboratory data collected across multiple longitudinal SLE cohorts to identify a set of biomarkers that can inform an artificial intelligence (AI) developed algorithm aimed at guiding ongoing treatment decisions throughout the course of a lupus patient’s journey. Our candidate assay for SLE Disease Activity is currently being clinically validated with patient recruitment ongoing.</w:t>
      </w:r>
    </w:p>
    <w:p>
      <w:pPr>
        <w:spacing w:after="0" w:line="232" w:lineRule="exact"/>
        <w:rPr>
          <w:rFonts w:ascii="Arial" w:cs="Arial" w:eastAsia="Arial" w:hAnsi="Arial"/>
          <w:sz w:val="22"/>
          <w:szCs w:val="22"/>
          <w:color w:val="auto"/>
        </w:rPr>
      </w:pPr>
    </w:p>
    <w:p>
      <w:pPr>
        <w:jc w:val="both"/>
        <w:ind w:left="660" w:hanging="328"/>
        <w:spacing w:after="0" w:line="244" w:lineRule="auto"/>
        <w:tabs>
          <w:tab w:leader="none" w:pos="656" w:val="left"/>
        </w:tabs>
        <w:numPr>
          <w:ilvl w:val="0"/>
          <w:numId w:val="4"/>
        </w:numPr>
        <w:rPr>
          <w:rFonts w:ascii="Arial" w:cs="Arial" w:eastAsia="Arial" w:hAnsi="Arial"/>
          <w:sz w:val="22"/>
          <w:szCs w:val="22"/>
          <w:color w:val="auto"/>
        </w:rPr>
      </w:pPr>
      <w:r>
        <w:rPr>
          <w:rFonts w:ascii="Arial" w:cs="Arial" w:eastAsia="Arial" w:hAnsi="Arial"/>
          <w:sz w:val="18"/>
          <w:szCs w:val="18"/>
          <w:u w:val="single" w:color="auto"/>
          <w:color w:val="auto"/>
        </w:rPr>
        <w:t>RA Disease Activity</w:t>
      </w:r>
      <w:r>
        <w:rPr>
          <w:rFonts w:ascii="Arial" w:cs="Arial" w:eastAsia="Arial" w:hAnsi="Arial"/>
          <w:sz w:val="18"/>
          <w:szCs w:val="18"/>
          <w:color w:val="auto"/>
        </w:rPr>
        <w:t>. We are also continuing to leverage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 Our candidate assay for RA disease activity is in development, with the validation cohort procured for analysis.</w:t>
      </w:r>
    </w:p>
    <w:p>
      <w:pPr>
        <w:spacing w:after="0" w:line="151" w:lineRule="exact"/>
        <w:rPr>
          <w:rFonts w:ascii="Arial" w:cs="Arial" w:eastAsia="Arial" w:hAnsi="Arial"/>
          <w:sz w:val="22"/>
          <w:szCs w:val="22"/>
          <w:color w:val="auto"/>
        </w:rPr>
      </w:pPr>
    </w:p>
    <w:p>
      <w:pPr>
        <w:jc w:val="both"/>
        <w:ind w:left="660" w:hanging="328"/>
        <w:spacing w:after="0" w:line="222" w:lineRule="exact"/>
        <w:tabs>
          <w:tab w:leader="none" w:pos="68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Kidney Damage Biomarkers.</w:t>
      </w:r>
      <w:r>
        <w:rPr>
          <w:rFonts w:ascii="Arial" w:cs="Arial" w:eastAsia="Arial" w:hAnsi="Arial"/>
          <w:sz w:val="18"/>
          <w:szCs w:val="18"/>
          <w:color w:val="auto"/>
        </w:rPr>
        <w:t xml:space="preserve"> We have a multi</w:t>
      </w:r>
      <w:r>
        <w:rPr>
          <w:rFonts w:ascii="MS PGothic" w:cs="MS PGothic" w:eastAsia="MS PGothic" w:hAnsi="MS PGothic"/>
          <w:sz w:val="18"/>
          <w:szCs w:val="18"/>
          <w:color w:val="auto"/>
        </w:rPr>
        <w:t>‑</w:t>
      </w:r>
      <w:r>
        <w:rPr>
          <w:rFonts w:ascii="Arial" w:cs="Arial" w:eastAsia="Arial" w:hAnsi="Arial"/>
          <w:sz w:val="18"/>
          <w:szCs w:val="18"/>
          <w:color w:val="auto"/>
        </w:rPr>
        <w:t>analyte blood</w:t>
      </w:r>
      <w:r>
        <w:rPr>
          <w:rFonts w:ascii="MS PGothic" w:cs="MS PGothic" w:eastAsia="MS PGothic" w:hAnsi="MS PGothic"/>
          <w:sz w:val="18"/>
          <w:szCs w:val="18"/>
          <w:color w:val="auto"/>
        </w:rPr>
        <w:t>‑</w:t>
      </w:r>
      <w:r>
        <w:rPr>
          <w:rFonts w:ascii="Arial" w:cs="Arial" w:eastAsia="Arial" w:hAnsi="Arial"/>
          <w:sz w:val="18"/>
          <w:szCs w:val="18"/>
          <w:color w:val="auto"/>
        </w:rPr>
        <w:t>based panel under development, which sensitively detects kidney damage in early renal disease, outperforming creatinine and estimated glomerular filtration rate (eGFR). Two U.S. provisional patent applications were filed in May 2025 for methods of detecting kidney damage using the blood-based panel. In addition, two abstracts were presented at ACR 2025 on our biomarker panel for early kidney damage comprising uromodulin, myo</w:t>
      </w:r>
      <w:r>
        <w:rPr>
          <w:rFonts w:ascii="MS PGothic" w:cs="MS PGothic" w:eastAsia="MS PGothic" w:hAnsi="MS PGothic"/>
          <w:sz w:val="18"/>
          <w:szCs w:val="18"/>
          <w:color w:val="auto"/>
        </w:rPr>
        <w:t>‑</w:t>
      </w:r>
      <w:r>
        <w:rPr>
          <w:rFonts w:ascii="Arial" w:cs="Arial" w:eastAsia="Arial" w:hAnsi="Arial"/>
          <w:sz w:val="18"/>
          <w:szCs w:val="18"/>
          <w:color w:val="auto"/>
        </w:rPr>
        <w:t>inositol oxygenase, heparanase, and apoptosis</w:t>
      </w:r>
      <w:r>
        <w:rPr>
          <w:rFonts w:ascii="MS PGothic" w:cs="MS PGothic" w:eastAsia="MS PGothic" w:hAnsi="MS PGothic"/>
          <w:sz w:val="18"/>
          <w:szCs w:val="18"/>
          <w:color w:val="auto"/>
        </w:rPr>
        <w:t>‑</w:t>
      </w:r>
      <w:r>
        <w:rPr>
          <w:rFonts w:ascii="Arial" w:cs="Arial" w:eastAsia="Arial" w:hAnsi="Arial"/>
          <w:sz w:val="18"/>
          <w:szCs w:val="18"/>
          <w:color w:val="auto"/>
        </w:rPr>
        <w:t>resistant E3 ubiquitin ligase 1. The index showed promising data with high sensitivity and specificity for early organ damage in diabetic kidney disease and LN. These kidney</w:t>
      </w:r>
      <w:r>
        <w:rPr>
          <w:rFonts w:ascii="MS PGothic" w:cs="MS PGothic" w:eastAsia="MS PGothic" w:hAnsi="MS PGothic"/>
          <w:sz w:val="18"/>
          <w:szCs w:val="18"/>
          <w:color w:val="auto"/>
        </w:rPr>
        <w:t>‑</w:t>
      </w:r>
      <w:r>
        <w:rPr>
          <w:rFonts w:ascii="Arial" w:cs="Arial" w:eastAsia="Arial" w:hAnsi="Arial"/>
          <w:sz w:val="18"/>
          <w:szCs w:val="18"/>
          <w:color w:val="auto"/>
        </w:rPr>
        <w:t>specific proteins capture distinct pathophysiologic axes of renal damage, supporting their use as early, disease</w:t>
      </w:r>
      <w:r>
        <w:rPr>
          <w:rFonts w:ascii="MS PGothic" w:cs="MS PGothic" w:eastAsia="MS PGothic" w:hAnsi="MS PGothic"/>
          <w:sz w:val="18"/>
          <w:szCs w:val="18"/>
          <w:color w:val="auto"/>
        </w:rPr>
        <w:t>‑</w:t>
      </w:r>
      <w:r>
        <w:rPr>
          <w:rFonts w:ascii="Arial" w:cs="Arial" w:eastAsia="Arial" w:hAnsi="Arial"/>
          <w:sz w:val="18"/>
          <w:szCs w:val="18"/>
          <w:color w:val="auto"/>
        </w:rPr>
        <w:t>specific indicators of nephropathy in diabetes and lupus. Such a multi</w:t>
      </w:r>
      <w:r>
        <w:rPr>
          <w:rFonts w:ascii="MS PGothic" w:cs="MS PGothic" w:eastAsia="MS PGothic" w:hAnsi="MS PGothic"/>
          <w:sz w:val="18"/>
          <w:szCs w:val="18"/>
          <w:color w:val="auto"/>
        </w:rPr>
        <w:t>‑</w:t>
      </w:r>
      <w:r>
        <w:rPr>
          <w:rFonts w:ascii="Arial" w:cs="Arial" w:eastAsia="Arial" w:hAnsi="Arial"/>
          <w:sz w:val="18"/>
          <w:szCs w:val="18"/>
          <w:color w:val="auto"/>
        </w:rPr>
        <w:t>marker approach could improve timely diagnosis and monitoring of renal involvement beyond conventional tests. Further investment is needed to make this offering commercially viable, and it has been deprioritized at this time, in light of other high</w:t>
      </w:r>
      <w:r>
        <w:rPr>
          <w:rFonts w:ascii="MS PGothic" w:cs="MS PGothic" w:eastAsia="MS PGothic" w:hAnsi="MS PGothic"/>
          <w:sz w:val="18"/>
          <w:szCs w:val="18"/>
          <w:color w:val="auto"/>
        </w:rPr>
        <w:t>‑</w:t>
      </w:r>
      <w:r>
        <w:rPr>
          <w:rFonts w:ascii="Arial" w:cs="Arial" w:eastAsia="Arial" w:hAnsi="Arial"/>
          <w:sz w:val="18"/>
          <w:szCs w:val="18"/>
          <w:color w:val="auto"/>
        </w:rPr>
        <w:t>potential programs within our pipeline.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6" w:name="page7"/>
    <w:bookmarkEnd w:id="6"/>
    <w:p>
      <w:pPr>
        <w:jc w:val="both"/>
        <w:ind w:left="660" w:hanging="328"/>
        <w:spacing w:after="0" w:line="259" w:lineRule="auto"/>
        <w:tabs>
          <w:tab w:leader="none" w:pos="68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Myositis Biomarkers</w:t>
      </w:r>
      <w:r>
        <w:rPr>
          <w:rFonts w:ascii="Arial" w:cs="Arial" w:eastAsia="Arial" w:hAnsi="Arial"/>
          <w:sz w:val="18"/>
          <w:szCs w:val="18"/>
          <w:color w:val="auto"/>
        </w:rPr>
        <w:t>. Myositis specific antibodies (MSA) are a well-defined group of important biomarkers for the diagnosis of idiopathic inflammatory myopathies (IIM), and the stratification of patients into clinical phenotypes, according to treatment responses, and disease outcomes. Despite the advanced research on these markers, significant challenges persist with standardization and availability of validated methods with fast turnaround time. Our research studies use different technologies for the detection of MSA. When compared, we gain a unique understanding about potential avenues for product development in the area of myositis.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Market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testing products allow for the differential diagnosis, prognosis and monitoring of complex autoimmune and autoimmune-related diseases, including SLE and RA. We leverage our sales channel to primarily target the approximately 6,000 rheumatologists across the United States to promote use of our product portfolio.</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National Institute of Environmental Health Sciences estimates that there are over 15 million patients in the United States with suspected cases of autoimmune diseases. Autoimmune diseases encompass a broad range of serious, chronic and debilitating conditions in which a person’s immune system creates antibodies that mistakenly react against normal healthy tissues, causing inflammation and irreversible tissue damage. Detection of these antibodies through blood tests can help diagnose, prognose and monitor the course of autoimmune diseases. However, knowing when to test and which autoantibody to test for is challenging due to the vagueness of symptoms, unexplained flaring and remission of symptoms, and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clinicians to more effectively diagnose complex autoimmune conditions such as lupus, rheumatoid arthritis, and Sjögren’s disease earlier and with greater accuracy, as compared to the current standard of care. Our laboratory specializes in the testing of rheumatic diseases, delivering precise and timely results through our full suite of AVISE</w:t>
      </w:r>
      <w:r>
        <w:rPr>
          <w:rFonts w:ascii="Arial" w:cs="Arial" w:eastAsia="Arial" w:hAnsi="Arial"/>
          <w:sz w:val="23"/>
          <w:szCs w:val="23"/>
          <w:color w:val="auto"/>
          <w:vertAlign w:val="superscript"/>
        </w:rPr>
        <w:t>®</w:t>
      </w:r>
      <w:r>
        <w:rPr>
          <w:rFonts w:ascii="Arial" w:cs="Arial" w:eastAsia="Arial" w:hAnsi="Arial"/>
          <w:sz w:val="18"/>
          <w:szCs w:val="18"/>
          <w:color w:val="auto"/>
        </w:rPr>
        <w:t>-branded tests for disease diagnosis, prognosis, and monitoring. With a focus on research, innovation, education, and patient-centered care, we are dedicated to addressing the ongoing challenges of autoimmune disease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this addressable market is greater than 2 million patients per year in the United States.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Connective Tissue Diseases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which historically has been difficult to rule out, as well as other autoimmune-related diseases and other disorders that mimic these diseases, such as fibromyalgia.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Systemic Lupus Erythematosus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antibody (ANA), anti-double stranded DNA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According to a study published in 2022 by Dinse et al., which investigated the increasing prevalence of ANA in the United States using data from the National Health and Nutrition Examination Survey, approximately 0.7%–2.4% of individuals with a positive ANA test have SLE. This lack of specificity leads to many inappropriate non-autoimmune referrals to the rheumatologist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 w:name="page8"/>
    <w:bookmarkEnd w:id="7"/>
    <w:p>
      <w:pPr>
        <w:jc w:val="both"/>
        <w:spacing w:after="0" w:line="252" w:lineRule="auto"/>
        <w:rPr>
          <w:sz w:val="20"/>
          <w:szCs w:val="20"/>
          <w:color w:val="auto"/>
        </w:rPr>
      </w:pPr>
      <w:r>
        <w:rPr>
          <w:rFonts w:ascii="Arial" w:cs="Arial" w:eastAsia="Arial" w:hAnsi="Arial"/>
          <w:sz w:val="18"/>
          <w:szCs w:val="18"/>
          <w:color w:val="auto"/>
        </w:rPr>
        <w:t>from primary care physicians. For example, it has been reported that 30% of fibromyalgia patients may test positive for ANA, potentially generating as many as four million inappropriate rheumatology referrals. In addition, the Dinse et al. study reported the estimated prevalence of a positive ANA test in the normal, healthy, U.S. population to be 16.1% (approximately 41.5 million people), indicating a significant need for a highly specific test for this disease.</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Anti-dsDNA are autoantibodies that target a person’s double-stranded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Many people with SLE have a negative anti-dsDNA antibody test, reaffirming the need for an effective testing product which adds clarity to the rheumatologist’s clinical assessment.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Rheumatoid Arthritis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approximately 135,000 and 2 million, respectively. Patients suffering from RA develop joint damage that is associated with painful inflammation and often progresses to irreversible damage of cartilage and bone, leading to significant disability and a reduction in quality of life and the ability to work.</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Diagnosis of RA involves performing a complete medical history review with physical and/or radiographic examination of the number and distribution of swollen, tender and painful joints that have persisted for more than six weeks. Laboratory testing for rheumatoid factor (RF), anti-cyclic citrullinated peptide (CCP) antibodies and testing for general, nonspecific inflammation with erythrocyte sedimentation rate (ESR) and C-reactive protein tests are used to assist in the diagnosis.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Early diagnosis and effective treatment of RA is critically important to prevent erosive bone or joint damage and disability. In effect, rheumatologists are compelled to reach a definitive diagnosis quickly and administer effective treatment.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address the unmet needs of those suffering from debilitating and chronic autoimmune disorders through aiding in differential diagnosis, prognosis and monitoring, to ultimately improve clinical outcomes for patients.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aim to become the standard of care in autoimmune disease testing. The key tenets of our business strategy include:</w:t>
      </w:r>
    </w:p>
    <w:p>
      <w:pPr>
        <w:spacing w:after="0" w:line="169" w:lineRule="exact"/>
        <w:rPr>
          <w:sz w:val="20"/>
          <w:szCs w:val="20"/>
          <w:color w:val="auto"/>
        </w:rPr>
      </w:pPr>
    </w:p>
    <w:p>
      <w:pPr>
        <w:jc w:val="both"/>
        <w:ind w:left="660" w:hanging="328"/>
        <w:spacing w:after="0" w:line="215" w:lineRule="auto"/>
        <w:tabs>
          <w:tab w:leader="none" w:pos="670" w:val="left"/>
        </w:tabs>
        <w:numPr>
          <w:ilvl w:val="0"/>
          <w:numId w:val="6"/>
        </w:numPr>
        <w:rPr>
          <w:rFonts w:ascii="Arial" w:cs="Arial" w:eastAsia="Arial" w:hAnsi="Arial"/>
          <w:sz w:val="18"/>
          <w:szCs w:val="18"/>
          <w:color w:val="auto"/>
        </w:rPr>
      </w:pPr>
      <w:r>
        <w:rPr>
          <w:rFonts w:ascii="Arial" w:cs="Arial" w:eastAsia="Arial" w:hAnsi="Arial"/>
          <w:sz w:val="18"/>
          <w:szCs w:val="18"/>
          <w:i w:val="1"/>
          <w:iCs w:val="1"/>
          <w:u w:val="single" w:color="auto"/>
          <w:color w:val="auto"/>
        </w:rPr>
        <w:t>Expand adoption of our flagship product, AVISE</w:t>
      </w:r>
      <w:r>
        <w:rPr>
          <w:rFonts w:ascii="Arial" w:cs="Arial" w:eastAsia="Arial" w:hAnsi="Arial"/>
          <w:sz w:val="23"/>
          <w:szCs w:val="23"/>
          <w:u w:val="single" w:color="auto"/>
          <w:color w:val="auto"/>
          <w:vertAlign w:val="superscript"/>
        </w:rPr>
        <w:t>®</w:t>
      </w:r>
      <w:r>
        <w:rPr>
          <w:rFonts w:ascii="Arial" w:cs="Arial" w:eastAsia="Arial" w:hAnsi="Arial"/>
          <w:sz w:val="18"/>
          <w:szCs w:val="18"/>
          <w:i w:val="1"/>
          <w:iCs w:val="1"/>
          <w:color w:val="auto"/>
        </w:rPr>
        <w:t xml:space="preserve"> CTD. </w:t>
      </w:r>
      <w:r>
        <w:rPr>
          <w:rFonts w:ascii="Arial" w:cs="Arial" w:eastAsia="Arial" w:hAnsi="Arial"/>
          <w:sz w:val="18"/>
          <w:szCs w:val="18"/>
          <w:color w:val="auto"/>
        </w:rPr>
        <w:t>We have demonstrated a solid track record of commercial growth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believe we are uniquely positioned to continue expanding our commercial presence within the autoimmune disease market by leveraging our specialized sales force and expansive network of relationships with rheumatologists across the United States. Using our specialty laboratory focused on rheumatology, we plan to build upon industry-leading quality, service and technology to support strong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adoption while continuing to expand and improve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offering, grow our ordering physician base, and enhance our average reimbursement rates.</w:t>
      </w:r>
    </w:p>
    <w:p>
      <w:pPr>
        <w:spacing w:after="0" w:line="139" w:lineRule="exact"/>
        <w:rPr>
          <w:rFonts w:ascii="Arial" w:cs="Arial" w:eastAsia="Arial" w:hAnsi="Arial"/>
          <w:sz w:val="18"/>
          <w:szCs w:val="18"/>
          <w:color w:val="auto"/>
        </w:rPr>
      </w:pPr>
    </w:p>
    <w:p>
      <w:pPr>
        <w:jc w:val="both"/>
        <w:ind w:left="660" w:hanging="328"/>
        <w:spacing w:after="0" w:line="244"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Continue to develop innovative testing products, using clear criteria for R&amp;D projects and commercialization milestones</w:t>
      </w:r>
      <w:r>
        <w:rPr>
          <w:rFonts w:ascii="Arial" w:cs="Arial" w:eastAsia="Arial" w:hAnsi="Arial"/>
          <w:sz w:val="18"/>
          <w:szCs w:val="18"/>
          <w:i w:val="1"/>
          <w:iCs w:val="1"/>
          <w:color w:val="auto"/>
        </w:rPr>
        <w:t xml:space="preserve">. </w:t>
      </w:r>
      <w:r>
        <w:rPr>
          <w:rFonts w:ascii="Arial" w:cs="Arial" w:eastAsia="Arial" w:hAnsi="Arial"/>
          <w:sz w:val="18"/>
          <w:szCs w:val="18"/>
          <w:color w:val="auto"/>
        </w:rPr>
        <w:t>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our protein and molecular assay development capabilities, bioinformatic team and proprietary technologies to pursue the development of additional testing products designed to have superior clinical utility for rheumatic conditions. We undertake research projects that have the potential for impactful results and address the top consumer needs in the rheumatology space. The research projects we support are those that we believe will have a competitive advantage (such as using proprietary technology), a pathway for reimbursement and an established evidence development plan with sufficient market size. Criteria for developing products that we ultimately commercialize include Medicare coverage (specific to patient population), proprietary value-based pricing, published clinical utility and a strategy for medical guideline inclusion.</w:t>
      </w:r>
    </w:p>
    <w:p>
      <w:pPr>
        <w:spacing w:after="0" w:line="125" w:lineRule="exact"/>
        <w:rPr>
          <w:rFonts w:ascii="Arial" w:cs="Arial" w:eastAsia="Arial" w:hAnsi="Arial"/>
          <w:sz w:val="18"/>
          <w:szCs w:val="18"/>
          <w:b w:val="1"/>
          <w:bCs w:val="1"/>
          <w:i w:val="1"/>
          <w:iCs w:val="1"/>
          <w:color w:val="auto"/>
        </w:rPr>
      </w:pPr>
    </w:p>
    <w:p>
      <w:pPr>
        <w:jc w:val="both"/>
        <w:ind w:left="660" w:hanging="328"/>
        <w:spacing w:after="0" w:line="246" w:lineRule="auto"/>
        <w:tabs>
          <w:tab w:leader="none" w:pos="67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expansion and improved operating expense efficiencies through the implementation of certain internal initiatives, such as leveraging validation, utility and reimbursement-oriented clinical studies to facilitate payor coverage of our testing products. We center our efforts on long-term reimbursement and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-2859405</wp:posOffset>
            </wp:positionV>
            <wp:extent cx="274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 w:name="page9"/>
    <w:bookmarkEnd w:id="8"/>
    <w:p>
      <w:pPr>
        <w:jc w:val="both"/>
        <w:ind w:left="660"/>
        <w:spacing w:after="0" w:line="236" w:lineRule="auto"/>
        <w:rPr>
          <w:sz w:val="20"/>
          <w:szCs w:val="20"/>
          <w:color w:val="auto"/>
        </w:rPr>
      </w:pPr>
      <w:r>
        <w:rPr>
          <w:rFonts w:ascii="Arial" w:cs="Arial" w:eastAsia="Arial" w:hAnsi="Arial"/>
          <w:sz w:val="18"/>
          <w:szCs w:val="18"/>
          <w:color w:val="auto"/>
        </w:rPr>
        <w:t>We also seek to improve our per-test costs by focusing on profitable, core test offerings, minimizing fixed costs and overhead, and focusing our laboratory resources 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optimization. Additionally, we employ a streamlined salesforce covering territories which are designed to achieve the most efficient and effective reach and frequency for the promotion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Technologies</w:t>
      </w:r>
    </w:p>
    <w:p>
      <w:pPr>
        <w:spacing w:after="0" w:line="15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believe the competitive advantage for our testing products is supported by two core proprietary technologies: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which incorporate Cell-Bound Complement Activation Products (CB-CAPs) for diagnosing SLE and a set of three biomarkers, the t-cell based CB-CAP TC4d, along with two t-cell antibodies, TIgG, and TIgM (the T-Cell Biomarkers), all of which are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w:t>
      </w:r>
    </w:p>
    <w:p>
      <w:pPr>
        <w:spacing w:after="0" w:line="10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which we offer as a stand-alone test and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platform, is a proprietary, patent-protected and clinically validated method to aid in the diagnosis of SLE that provides a significant improvement in sensitivity, relative to the current standard of care.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leverages CB-CAPs technology, which determines the blood levels of complement activated proteins permanently deposited on hematopoietic cells. Rheumatologists measure components of the complement system, including serum levels of C3 and C4, to help diagnose SLE and monitor SLE disease activity.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believe the availability of complement biomarkers combined with our proprietary algorithmic interpretations, as a support or replacement of standard C3 and C4 measures, is of great value for rheumatologists and their patients.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clinical validation study published in 2014 by Chaim Putterman, et al. (the 2014 Study), EC4d and BC4d showed 22% higher sensitivity (66%) than C3 and C4 (44%) in diagnosing SLE, with specificity fixed at 91%.</w:t>
      </w:r>
    </w:p>
    <w:p>
      <w:pPr>
        <w:spacing w:after="0" w:line="126"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integrates EC4d and BC4d with eight autoantibodies to yield a quantitative and qualitative assessment of SLE risk.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was designed to improve upon the diagnostic sensitivity of conventional biomarkers used to diagnose SLE while maintaining a high degree of specificity. In the 2014 Study,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demonstrated 80% sensitivity for SLE (meaning eight out of ten diagnosed SLE patients tested positive) and 86% specificity for SLE (meaning 86% of non-SLE control subjects with other rheumatic conditions tested negative). A later study published in 2022 by Tyler O’Malley, et al., compared the clinical utility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to the conventional biomarker strategy in the diagnosis of SLE, demonstrating six-fold increased odds of SLE diagnosis and three-fold increased odds of treatment initiation with a positive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result. We believe this patent-protected platform gives us a significant advantage over our competitors.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for diagnosing SLE has patent protection through March 2034.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T-Cell Biomarkers</w:t>
      </w:r>
    </w:p>
    <w:p>
      <w:pPr>
        <w:spacing w:after="0" w:line="15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Our collaborative efforts with the Allegheny Health Network Research Institute (AHN) have resulted in further development of the T-Cell Biomarkers, for which we obtained an exclusive, worldwide license from AHN in May 2021 and launched commercially in January 2025 as part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These biomarkers have been clinically validated, exhibit a high degree of specificity for lupus, are more sensitive for lupus compared to conventional biomarkers and serve as an enhancement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profile also included in the test. The TC4d test is patent protected through 2035, representing a proprietary expansion of CB-CAPs, involving a biochemical process wherein complement activation products are measured on T-cells.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Tests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offer 10 commercialized tests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offering next-generation insights to aid the diagnosis, prognosis and monitoring of autoimmune conditions.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represents approximately 91% of our current annual revenue.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CTD (Including 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w:t>
      </w:r>
    </w:p>
    <w:p>
      <w:pPr>
        <w:spacing w:after="0" w:line="10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is a comprehensive test that aids in distinguishing overlapping symptoms and the differential diagnosis of a wide variety of CTDs and other diseases in one convenient blood draw. These diseases include SLE, RA, Sjögren’s syndrome, Antiphospholipid syndrome (APS), other autoimmune-related diseases and other disorders that mimic these diseases, such as fibromyalgia. These conditions are often challenging to diagnose as a result of overlapping symptoms.</w:t>
      </w:r>
    </w:p>
    <w:p>
      <w:pPr>
        <w:spacing w:after="0" w:line="13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Rheumatologists choose to order the comprehensive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or the more focused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12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includes our proprietary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 cornerstone of the SLE assessment.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begins by quantifying the level of CB-CAPs biomarkers (EC4d and BC4d) in the patient’s blood. These biomarkers are elevated in patients with SLE compared to patients with other CTDs. Next,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integrates these cell-bound complement products with 8 autoantibodies to yield a quantitative and qualitative assessment of SLE risk. In 2025, we added three new unique T-Cell Biomarkers which provide enhanced sensitivity for SLE as compared to conventional SLE biomarkers and serve as a complement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profile.</w:t>
      </w:r>
    </w:p>
    <w:p>
      <w:pPr>
        <w:spacing w:after="0" w:line="5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 scientific abstract presented at the 2024 ACR annual meeting (2024 ACR), the combined T-Cell Biomarker panel was shown to capture a unique subset of SLE subjects otherwise testing negative for all conventional SLE biomarkers and the CB-CAPs biomarkers (EC4d and BC4d) already included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data, which showed that up to 50% of SLE subjects testing negative by conventional SLE biomarkers are identified as positive by one or more T-Cell Biomarker, has subsequently been published </w:t>
      </w:r>
      <w:r>
        <w:rPr>
          <w:rFonts w:ascii="Arial" w:cs="Arial" w:eastAsia="Arial" w:hAnsi="Arial"/>
          <w:sz w:val="18"/>
          <w:szCs w:val="18"/>
          <w:i w:val="1"/>
          <w:iCs w:val="1"/>
          <w:color w:val="auto"/>
        </w:rPr>
        <w:t>Frontiers in Immunology</w:t>
      </w:r>
      <w:r>
        <w:rPr>
          <w:rFonts w:ascii="Arial" w:cs="Arial" w:eastAsia="Arial" w:hAnsi="Arial"/>
          <w:sz w:val="18"/>
          <w:szCs w:val="18"/>
          <w:color w:val="auto"/>
        </w:rPr>
        <w:t xml:space="preserve"> (February 26, 2025).</w:t>
      </w:r>
    </w:p>
    <w:p>
      <w:pPr>
        <w:spacing w:after="0" w:line="1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cases of early inflammatory arthritis, differential diagnosis is broad, including conditions like reactive arthritis, crystal arthropathy, spondyloarthropathy, and other systemic rheumatic diseases such as SLE and Sjogren’s syndrome, alongside RA. Approximately 70% of RA patients show serological evidence of RA, identified by key biomarkers: anti-CCP and RF. The remaining 30% of patients, despite lacking these serological markers, are clinically diagnosed with RA (the Seronegative RA Subgroup); this subgroup is referred to as “seronegative RA.” These seronegative RA patients often face delays in diagnosis due to the absence of serological evidence. In 2025, we added five unique biomarkers specific to seronegative RA—Anti-RA33 IgA, Anti-RA33 IgG, Anti-RA33 IgM, Anti-PAD4 IgA and Anti-PAD4 IgG (the RA Sub-Profile Biomarkers)—that help bridge this diagnostic gap and enable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to correctly identify a greater proportion of the traditional Seronegative RA Subgroup, allowing for more timely and targeted treatment plans for these patients.</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Data presented at ACR 2024 showed that the combination of anti-RA33 and anti- Peptidyl arginine deiminase 4 (PAD4) autoantibodies captures a unique subset of seronegative RA patients otherwise testing negative for canonical RA biomarkers—anti-CCP and rheumatoid factors (RFs). An upwards of 40% of seronegative RA patients tested positive for one or more these biomarkers while maintaining a relatively high degree of specificity for RA. Additional data presented at the ACR 2025 revealed the addition of anti-RA33 and anti-PAD4 in a machine learning approach could further bolster diagnostic performance for detection of RA when put in combination with anti-CCP and RFs. Beyond the diagnostic application, anti-RA33 autoantibodies have been shown to associate with improved response to conventional synthetic disease modifying anti-rheumatic drugs, such as methotrexate. On the other hand, Anti-PAD4 autoantibodies have been shown to associate with increased risk for joint erosions and comorbidities, such as interstitial lung disease. Taken together, the collective data demonstrates our panel of seronegative autoantibodies provide meaningful diagnostic and prognostic insights for a critical segment of RA patients.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Other 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Tests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offer the following additional tests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6"/>
                <w:szCs w:val="16"/>
                <w:b w:val="1"/>
                <w:bCs w:val="1"/>
                <w:color w:val="auto"/>
              </w:rPr>
              <w:t>Test</w:t>
            </w:r>
          </w:p>
        </w:tc>
        <w:tc>
          <w:tcPr>
            <w:tcW w:w="66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Test Description</w:t>
            </w:r>
          </w:p>
        </w:tc>
        <w:tc>
          <w:tcPr>
            <w:tcW w:w="1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b w:val="1"/>
                <w:bCs w:val="1"/>
                <w:color w:val="auto"/>
              </w:rPr>
              <w:t>Type</w:t>
            </w:r>
          </w:p>
        </w:tc>
      </w:tr>
      <w:tr>
        <w:trPr>
          <w:trHeight w:val="21"/>
        </w:trPr>
        <w:tc>
          <w:tcPr>
            <w:tcW w:w="24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60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 aids in both the diagnosis and management of APS, a hyper-coagulation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state leading to thrombosis, pregnancy complications and even death. Rheumatologists</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would typically request the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APS test in patients who initially tested positive for</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one or more APS biomarkers contained in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CTD, or in the management of</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patients experiencing a high-risk pregnancy.</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Vasculitis AAV</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Vasculitis AAV utilizes a testing panel of individual analytes designed to provide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physicians with rapid and reliable results in the assessment and monitoring of anti-</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neutrophil cytoplasmic antibody (ANCA) associated vasculitis (AAV). AAV is a group of</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autoimmune diseases characterized by vascular inflammation and damage. Early signs</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symptoms vary greatly and are not always indicative of the severity of the disease.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Rapid and accurate testing is essential to prevent death and long-term disability.</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63"/>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Anti-Histone</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Anti-Histone is a test for autoantibodies to histone proteins commonly found in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Diagnostic</w:t>
            </w:r>
          </w:p>
        </w:tc>
      </w:tr>
      <w:tr>
        <w:trPr>
          <w:trHeight w:val="162"/>
        </w:trPr>
        <w:tc>
          <w:tcPr>
            <w:tcW w:w="2480" w:type="dxa"/>
            <w:vAlign w:val="bottom"/>
            <w:tcBorders>
              <w:left w:val="single" w:sz="8" w:color="auto"/>
              <w:bottom w:val="single" w:sz="8" w:color="auto"/>
              <w:right w:val="single" w:sz="8" w:color="auto"/>
            </w:tcBorders>
          </w:tcPr>
          <w:p>
            <w:pPr>
              <w:spacing w:after="0"/>
              <w:rPr>
                <w:sz w:val="14"/>
                <w:szCs w:val="14"/>
                <w:color w:val="auto"/>
              </w:rPr>
            </w:pPr>
          </w:p>
        </w:tc>
        <w:tc>
          <w:tcPr>
            <w:tcW w:w="6600" w:type="dxa"/>
            <w:vAlign w:val="bottom"/>
            <w:tcBorders>
              <w:bottom w:val="single" w:sz="8" w:color="auto"/>
              <w:right w:val="single" w:sz="8" w:color="auto"/>
            </w:tcBorders>
          </w:tcPr>
          <w:p>
            <w:pPr>
              <w:ind w:left="80"/>
              <w:spacing w:after="0" w:line="162" w:lineRule="exact"/>
              <w:rPr>
                <w:sz w:val="20"/>
                <w:szCs w:val="20"/>
                <w:color w:val="auto"/>
              </w:rPr>
            </w:pPr>
            <w:r>
              <w:rPr>
                <w:rFonts w:ascii="Arial" w:cs="Arial" w:eastAsia="Arial" w:hAnsi="Arial"/>
                <w:sz w:val="16"/>
                <w:szCs w:val="16"/>
                <w:color w:val="auto"/>
              </w:rPr>
              <w:t>drug induced lupus and SLE patients.</w:t>
            </w:r>
          </w:p>
        </w:tc>
        <w:tc>
          <w:tcPr>
            <w:tcW w:w="1240" w:type="dxa"/>
            <w:vAlign w:val="bottom"/>
            <w:tcBorders>
              <w:bottom w:val="single" w:sz="8" w:color="auto"/>
              <w:right w:val="single" w:sz="8" w:color="auto"/>
            </w:tcBorders>
          </w:tcPr>
          <w:p>
            <w:pPr>
              <w:spacing w:after="0"/>
              <w:rPr>
                <w:sz w:val="14"/>
                <w:szCs w:val="14"/>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Prognostic</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Prognostic is a panel of autoantibodies that have established predictive</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value for assessing the potential for complications affecting the kidney, brain and</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cardiovascular system, including lupus nephritis, lupus psychosis, strokes and heart</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attacks  related  to  lupus.  Rheumatologists  rely  on  insights  from  the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 test to help tailor their treatment approach.</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Anti-CarP</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Anti-CarP, is a biomarker-driven RA prognostic test, offered through a distribution</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Prognostic</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agreement with Werfen USA, LLC to help identify RA patients with an increased risk for</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joint damage.</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 is a blood test that employs CB-CAPs technology and is intended to</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assess the condition of a patient that has been diagnosed with SLE.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offers additional insight into a patient’s disease activity as well as possible adverse</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line="189" w:lineRule="exact"/>
              <w:rPr>
                <w:sz w:val="20"/>
                <w:szCs w:val="20"/>
                <w:color w:val="auto"/>
              </w:rPr>
            </w:pPr>
            <w:r>
              <w:rPr>
                <w:rFonts w:ascii="Arial" w:cs="Arial" w:eastAsia="Arial" w:hAnsi="Arial"/>
                <w:sz w:val="16"/>
                <w:szCs w:val="16"/>
                <w:color w:val="auto"/>
              </w:rPr>
              <w:t>events. 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SLE Monitor may be utilized by patients multiple times a year and</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throughout their lives.</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MTX</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MTX is a patented and validated blood test that precisely measures blood levels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methotrexate polyglutamates (MTXPG), the active metabolite of methotrexate linked to</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disease control in RA patients. Methotrexate is the most widely prescribed drug by</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rheumatologists in the treatment of RA. Measuring MTXPGs allows rheumatologists to</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identify patients presenting with inadequate exposure to methotrexate, enabling them to</w:t>
            </w:r>
          </w:p>
        </w:tc>
        <w:tc>
          <w:tcPr>
            <w:tcW w:w="1240" w:type="dxa"/>
            <w:vAlign w:val="bottom"/>
            <w:tcBorders>
              <w:right w:val="single" w:sz="8" w:color="auto"/>
            </w:tcBorders>
          </w:tcPr>
          <w:p>
            <w:pPr>
              <w:spacing w:after="0"/>
              <w:rPr>
                <w:sz w:val="16"/>
                <w:szCs w:val="16"/>
                <w:color w:val="auto"/>
              </w:rPr>
            </w:pPr>
          </w:p>
        </w:tc>
      </w:tr>
      <w:tr>
        <w:trPr>
          <w:trHeight w:val="175"/>
        </w:trPr>
        <w:tc>
          <w:tcPr>
            <w:tcW w:w="248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optimize dosing and achieve therapeutic levels commensurate with adequate disease</w:t>
            </w:r>
          </w:p>
        </w:tc>
        <w:tc>
          <w:tcPr>
            <w:tcW w:w="1240" w:type="dxa"/>
            <w:vAlign w:val="bottom"/>
            <w:tcBorders>
              <w:right w:val="single" w:sz="8" w:color="auto"/>
            </w:tcBorders>
          </w:tcPr>
          <w:p>
            <w:pPr>
              <w:spacing w:after="0"/>
              <w:rPr>
                <w:sz w:val="15"/>
                <w:szCs w:val="15"/>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control.</w:t>
            </w:r>
          </w:p>
        </w:tc>
        <w:tc>
          <w:tcPr>
            <w:tcW w:w="1240" w:type="dxa"/>
            <w:vAlign w:val="bottom"/>
            <w:tcBorders>
              <w:right w:val="single" w:sz="8" w:color="auto"/>
            </w:tcBorders>
          </w:tcPr>
          <w:p>
            <w:pPr>
              <w:spacing w:after="0"/>
              <w:rPr>
                <w:sz w:val="18"/>
                <w:szCs w:val="18"/>
                <w:color w:val="auto"/>
              </w:rPr>
            </w:pPr>
          </w:p>
        </w:tc>
      </w:tr>
      <w:tr>
        <w:trPr>
          <w:trHeight w:val="42"/>
        </w:trPr>
        <w:tc>
          <w:tcPr>
            <w:tcW w:w="2480" w:type="dxa"/>
            <w:vAlign w:val="bottom"/>
            <w:tcBorders>
              <w:left w:val="single" w:sz="8" w:color="auto"/>
              <w:bottom w:val="single" w:sz="8" w:color="auto"/>
              <w:right w:val="single" w:sz="8" w:color="auto"/>
            </w:tcBorders>
          </w:tcPr>
          <w:p>
            <w:pPr>
              <w:spacing w:after="0"/>
              <w:rPr>
                <w:sz w:val="3"/>
                <w:szCs w:val="3"/>
                <w:color w:val="auto"/>
              </w:rPr>
            </w:pPr>
          </w:p>
        </w:tc>
        <w:tc>
          <w:tcPr>
            <w:tcW w:w="66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r>
      <w:tr>
        <w:trPr>
          <w:trHeight w:val="276"/>
        </w:trPr>
        <w:tc>
          <w:tcPr>
            <w:tcW w:w="2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HCQ</w:t>
            </w: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AVISE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HCQ is a blood test designed to help rheumatologists objectively monitor levels</w:t>
            </w: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Monitoring</w:t>
            </w: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hydroxychloroquine (HCQ), in whole blood as they treat patients with SLE and other</w:t>
            </w:r>
          </w:p>
        </w:tc>
        <w:tc>
          <w:tcPr>
            <w:tcW w:w="1240" w:type="dxa"/>
            <w:vAlign w:val="bottom"/>
            <w:tcBorders>
              <w:right w:val="single" w:sz="8" w:color="auto"/>
            </w:tcBorders>
          </w:tcPr>
          <w:p>
            <w:pPr>
              <w:spacing w:after="0"/>
              <w:rPr>
                <w:sz w:val="16"/>
                <w:szCs w:val="16"/>
                <w:color w:val="auto"/>
              </w:rPr>
            </w:pPr>
          </w:p>
        </w:tc>
      </w:tr>
      <w:tr>
        <w:trPr>
          <w:trHeight w:val="189"/>
        </w:trPr>
        <w:tc>
          <w:tcPr>
            <w:tcW w:w="2480" w:type="dxa"/>
            <w:vAlign w:val="bottom"/>
            <w:tcBorders>
              <w:left w:val="single" w:sz="8" w:color="auto"/>
              <w:right w:val="single" w:sz="8" w:color="auto"/>
            </w:tcBorders>
          </w:tcPr>
          <w:p>
            <w:pPr>
              <w:spacing w:after="0"/>
              <w:rPr>
                <w:sz w:val="16"/>
                <w:szCs w:val="16"/>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CTDs, including RA. HCQ is typically prescribed to patients to control SLE disease</w:t>
            </w:r>
          </w:p>
        </w:tc>
        <w:tc>
          <w:tcPr>
            <w:tcW w:w="1240" w:type="dxa"/>
            <w:vAlign w:val="bottom"/>
            <w:tcBorders>
              <w:right w:val="single" w:sz="8" w:color="auto"/>
            </w:tcBorders>
          </w:tcPr>
          <w:p>
            <w:pPr>
              <w:spacing w:after="0"/>
              <w:rPr>
                <w:sz w:val="16"/>
                <w:szCs w:val="16"/>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66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activity and prevent flares.</w:t>
            </w:r>
          </w:p>
        </w:tc>
        <w:tc>
          <w:tcPr>
            <w:tcW w:w="1240" w:type="dxa"/>
            <w:vAlign w:val="bottom"/>
            <w:tcBorders>
              <w:right w:val="single" w:sz="8" w:color="auto"/>
            </w:tcBorders>
          </w:tcPr>
          <w:p>
            <w:pPr>
              <w:spacing w:after="0"/>
              <w:rPr>
                <w:sz w:val="18"/>
                <w:szCs w:val="18"/>
                <w:color w:val="auto"/>
              </w:rPr>
            </w:pPr>
          </w:p>
        </w:tc>
      </w:tr>
      <w:tr>
        <w:trPr>
          <w:trHeight w:val="29"/>
        </w:trPr>
        <w:tc>
          <w:tcPr>
            <w:tcW w:w="2480" w:type="dxa"/>
            <w:vAlign w:val="bottom"/>
            <w:tcBorders>
              <w:left w:val="single" w:sz="8" w:color="auto"/>
              <w:bottom w:val="single" w:sz="8" w:color="auto"/>
              <w:right w:val="single" w:sz="8" w:color="auto"/>
            </w:tcBorders>
          </w:tcPr>
          <w:p>
            <w:pPr>
              <w:spacing w:after="0"/>
              <w:rPr>
                <w:sz w:val="2"/>
                <w:szCs w:val="2"/>
                <w:color w:val="auto"/>
              </w:rPr>
            </w:pPr>
          </w:p>
        </w:tc>
        <w:tc>
          <w:tcPr>
            <w:tcW w:w="66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Reports</w:t>
      </w:r>
    </w:p>
    <w:p>
      <w:pPr>
        <w:spacing w:after="0" w:line="169"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portfolio of testing products delivers meaningful insights to healthcare providers around the diagnosis, prognosis, and monitoring of CTDs. Our flagship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delivers a comprehensive assessment of CTDs via some of the most specific and sensitive biomarkers in the industry. This information is delivered within an easy-to-understand test report, typically provided to rheumatologists within five business days of specimen receipt. As shown below,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displays a graphical representation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results, along with an accompanying interpretation describing the likelihood of the presence of lupus. Subsequent pages contain results for other biomarkers spanning across a broad number of disease states, conveniently grouped to assist providers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1" w:name="page12"/>
    <w:bookmarkEnd w:id="11"/>
    <w:p>
      <w:pPr>
        <w:spacing w:after="0" w:line="238" w:lineRule="auto"/>
        <w:rPr>
          <w:sz w:val="20"/>
          <w:szCs w:val="20"/>
          <w:color w:val="auto"/>
        </w:rPr>
      </w:pPr>
      <w:r>
        <w:rPr>
          <w:rFonts w:ascii="Arial" w:cs="Arial" w:eastAsia="Arial" w:hAnsi="Arial"/>
          <w:sz w:val="18"/>
          <w:szCs w:val="18"/>
          <w:color w:val="auto"/>
        </w:rPr>
        <w:t>making confident, accurate and timely treatment decisions.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report facilitates discussion of results with patients due to its intuitive structure and content. A sample of the full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report is shown below:</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5863590" cy="7218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7218045"/>
                    </a:xfrm>
                    <a:prstGeom prst="rect">
                      <a:avLst/>
                    </a:prstGeom>
                    <a:noFill/>
                  </pic:spPr>
                </pic:pic>
              </a:graphicData>
            </a:graphic>
          </wp:anchor>
        </w:drawing>
      </w:r>
    </w:p>
    <w:p>
      <w:pPr>
        <w:sectPr>
          <w:pgSz w:w="11900" w:h="16838" w:orient="portrait"/>
          <w:cols w:equalWidth="0" w:num="1">
            <w:col w:w="11220"/>
          </w:cols>
          <w:pgMar w:left="320" w:top="10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0" w:right="35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218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21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regularly confer with national experts in the clinical management of rheumatic autoimmune diseases to help guide the organization’s leadership team on the design and execution of research projects, as well as weigh-in on known and anticipated advances in technologies affecting clinical management of rheumatic and other autoimmune diseases. We believe there is significant potential to capitalize on our proprietary technologies by integrating with commercially validated biomarkers to develop testing products with superior clinical utility, on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own or through collaboration with partners. We have prioritized the following pipeline opportunities: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Myositis Panel Expansion</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MSA are a well-defined group of important biomarkers for the diagnosis of IIM and the stratification of patients into clinical phenotypes, according to treatment responses, and disease outcomes. Despite the advanced research on these markers, significant challenges persist with standardization and availability of validated methods with fast turnaround time. More specifically, most offerings for myositis in the United States either lack clinical accuracy or are associated with long turnaround times. Our mission is to design a myositis panel with high clinical utility and short turn-around time leveraging partnerships and in-house development efforts.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SLE Disease Activity</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leveraging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SLE is characterized by a chronic, systemic inflammatory burden, and disease progression is defined by the accumulation of irreversible organ damage typically resulting from chronic inflammation and/or chronic corticosteroid use. Among the challenges for rheumatologists responsible for the care of lupus patients is the unpredictability of the disease course defined by periods of waxing and waning episodes of inflammation. The unpredictable nature of SLE and the lack of reliable conventional biomarkers indicative of present and near-term disease activity results in a significant unmet need for a surrogate method to monitor disease activity. Our goal is to leverage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 Disease Activity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leveraging our extensive biorepository containing clinically annotated serum collected from RA patients to screen for a host of protein antibody markers in an effort to develop an algorithmic solution that accurately predicts RA disease activity in a manner that outperforms conventional RA biomarkers.</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RA is a chronic inflammatory disorder typically affecting multiple peripheral joints in a symmetrical pattern leading to progressive changes in bone and cartilage that causes pain, swelling, and eventually loss of joint function. RA is thought to affect 1% of the general population and is typically diagnosed in a person’s 40s and 50s. The management of RA involves routine follow up visits where physical signs and symptoms are evaluated and typically inflammatory biomarkers (C-reactive protein or erythrocyte sedimentation rate) are performed as a general indicator of inflammatory load. The conventional approach to inflammatory assessment is non-specific and therefore suffers from both a lack of sensitivity and specificity which limits their utility for gauging actively treatable inflammation or assessing treatment response. Accordingly, there is an unmet need for an objective surrogate of on-target RA disease activity that can be used to inform clinical decision-making in the form of treatment escalation or escalation based on risk of disease activity assessed at regular intervals.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Lupus Nephritis Urinary Biomarkers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are leveraging our intellectual property licensed from JHU to develop a test for detecting protein analytes in urine that can aid rheumatologists in the ongoing management and risk stratification of patients suffering from LN.</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LN is an autoimmune disease and a frequent complication in people who have SLE. It causes the immune system to produce proteins called autoantibodies that attack the body's own tissues and organs, including the kidneys. If left untreated, LN can lead to significant health problems, permanent kidney damage and even death. Early diagnosis and treatment are key to managing LN and to preventing it from escalating. Although early onset of LN is not typically noticeable by patients, nearly 40% of SLE patients go on to develop LN.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48" w:lineRule="auto"/>
        <w:rPr>
          <w:sz w:val="20"/>
          <w:szCs w:val="20"/>
          <w:color w:val="auto"/>
        </w:rPr>
      </w:pPr>
      <w:r>
        <w:rPr>
          <w:rFonts w:ascii="Arial" w:cs="Arial" w:eastAsia="Arial" w:hAnsi="Arial"/>
          <w:sz w:val="18"/>
          <w:szCs w:val="18"/>
          <w:color w:val="auto"/>
        </w:rPr>
        <w:t>Currently, urinary protein to creatine ratio measurement is the standard means of assessing kidney involvement. However, it is not necessarily indicative of kidney prognosis or treatment response. At ACR 2024, data was presented by our academic collaborators at JHU demonstrating meaningful progress towards the development of a non-invasive urinary protein biomarker panel. More recently, novel and intriguing data were presented at ACR 2025 demonstrating the ability to predict kidney function loss using urinary biomarkers. In November 2025, a U.S. non-provisional patent application was filed to patent methods of using a multitude of urinary protein biomarkers to predict LN treatment response at 12 months post-treatment, inflammatory kidney activity, kidney damage, and long-term kidney function.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Kidney Damage Biomarkers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kidneys are affected in up to 40% of SLE patients. Nephritis is a major contributor to SLE morbidity and prevention and minimization of kidney damage is one of the most important goals of early anti-inflammatory therapy in these patients. Current methods for assessment of kidney involvement/damage are limited to serum creatinine, its derivative, eGFR, measurement of UPCR and histologic examination of kidney biopsies. eGFR is insensitive for early-stage disease, UPCR lacks specificity and biopsies are regionally variable and highly invasive with attendant risks. We have developed a four-protein blood-based panel, which sensitively detects kidney damage in early LN and diabetic nephropathy which significantly outperforms creatinine and eGFR. Two U.S. provisional patent application were filed in May 2025 for methods of detecting kidney damage using the blood-based panel. We expect to make this panel available initially through pharma collaborations for research use prior to releasing commercially through our clinical lab.</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employ a specialized sales force focused on targeting the approximately 6,000 rheumatologists across the United States. Our sales representatives generally have extensive experience in healthcare sales with backgrounds in rheumatology, diagnostics and/or pharmaceutical sales. In addition, our sales representatives complete a comprehensive disease-level sales training program and are required to participate in regular, ongoing training activities and certifications. Our goal is for our sales representative to be viewed as a collaborative resource to the rheumatologists and their practice.</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field-based sales force is organized into 45 territories within the following five regions: West, Central, Northeast, Southeast and Mid-Atlantic. We anticipate further expanding our sales territories in a measured fashion, where we have access to talent and physician demand, and where we believe there is a high likelihood of near-term profitable revenue growth. We also maintain an inside sales force that helps further our access to rheumatologists located in rural and outlying areas of the United States and works to increase our brand awareness with healthcare providers in these areas. We continually evaluate our sales force's reach and frequency of interactions with rheumatologists, including as we launch our pipeline products. Our specialized sales force and marketing activities are further augmented by our centralized, dedicated client services department. Our client services department uses its high level of technical training to enhance sales efficiency and customer satisfaction by providing personalized customer support.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and Growth through Quality Testing and Service</w:t>
      </w:r>
    </w:p>
    <w:p>
      <w:pPr>
        <w:spacing w:after="0" w:line="15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Our focus on quality allows for a dedicated sales approach based on a commitment to understanding the needs of both provider and patient. By raising awareness of the benefits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provides, our sales team is able to deliver quality testing and support services to providers, and ultimately, their patients. To ensure our marketing and sales efforts are reaching those that we believe could benefit most from AVISE</w:t>
      </w:r>
      <w:r>
        <w:rPr>
          <w:rFonts w:ascii="Arial" w:cs="Arial" w:eastAsia="Arial" w:hAnsi="Arial"/>
          <w:sz w:val="23"/>
          <w:szCs w:val="23"/>
          <w:color w:val="auto"/>
          <w:vertAlign w:val="superscript"/>
        </w:rPr>
        <w:t>®</w:t>
      </w:r>
      <w:r>
        <w:rPr>
          <w:rFonts w:ascii="Arial" w:cs="Arial" w:eastAsia="Arial" w:hAnsi="Arial"/>
          <w:sz w:val="18"/>
          <w:szCs w:val="18"/>
          <w:color w:val="auto"/>
        </w:rPr>
        <w:t>, we emphasize execution in three core areas: targeting, messaging and call frequency. We strategically target the highest-potential practices by utilizing various data sources (e.g., market analytics, demographic data, historical therapeutic usage and diagnostic product trends). Furthermore, we believe the increased access afforded by our testing products will allow for patient-focused messaging and the increased accuracy of our testing products over current standard of care diagnostic methodologies. Finally, we execute a high-frequency promotional strategy for our top-targeted rheumatologists and their office personnel to build knowledge, understanding and retention of the benefits of our testing products.</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and medical societies, such as the ACR. We have also established strong relationships with multiple rheumatology care management organizations (Super Groups), which can be key in influencing favorable reimbursement.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5" w:name="page16"/>
    <w:bookmarkEnd w:id="15"/>
    <w:p>
      <w:pPr>
        <w:jc w:val="both"/>
        <w:spacing w:after="0" w:line="261" w:lineRule="auto"/>
        <w:rPr>
          <w:sz w:val="20"/>
          <w:szCs w:val="20"/>
          <w:color w:val="auto"/>
        </w:rPr>
      </w:pPr>
      <w:r>
        <w:rPr>
          <w:rFonts w:ascii="Arial" w:cs="Arial" w:eastAsia="Arial" w:hAnsi="Arial"/>
          <w:sz w:val="18"/>
          <w:szCs w:val="18"/>
          <w:color w:val="auto"/>
        </w:rPr>
        <w:t>products. Beyond working with these Super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source of revenue for our products is reimbursement from third-party payors and client bill arrangements. Third-party payors include government payors (such as Medicare and Medicaid) and commercial payors (such as insurance companies). Achieving and maintaining broad coverage and reimbursement from third-party payors, including Medicare, for our commercialized and pipeline products is a key determinant of our revenue, financial results and future growth.</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actively engaged in efforts to achieve broad commercial coverage and reimbursement for our current and future products, including contracting with commercial payors. Achieving positive coverage reduces the need for appeals and reduces failures to collect from the patient’s insurance. Additionally, achieving in-network contracts with commercial payors can shorten the time required to receive payments. Our approach to commercial payment is centered on working toward inclusion in clinical guidelines and individual payor medical policies. We seek to accomplish this through continued evidence development and publication, medical director engagement and individual claim-based appeal efforts, detailed as follows:</w:t>
      </w:r>
    </w:p>
    <w:p>
      <w:pPr>
        <w:spacing w:after="0" w:line="121" w:lineRule="exact"/>
        <w:rPr>
          <w:sz w:val="20"/>
          <w:szCs w:val="20"/>
          <w:color w:val="auto"/>
        </w:rPr>
      </w:pPr>
    </w:p>
    <w:p>
      <w:pPr>
        <w:jc w:val="both"/>
        <w:ind w:left="660" w:hanging="328"/>
        <w:spacing w:after="0" w:line="248"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Meet the evidence standards necessary to be consistent with leading clinical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payors’ coverage decisions. In order to change clinical guidelines, tests must carry a high level of published evidence demonstrating analytical validity, clinical validity, clinical utility and cost-effectiveness. When studies with such evidence are published in peer-reviewed journals and demonstrate performance superior to standard of care testing, the authors of clinical guidelines may assess the level of evidence and determine whether modifying existing guidelines to include new technology is warranted.</w:t>
      </w:r>
    </w:p>
    <w:p>
      <w:pPr>
        <w:spacing w:after="0" w:line="120" w:lineRule="exact"/>
        <w:rPr>
          <w:rFonts w:ascii="Arial" w:cs="Arial" w:eastAsia="Arial" w:hAnsi="Arial"/>
          <w:sz w:val="18"/>
          <w:szCs w:val="18"/>
          <w:color w:val="auto"/>
        </w:rPr>
      </w:pPr>
    </w:p>
    <w:p>
      <w:pPr>
        <w:jc w:val="both"/>
        <w:ind w:left="660" w:hanging="328"/>
        <w:spacing w:after="0" w:line="247" w:lineRule="auto"/>
        <w:tabs>
          <w:tab w:leader="none" w:pos="67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Execute an internal managed care policy and claims adjudication function as part of our core business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We employ a</w:t>
      </w:r>
      <w:r>
        <w:rPr>
          <w:rFonts w:ascii="Arial" w:cs="Arial" w:eastAsia="Arial" w:hAnsi="Arial"/>
          <w:sz w:val="18"/>
          <w:szCs w:val="18"/>
          <w:i w:val="1"/>
          <w:iCs w:val="1"/>
          <w:color w:val="auto"/>
        </w:rPr>
        <w:t xml:space="preserve"> </w:t>
      </w:r>
      <w:r>
        <w:rPr>
          <w:rFonts w:ascii="Arial" w:cs="Arial" w:eastAsia="Arial" w:hAnsi="Arial"/>
          <w:sz w:val="18"/>
          <w:szCs w:val="18"/>
          <w:color w:val="auto"/>
        </w:rPr>
        <w:t>team of in-house claims processing and reimbursement specialists who work with patients and payors to obtain maximum reimbursement. In parallel, a managed care team collaborates with our reimbursement specialists to ensure our payor outreach strategy reacts to and anticipates the changing needs of our customer base. Overall, we work to address payors at the national level in addition to high-claim-volume regional payors we have identified based on our current territory coverage.</w:t>
      </w:r>
    </w:p>
    <w:p>
      <w:pPr>
        <w:spacing w:after="0" w:line="136" w:lineRule="exact"/>
        <w:rPr>
          <w:rFonts w:ascii="Arial" w:cs="Arial" w:eastAsia="Arial" w:hAnsi="Arial"/>
          <w:sz w:val="18"/>
          <w:szCs w:val="18"/>
          <w:color w:val="auto"/>
        </w:rPr>
      </w:pPr>
    </w:p>
    <w:p>
      <w:pPr>
        <w:jc w:val="both"/>
        <w:ind w:left="660" w:hanging="328"/>
        <w:spacing w:after="0" w:line="252" w:lineRule="auto"/>
        <w:tabs>
          <w:tab w:leader="none" w:pos="670" w:val="left"/>
        </w:tabs>
        <w:numPr>
          <w:ilvl w:val="0"/>
          <w:numId w:val="7"/>
        </w:numPr>
        <w:rPr>
          <w:rFonts w:ascii="Arial" w:cs="Arial" w:eastAsia="Arial" w:hAnsi="Arial"/>
          <w:sz w:val="18"/>
          <w:szCs w:val="18"/>
          <w:color w:val="auto"/>
        </w:rPr>
      </w:pPr>
      <w:r>
        <w:rPr>
          <w:rFonts w:ascii="Arial" w:cs="Arial" w:eastAsia="Arial" w:hAnsi="Arial"/>
          <w:sz w:val="18"/>
          <w:szCs w:val="18"/>
          <w:i w:val="1"/>
          <w:iCs w:val="1"/>
          <w:u w:val="single" w:color="auto"/>
          <w:color w:val="auto"/>
        </w:rPr>
        <w:t>Cultivate a network of key opinion leaders</w:t>
      </w:r>
      <w:r>
        <w:rPr>
          <w:rFonts w:ascii="Arial" w:cs="Arial" w:eastAsia="Arial" w:hAnsi="Arial"/>
          <w:sz w:val="18"/>
          <w:szCs w:val="18"/>
          <w:i w:val="1"/>
          <w:iCs w:val="1"/>
          <w:color w:val="auto"/>
        </w:rPr>
        <w:t xml:space="preserve">. </w:t>
      </w:r>
      <w:r>
        <w:rPr>
          <w:rFonts w:ascii="Arial" w:cs="Arial" w:eastAsia="Arial" w:hAnsi="Arial"/>
          <w:sz w:val="18"/>
          <w:szCs w:val="18"/>
          <w:color w:val="auto"/>
        </w:rPr>
        <w:t>Key opinion leaders are able to influence clinical practice by publishing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have contracts for reimbursement with a limited number of commercial payors, we are actively pursuing favorable medical policies and additional commercial payor contracts. When we contract to serve as a participating provider, reimbursements are made pursuant to a percentage of our charges or a negotiated fee schedule amount. For in-network and out-of-network claims for which we are not reimbursed in full (or receive a claim denial), we may elect to appeal the insurer’s underpayment (or denial of payment) or seek payment from the patient.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Validation</w:t>
      </w:r>
    </w:p>
    <w:p>
      <w:pPr>
        <w:spacing w:after="0" w:line="156"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86% specificity and 80% sensitivity in distinguishing SLE from other CTDs and fibromyalgia. Additionally, the results showed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was 33% more specific than ANA (53% specificity/89% sensitivity) and 48% more sensitive than anti-dsDNA (32% sensitivity/97% specificity).</w:t>
      </w:r>
    </w:p>
    <w:p>
      <w:pPr>
        <w:spacing w:after="0" w:line="12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We further demonstrated the clinical validity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for detection of probable SLE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CB-CAPs as a marker of complement activation in patients with pSLE and the usefulness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as a predictor of the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6" w:name="page17"/>
    <w:bookmarkEnd w:id="16"/>
    <w:p>
      <w:pPr>
        <w:jc w:val="both"/>
        <w:spacing w:after="0" w:line="219" w:lineRule="auto"/>
        <w:rPr>
          <w:sz w:val="20"/>
          <w:szCs w:val="20"/>
          <w:color w:val="auto"/>
        </w:rPr>
      </w:pPr>
      <w:r>
        <w:rPr>
          <w:rFonts w:ascii="Arial" w:cs="Arial" w:eastAsia="Arial" w:hAnsi="Arial"/>
          <w:sz w:val="18"/>
          <w:szCs w:val="18"/>
          <w:color w:val="auto"/>
        </w:rPr>
        <w:t>evolution of pSLE into classified SLE by the ACR criteria. Of the 92 pSLE patients, more pSLE were positive for CB-CAPs (28%) 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(40%) than for low complement (9%) at the enrollment visit (p=0.0001, for each) and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index score &gt;0.08 prospectively associated with the development from pSLE to SLE by ACR classification criteria within 18 months (hazard ratio = 3.11, p&lt;0.01).</w:t>
      </w:r>
    </w:p>
    <w:p>
      <w:pPr>
        <w:spacing w:after="0" w:line="1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addition of the novel T-Cell SLE biomarker panel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we demonstrated the clinical validity of T Cell-bound autoantibodies (TIgG and TIgM) and C4d-bound CD3+ T Cells (TC4d) in a multi-center clinical validation study of 400 clinically characterized patients. The study aimed to evaluate the panel’s performance in differentiating SLE from non-SLE autoimmune rheumatic diseases (ARDs) and healthy individuals. At 94–95% clinical specificity for SLE vs. healthy individuals, the sensitivity (95% CI) for SLE was 58.1% (48.1– 67.7%) for TC4d, 31.4% (22.7–41.2%) for TIgG, and 29.5% (21.0–39.2%) for TIgM. Notably, the T Cell biomarkers identified 19% of diagnosed SLE patients who were negative for all conventional SLE biomarkers and our CB-CAPs (EC4d and BC4d). Compared to conventional SLE biomarkers (anti-dsDNA, anti-Smith, and serum complement proteins C3 &amp; C4), the novel T Cell biomarkers demonstrated significantly greater sensitivity for SLE (64% vs. 41%; p &lt; 0.001, g = 0.6), with an associated odds ratio of 3.7 (95% CI: 4.9–98.8). These findings support the added clinical value of T Cell biomarkers in enhancing the sensitivity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for SLE.</w:t>
      </w:r>
    </w:p>
    <w:p>
      <w:pPr>
        <w:spacing w:after="0" w:line="6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addition of anti-RA33 autoantibodies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panel was supported by clinical validation data demonstrating their added sensitivity in seronegative RA patients clinically diagnosed with RA but testing negative for anti-CCP and Rheumatoid Factor (IgA/IgM). A study involving 651 clinically characterized subjects (290 RA patients, 261 ARD controls, and 100 healthy subjects) with diagnostic cutoffs established at 98% specificity for RA vs. healthy individuals and 95% specificity vs. ARDs, resulted in sensitivities for anti-RA33 IgA, IgG, and IgM of 6.0%, 6.2%, and 17.7%, respectively. Notably, 12% (13/109) of seronegative RA patients were positive for at least one anti-RA33 isotype, demonstrating their additive clinical value.</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an internal validation study of 377 clinically characterized subjects (101 seronegative RA, 60 seropositive RA, 143 ARDs, and 73 healthy controls), we established cutoffs at 95%, 96%, and 99% specificity for IgA, IgM, and IgG, respectively. The combined sensitivity in seronegative RA was 16%, with specificity exceeding 90% for RA vs. ARD controls, except for IgG in RA vs. SLE (85%) and IgA/IgM in RA vs. psoriatic arthritis (86%). Collectively, these findings support the inclusion of anti-RA33 autoantibodies in the RA sub-panel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comprehensive report.</w:t>
      </w:r>
    </w:p>
    <w:p>
      <w:pPr>
        <w:spacing w:after="0" w:line="12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latest addition of anti-PAD4 IgG and IgA antibodies provided further value in the management of RA patients. More specifically, anti-PAD4 autoantibodies have been linked to more erosive disease which in the case of RA is partly defined by the degree of irreversible changes occurring in affected joints. Additionally, anti-PAD4 autoantibodies have shown an association with interstitial lung disease, a potentially devastating comorbidity found in RA resulting in potential functional loss of the lungs and ultimately mortality. The addition of anti-PAD4 autoantibodies can aid in the prognosis or risk stratification for poor outcomes in RA and allow for more proactive disease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Utility</w:t>
      </w:r>
    </w:p>
    <w:p>
      <w:pPr>
        <w:spacing w:after="0" w:line="15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collaborated with both academic and community clinicians to demonstrate the clinical utility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tests in physician diagnosis, impact on patient management decisions, patient reported outcomes and health economics.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23"/>
          <w:szCs w:val="23"/>
          <w:color w:val="auto"/>
          <w:vertAlign w:val="superscript"/>
        </w:rPr>
        <w:t>®</w:t>
      </w:r>
    </w:p>
    <w:p>
      <w:pPr>
        <w:spacing w:after="0" w:line="234" w:lineRule="auto"/>
        <w:rPr>
          <w:sz w:val="20"/>
          <w:szCs w:val="20"/>
          <w:color w:val="auto"/>
        </w:rPr>
      </w:pPr>
      <w:r>
        <w:rPr>
          <w:rFonts w:ascii="Arial" w:cs="Arial" w:eastAsia="Arial" w:hAnsi="Arial"/>
          <w:sz w:val="18"/>
          <w:szCs w:val="18"/>
          <w:color w:val="auto"/>
        </w:rPr>
        <w:t>Lupus to rheumatologists. The results of this study were published in the Open Rheumatology Journal in 2016 and suggested that a positive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aids in the diagnosis of SLE versus standard diagnostic tests.</w:t>
      </w:r>
    </w:p>
    <w:p>
      <w:pPr>
        <w:spacing w:after="0" w:line="93"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standard diagnostic laboratory tests (SDLT). A total of 145 patients were enrolled across 32 sites between July 2017 and December 2018, with 73 patients enrolled in the SDLT group and 72 patients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The CARE study was published in September 2019 in Lupus Science &amp; Medicine. Results among patients who tested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(n=9) showed 44%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higher likelihood of SLE, compared with 9% in the SDLT group (p=0.127). Among patients who tested negative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(n=63), 60% in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had a lower likelihood of SLE, compared with 37% in the SDLT group (p=0.012).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group, a positive test result associated with an increase in patient-reported outcomes measuring health-related quality of life using five-level EQ-5D (EQ5D-5L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7" w:name="page18"/>
    <w:bookmarkEnd w:id="17"/>
    <w:p>
      <w:pPr>
        <w:jc w:val="both"/>
        <w:spacing w:after="0" w:line="287" w:lineRule="auto"/>
        <w:rPr>
          <w:sz w:val="20"/>
          <w:szCs w:val="20"/>
          <w:color w:val="auto"/>
        </w:rPr>
      </w:pPr>
      <w:r>
        <w:rPr>
          <w:rFonts w:ascii="Arial" w:cs="Arial" w:eastAsia="Arial" w:hAnsi="Arial"/>
          <w:sz w:val="18"/>
          <w:szCs w:val="18"/>
          <w:color w:val="auto"/>
        </w:rPr>
        <w:t>index score) from enrollment to visit two (p=0.028), and greater improvements were detectable when compared to the group of patients positive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randomized to the SDLT arm (p=0.049).</w:t>
      </w:r>
    </w:p>
    <w:p>
      <w:pPr>
        <w:spacing w:after="0" w:line="14"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auto"/>
        </w:rPr>
        <w:t>In July 2021, a real-world retrospective analysis of patients tested with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tested patients from 12 rheumatology centers across the United States provided clinical outcome data on diagnosis and treatment decisions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The study findings revealed a seven to 15-fold increased risk of Lupus diagnosis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relative to patients negative for both tests. In addition,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positive and anti-dsDNA negative patients were at three to four-fold increased odds, relative to patients testing negative for both tests, of starting a new HCQ (cornerstone therapy for Lupus) prescription following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testing. Collectively, the study results affirm earlier study findings demonstrating the superior clinical utility and actionability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standard diagnostic testing for the differential diagnosis of Lupus.</w:t>
      </w:r>
    </w:p>
    <w:p>
      <w:pPr>
        <w:spacing w:after="0" w:line="137"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can enable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Economics</w:t>
      </w:r>
    </w:p>
    <w:p>
      <w:pPr>
        <w:spacing w:after="0" w:line="15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October 2020, a study in collaboration with leading health economic experts was published in the journal ACR Open Rheumatology, titled "Evaluation of the Economic Benefit of Earlier SLE Diagnosis using a Multivariate Assay Panel (MAP)." This was the first ever evaluation of the economics of diagnosing SLE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(MAP) compared to standard diagnostic laboratory tests in a hypothetical cohort of 1,000 suspected SLE patients. Over the four-year time horizon,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demonstrated an estimated total direct cost savings of approximately $ 2.0 million ($ 1,991 per patient). In addition, the study findings from the economic model estimated a $0.7 million dollar savings in total cost of care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versus a conventional SLE biomarker testing approach, as a result of the increased diagnostic sensitivity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leading to fewer in-patient hospitalization costs. On a per tested basis,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estimated to reduce total cost of care by $655 per eligible patient in the first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Operations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13,000 square-foot laboratory located in Vista, California.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California and all states requiring out-of-state licensure, including the New York Department of Health (NYSDOH). Our clinical laboratory typically reports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results within five business days.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that our existing laboratory facility is adequate to meet our expected business needs for at least the next 12 months and that additional laboratory space will be available on commercially reasonable terms, if required.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Quality Assurance</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quality assurance function oversees the quality of our laboratory operations. We have established oversight for systems implementation and maintenance procedures, document control processes, supplier qualification, preventive and/or corrective actions and employee training processes that we believe achieve excellence in operations. We continuously monitor and improve our processes and procedures and believe this high-quality service leads to customer satisfaction and retention.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traditional methods used by healthcare providers to test patients with CTD-like symptoms are the main competitors of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Such traditional methods include testing for a broad range of diagnostic, immunology and chemistry biomarkers, such as ANA and anti-dsDNA, and serum complement biomarkers, such as C3 and C4. We 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Aqtual, Inc. Other potential competitors include companies that might develop diagnostic, disease or drug monitoring products, such as AMPEL BioSolutions, LLC; DxTerity Diagnostics, Inc.; Genalyte Inc.; Immunovia AB; Oncimmune Holdings plc; and Progentec Diagnostics Inc. In the future, we may also face competition from companies developing new products or technologies.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3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in addition to greater selling and marketing capabilities. Others may develop products with prices lower than ours or have preferred network status that could be viewed by rheumatologists and payors as functionally equivalent to our solution or offer solutions at prices designed to promote market penetration. If we are unable to change clinical practice in a meaningful way or compete successfully against current and future competitors, we may be unable to increase market acceptance and sales of our products, which could prevent us from increasing our revenue or achieving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2025, we had a total of 220 employees: 216 full-time employees and 4 part-time employees. This includes 59 in laboratory operations, 14 in research and development, 61 in sales and marketing and 82 in general and administrative functions. All of our employees are located in the United States, none of which are represented by a labor union or covered by a collective bargaining agreement. We consider relations with our employees to be good.</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retaining and expanding our workforce, as needed, to support our current pipeline and future business goals. By focusing on employee retention and engagement, we improve our ability to support our business operations and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efforts to ensure our employees' voices are heard.</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9" w:name="page20"/>
    <w:bookmarkEnd w:id="19"/>
    <w:p>
      <w:pPr>
        <w:jc w:val="both"/>
        <w:spacing w:after="0" w:line="252" w:lineRule="auto"/>
        <w:rPr>
          <w:sz w:val="20"/>
          <w:szCs w:val="20"/>
          <w:color w:val="auto"/>
        </w:rPr>
      </w:pPr>
      <w:r>
        <w:rPr>
          <w:rFonts w:ascii="Arial" w:cs="Arial" w:eastAsia="Arial" w:hAnsi="Arial"/>
          <w:sz w:val="18"/>
          <w:szCs w:val="18"/>
          <w:color w:val="auto"/>
        </w:rPr>
        <w:t>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Overview</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or other inventions that are important to the development of our business. We intend to seek patent protection for our research and development initiatives when and as appropriate. Our success will depend on our ability to obtain and maintain patent and other proprietary protection for commercially important technology, inventions and know-how related to our business. It will also depend on our ability to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for the diagnosis, prognosis and monitoring of autoimmune and autoimmune-related diseases. We intend to leverage the intellectual property surrounding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an important component of our business strategy.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Products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generally relates to three aspects: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platform and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As of February 9, 2026, our portfolio primarily consisted of the following: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AVISE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Lupus Platform</w:t>
      </w:r>
    </w:p>
    <w:p>
      <w:pPr>
        <w:spacing w:after="0" w:line="102"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own seven issued U.S. patents (US 10,132,813, US 11,360,099, US 11,531,033, US 11,761,965, US 11,885,812, US 12,372,535 and US 12,449,427) and two U.S. nonprovisional patent applications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These patents cover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algorithm. The patents expire between 2032 and 2034.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TC4d, TIgG and TIgM Biomarkers</w:t>
      </w:r>
    </w:p>
    <w:p>
      <w:pPr>
        <w:spacing w:after="0" w:line="15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licensed one issued patent (US 9,709,564) that relates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 A foreign patent was granted in Brazil (BR112017002575 2). These patents cover a method of specifically diagnosing SLE through the combined use of a CB-CAP bound to a t-cell along with t-cell autoantibodies. The U.S. patent expires in 2035.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1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own two patents that relate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product and methods for monitoring methotrexate therapy using red blood cell MTXPG exposure assessments. These patents include U.S. Patent Nos. 7,582,282 and 7,695,908, which are expected to expire in 2026 and 2027,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 and Processes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8"/>
          <w:szCs w:val="18"/>
          <w:color w:val="auto"/>
        </w:rPr>
        <w:t>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2011, we entered into an amended and restated exclusive license agreement (the UPitt License Agreement) with the University of Pittsburgh (UPitt), through which we obtained an exclusive license to UPitt’s patent rights in certain inventions (the UPitt Patent Rights) related to the use of CB-CAPs technology in the diagnosis, prognosis and monitoring of diseases, including certain patents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agreement, we were required to pay UPitt a low single-digit royalty on net sales of products or services that utilized the UPitt Patent Rights sold by us or our affiliates, subject to minimum annual royalty payments and other adjustment in certain circumstances. The UPitt License Agreement terminated on March 23, 2024, which was the date of the expiration of the last licensed patent covering the applicable licensed product or service, and our royalty obligations for cash collections related to each licensed product or service ended on such date.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Exclusive License Agreement with Allegheny Health Network Research Institute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2021, we entered into an exclusive license agreement with AHN, as amended in January 2025, under which we obtained an exclusive, worldwide license to AHN's patent rights in certain inventions (the AHN Patent Rights) related to diagnostics for autoimmune rheumatic diseases.</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U.S. government with respect to the AHN Patent Rights, including under a funding agreement between AHN and the U.S. government and under the Bayh-Dole Act of 1980 (Bayh-Dole Act) (35 U.S.C. §200, et seq.). Pursuant to the Bayh-Dole Act, the U.S. government may acquire a nonexclusive, nontransferable, paid-up license to practice or have practiced for or on behalf of the U.S. government the inventions described in the AHN Patent Rights throughout the world.</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AHN to cover past patent expenses and agreed to pay future direct patent costs related to AHN Patent Rights. We were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 commercialization, or the earlier termination of the agreement (excluding payment obligations accruing prior to such termination).</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event we sublicense any of the AHN Patent Rights, we are obligated to pay AHN a mid-double-digit percentage of any sublicense income, whether in the form of royalties or sub-license fees.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AHN Patent Rights. If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terminate the agreement upon 60-day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January 2025, we amended the amended and restated exclusive license agreement with AHN to include additional terms regarding the sale by us of certain combination products under the AHN Patent Rights. Under the amendment, we are required to pay AHN a nominal royalty on net sales of combination products utilizing the T-Cell Biomarkers under the AHN Patent Rights.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Exclusive License Agreement Johns Hopkins University</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November 2023, we entered into an exclusive license agreement with JHU, under which we obtained an exclusive, worldwide license to JHU’s patent rights in certain inventions (the JHU Patent Rights) related to methods of using urinary protein biomarkers as a means of risk stratifying lupus nephritis patients and predicting treatment response.</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the agreement, we are permitted to make, use, import, export, offer and sell products and services utilizing the JHU Patent Rights and to sublicense such rights, subject to certain limitations. JHU retained the right to practice under the JHU Patent Rights and to use such rights for teaching, research, education, public service, clinical and other research related purposes; in addition to make, use and sell products and services to a qualified humanitarian organization for humanitarian purposes in so-called “least developed countries,” as defined by the United Nations Country Classification.</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consideration for the rights granted to us under the agreement, we paid an initial license fee and past patent expenses and agreed to pay future direct patent costs related to the JHU Patent Rights. Under the terms of the exclusive license agreement, we are required to pay royalties in the low single-digits on net sales of products using the assigned patents, subject to annual minimums, as well as certain milestone payments.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event we sublicense any of the JHU Patent Rights, we are obligated to pay JHU a double-digit percentage of sublicensing income; however, royalties we receive on sales made by sublicensees will be treated as if we made the sale.</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JHU Patent Rights, and we have agreed to meet certain development and commercial milestones. JHU may terminate the agreement if we fail to develop, commercialize and sell the licensed products. Additionally, JHU may terminate the agreement for cause upon 60-day written notice in the event of our nonperformance of any of our material obligations under the agreement if such nonperformance remains uncured for a certain period of time following our receipt of written notice of such nonperformance or in the event of insolvency. JHU may terminate the agreement immediately upon written notice to us in the event of a material breach that is incapable of cure. Absent early termination, the agreement will continue for the longer of (i) expiration of the last to expire patent included in the license agreement, (ii) 10 years after the first commercial sale of any licensed product utilizing the JHU Patent Rights, or (iii) if no patents issue, 20 years from the effective date of the agreement (November 8, 2023). We may terminate the agreement upon 90 days’ advance written notice to JHU.</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clinical laboratory, we are required to hold certain federal, state and local licenses, certifications and permits to conduct our business.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Vista facility also holds a state license issued by the California Department of Public Health (DPH). California law and regulations establish standards for the day-to-day operation of a clinical laboratory, including the training</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2" w:name="page23"/>
    <w:bookmarkEnd w:id="22"/>
    <w:p>
      <w:pPr>
        <w:spacing w:after="0" w:line="271" w:lineRule="auto"/>
        <w:rPr>
          <w:sz w:val="20"/>
          <w:szCs w:val="20"/>
          <w:color w:val="auto"/>
        </w:rPr>
      </w:pPr>
      <w:r>
        <w:rPr>
          <w:rFonts w:ascii="Arial" w:cs="Arial" w:eastAsia="Arial" w:hAnsi="Arial"/>
          <w:sz w:val="18"/>
          <w:szCs w:val="18"/>
          <w:color w:val="auto"/>
        </w:rPr>
        <w:t>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Because we receive specimens from New York, our Vista facility is also required to be licensed by the NYSDOH New York laws and regulations establish standards in a variety of operational areas, including:</w:t>
      </w:r>
    </w:p>
    <w:p>
      <w:pPr>
        <w:spacing w:after="0" w:line="10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day-to-day operation of the laboratory, including training, supervision and skill levels required of laboratory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physical requirements of a facility;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equipment;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validation and quality control.</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New York law also mandates proficiency testing for licensed laboratories, regardless of whether such laboratories are located in or outside of New York. New York's laws and regulations are more stringent than CLIA in certain respects. For example, NYSDOH must approve a laboratory developed test (LDT) before it is offered in New York. We have received written approval from NYSDOH to offer our products in New York.</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a laboratory is out of compliance with New York's statutory or regulatory standards, the NYSDOH may suspend, limit, revoke or annul the laboratory’s New York license, censure the holder of the license or assess civil money penalties. Statutory or regulatory noncompliance may result in a laboratory’s operator being found guilty of a misdemeanor under New York law.</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Oversight of Laboratory Developed Tests and Certain Devices</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they are safe and effective for their intended uses. In addition, the FDA regulates the export of medical devices manufactured in the United States to international markets. Many of the instruments, reagents, kits or other consumable products used within our laboratories are regulated as medical devices, and therefore, our vendors that supply such regulated products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Some low-risk Class II devices are exempted from this requirement. When a 510(k) premarket notification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18"/>
          <w:szCs w:val="18"/>
          <w:color w:val="auto"/>
        </w:rPr>
        <w:t>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Class III devices, are subject to general controls, such as registration and listing, quality system, labeling, and reporting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After the FDA permits a device to enter commercial distribution, numerous regulatory requirements apply. These include:</w:t>
      </w:r>
    </w:p>
    <w:p>
      <w:pPr>
        <w:spacing w:after="0" w:line="171" w:lineRule="exact"/>
        <w:rPr>
          <w:sz w:val="20"/>
          <w:szCs w:val="20"/>
          <w:color w:val="auto"/>
        </w:rPr>
      </w:pPr>
    </w:p>
    <w:p>
      <w:pPr>
        <w:ind w:left="660" w:hanging="328"/>
        <w:spacing w:after="0" w:line="27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Management System Regulation (QMSR), which requires manufacturers to follow elaborate design, testing, control, documentation and other quality assurance procedures during the manufacturing process; labeling regulations;</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labeling and advertising regulations, which prohibit the promotion of FDA-regulated products for uncleared or unapproved, or "off-label," uses; and</w:t>
      </w:r>
    </w:p>
    <w:p>
      <w:pPr>
        <w:spacing w:after="0" w:line="8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QMSR became effective as of February 2, 2026 and replaced the former Quality System Regulation (QSR). The agency promulgated the QMSR to harmonize its medical device current good manufacturing practice regulations with the International Organization for Standardization standard for device quality management systems (ISO 13485:2016).</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FDA has broad post-market and regulatory and enforcement powers, including facility inspections and market surveillance. Any failure by a medical device manufacturer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3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Although the FDA has statutory authority to assure that medical devices, including IVDs, are safe and effective for their intended uses, the agency had historically exercised its enforcement discretion and not enforced applicable device regulations with respect to LDTs, which are IVDs that are designed, manufactured and used within a single high-complexity CLIA-certified laboratory. As LDTs increased in complexity over recent decades, the FDA took a risk-based approach to their regulation, while Congress also signaled interest in clarifying the regulatory landscape for LDTs. However, following several years of inaction by Congress on this issue, the FDA issued a final rule in May 2024 to regulate LDTs under the existing medical device framework and to phase out the agency’s longstanding enforcement discretion policy; the final rule became effective on July 5, 2024 and was expected to begin entering into force against non-exempt “LDT manufacturers” in May 2025.</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issuance of the LDT final rule, the American Clinical Laboratory Association (ACLA) and one of its members, as well as the Association for Molecular Pathology (AMP) and one of its members, to file complaints against the FDA in the Eastern District of Texas and the Southern District of Texas, respectively. Both complaints alleged that the agency did not have authority to promulgate the LDT final rule and sought to vacate the FDA’s action; the two cases were subsequently consolidated into a single action. On March 31, 2025, the U.S. District Court for the Eastern District of Texas vacated the final rule in its entirety and remanded the matter to the FDA, holding that the rule exceeded the agency’s authority under the FDCA. The FDA did not appeal the decision. As a result, the phase-in deadlines established by the rule are no longer operative, and in September 2025 the FDA implemented the court’s vacatur of the final rule with a formal public notice.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court’s decision striking down the final rule reduces the immediate regulatory burden for laboratories such as ours. However, uncertainty remains regarding the future of federal oversight in this area, as Congress could enact new legislation establishing a statutory framework for regulating all IVDs, including LDTs. Affected stakeholders continue to press for a comprehensive legislative solution to create a harmonized regulatory framework for oversight of LDTs by both the FDA and CMS.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though we believe that all of our AVISE® test products, and our near-term pipeline candidate tests, are LDTs and we presently commercialize them accordingly, the FDA may determine that any of our marketed tests is a</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regulated IVD rather than an LDT, meaning that we and such test would become subject to more onerous regulation by the FDA. Alternatively, we and our test products may become subject to regulation by the FDA, including premarket authorization requirements, if and when Congress passes legislation granting the FDA regulatory authority over LDTs.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of Laboratory Services or LDTs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Advertising for laboratory services and diagnostic testing products is subject to federal truth-in-advertising laws enforced by the Federal Trade Commission (FTC), as well as comparable state consumer protection laws, regardless of whether the product or service is regulated as a medical device or LDT. Under the Federal Trade Commission Act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of 1933 (PORA), and other comparable state laws. The Stark Law generally prohibits us from billing Medicare or Medicaid for certain designated health services, including clinical laboratory services, when the physician ordering the service, or any member of such physician’s immediate family, has a financial relationship with us, unless the arrangement meets an exception to the prohibition. A financial relationship can be a compensation arrangement with or an ownership or investment interest in the laboratory.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1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refund of amounts collected in violation of the Stark Law;</w:t>
      </w:r>
    </w:p>
    <w:p>
      <w:pPr>
        <w:spacing w:after="0" w:line="171" w:lineRule="exact"/>
        <w:rPr>
          <w:rFonts w:ascii="Arial" w:cs="Arial" w:eastAsia="Arial" w:hAnsi="Arial"/>
          <w:sz w:val="18"/>
          <w:szCs w:val="18"/>
          <w:color w:val="auto"/>
        </w:rPr>
      </w:pPr>
    </w:p>
    <w:p>
      <w:pPr>
        <w:jc w:val="both"/>
        <w:ind w:left="660" w:right="20" w:hanging="328"/>
        <w:spacing w:after="0" w:line="253" w:lineRule="auto"/>
        <w:tabs>
          <w:tab w:leader="none" w:pos="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penalties of up to three times the amounts assessed for each item or service wrongfully claimed;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Stark Law applies regardless of the intent of the parties or the reasons for the financial relationship and the referral. In addition, violations of the Stark Law may also serve as the basis for liability under the federal False Claims Act, which can result in additional civil penalties.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Similarly, PORA makes it unlawful for a physician or certain other healing arts licensees to refer a person for certain healthcare services, including clinical laboratory services, if the licensee or their immediate family member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Anti-Kickback Laws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5" w:name="page26"/>
    <w:bookmarkEnd w:id="25"/>
    <w:p>
      <w:pPr>
        <w:jc w:val="both"/>
        <w:spacing w:after="0" w:line="261" w:lineRule="auto"/>
        <w:rPr>
          <w:sz w:val="20"/>
          <w:szCs w:val="20"/>
          <w:color w:val="auto"/>
        </w:rPr>
      </w:pPr>
      <w:r>
        <w:rPr>
          <w:rFonts w:ascii="Arial" w:cs="Arial" w:eastAsia="Arial" w:hAnsi="Arial"/>
          <w:sz w:val="18"/>
          <w:szCs w:val="18"/>
          <w:color w:val="auto"/>
        </w:rPr>
        <w:t>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or exception, it is deemed to comply with the Anti-Kickback Statute, and the parties are immune from prosecution. An arrangement must fully comply with each element of an applicable safe harbor in order to qualify for protection.</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Failure to meet the requirements of an exception or a safe harbor does not render an arrangement illegal. Rather, the government may evaluate such arrangements on a case-by-case basis, taking into account all facts and circumstances.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and State Healthcare Laws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requirements discussed above, several other healthcare fraud and abuse laws could affect our business. For example, federal law permits the U.S. Department of Health and Human Services (HHS) Office of Inspector General (OIG),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qui tam provisions. Because the complaint in a qui tam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in payment of up to three times the actual damages sustained by the government, plus significant per-claim civil penalties, as well as mandatory exclusion from government healthcare programs, and the OIG may request that the defendant enter into a Corporate Integrity Agreement that imposes compliance-related obligations. Several states, including California, have enacted comparable false claims laws that may apply regardless of payor.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6" w:name="page27"/>
    <w:bookmarkEnd w:id="26"/>
    <w:p>
      <w:pPr>
        <w:jc w:val="both"/>
        <w:spacing w:after="0" w:line="244" w:lineRule="auto"/>
        <w:rPr>
          <w:sz w:val="20"/>
          <w:szCs w:val="20"/>
          <w:color w:val="auto"/>
        </w:rPr>
      </w:pPr>
      <w:r>
        <w:rPr>
          <w:rFonts w:ascii="Arial" w:cs="Arial" w:eastAsia="Arial" w:hAnsi="Arial"/>
          <w:sz w:val="18"/>
          <w:szCs w:val="18"/>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1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noted, a person who offers or provides to a Medicare or Medicaid beneficiary any remuneration, including waivers of co-payments, co-insurance and deductible amounts (or any part thereof), that the person knows or should know is likely to influence the beneficiary’s selection of a particular provider, practitioner or supplier of Medicare or Medicaid payable items or services may be held liable under the CMP Law. Moreover, in certain cases, providers who routinely waive amounts owed by federal healthcare program beneficiaries can also be held liable under the Anti-Kickback Statute and the federal False Claims Act. One of the exceptions to the prohibition under the CMP Law covers non-routine, unadvertised waivers of copayments or deductible amounts based on individualized determinations of financial need or exhaustion of reasonable collection efforts, and the Anti-Kickback Statute has a safe harbor. The OIG has emphasized in guidance documents that this exception should only be used on a case-by-case basis to address the financial needs of each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Federal criminal statutes prohibit, among other actions, knowingly and willfully executing, or attempting to execute, a scheme to defraud any healthcare benefit program, including those administered by commercial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advanced non-physician healthcare practitioners (such as nurse practitioners), and teaching hospitals, as well as ownership and investment interests held by physicians and their immediate family members. Any failure to comply with these reporting requirements could result in significant fines and penalties. Because we manufacture our own in vitro diagnostic tests solely for use by or within our own laboratory, we believe that we are exempt from these reporting requirements. We may become subject to such reporting requirements under the terms of current CMS regulations, however, if the FDA requires us to obtain marketing authorizations for our diagnostic tests as medical devices (because the agency determines that one or more of such tests do not fall within the scope of the agency’s existing LDT definition) or Congress enacts legislative reforms to the federal oversight of LDTs to subject them to FDA regulation and/or the reporting requirements of the Sunshine Act. Certain states also require medical device manufacturers to maintain compliance programs and/or be licensed as manufacturers or distributors by a state professional board or health department.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that require the party that performed the service to bill for the service, with certain exceptions.</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healthcare regulatory laws that apply to us, we may be subject to penalties, including potentially significant criminal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7" w:name="page28"/>
    <w:bookmarkEnd w:id="27"/>
    <w:p>
      <w:pPr>
        <w:jc w:val="both"/>
        <w:spacing w:after="0" w:line="261" w:lineRule="auto"/>
        <w:rPr>
          <w:sz w:val="20"/>
          <w:szCs w:val="20"/>
          <w:color w:val="auto"/>
        </w:rPr>
      </w:pPr>
      <w:r>
        <w:rPr>
          <w:rFonts w:ascii="Arial" w:cs="Arial" w:eastAsia="Arial" w:hAnsi="Arial"/>
          <w:sz w:val="18"/>
          <w:szCs w:val="18"/>
          <w:color w:val="auto"/>
        </w:rPr>
        <w:t>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market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 Additionally, 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 Laws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Data Privacy and Security Laws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Administrative Simplification provisions of the federal Health Insurance Portability and Accountability Act of 1996 (HIPAA), as amended by the federal Health Information Technology for Economic and Clinical Health Act (HITECH) the U.S. Department of HHS has issued regulations that established comprehensive federal standards for the privacy and security of health information. HITECH,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HIPAA security standards require the adoption of administrative, physical, and technical safeguards and the adoption of written security policies and procedures to maintain the security of PHI. Also, federal agencies are increasing their focus on the importance of cybersecurity in protecting health information. For example, HHS outlined its cybersecurity strategy for the health care sector on December 6, 2023, which builds on a national strategy published by the White House on March 1, 2023, and on February 16, 2024, the HHS Office for Civil Rights (OCR) and the National Institute of Standards and Technology (NIST) announced the publication of a cybersecurity resource guide for implementing HIPAA.</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HIPAA privacy regulations address the privacy of PHI by limiting the use and release of such information. They also set forth certain rights that an individual has with respect to an individual’s PHI maintained by a covered entity, including the right to access or amend certain records containing PHI, request an accounting of disclosures of PHI, and to request restrictions on the use or disclosure of PHI. The HIPAA breach notification regulations impose certain reporting requirements on Covered Entities and their Business Associates in the event of a breach of PHI.</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Covered Entities must report breaches of PHI that has not been encrypted or otherwise secured in accordance with guidance from the Secretary of HHS (the Secretary). Breaches must be reported as soon as reasonably practicable, but no later than sixty days following discovery of the breach. Reports must be made to affected individuals, the Secretary, and depending on the size of the breach, the local and national media. Covered Entities like us are also subject to the HHS HIPAA audit program and may be investigated in connection with a privacy or data security complaint.</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Significant civil and criminal fines and other penalties may be imposed for violating HIPAA directly, and in connection with acts or omissions of any agents, including downstream business associates, as determined according to the federal common law of agency. Penalties for failure to comply with a requirement of HIPAA and HITECH vary significantly depending on the failure and include civil monetary penalties of up to approximately $2.1 million per violation of the same requirement per calendar year (as of August 8, 2024, subject to annual inflation adjustments). A single breach incident can violate multiple requirements, resulting in potential penalties in excess of $2.1 million. Additionally, a person who knowingly obtains or discloses individually identifiable health information in violation 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8"/>
          <w:szCs w:val="18"/>
          <w:color w:val="auto"/>
        </w:rPr>
        <w:t>HIPAA may face a criminal penalty of up to $ 50,000 and up to one year of imprisonment. These criminal penalties increase if the wrongful conduct involves false pretenses or the intent to sell, transfer or use identifiable health information for commercial advantage, personal gain, or malicious harm. Covered Entities are also subject to enforcement by state Attorneys General who were given authority to enforce HIPAA.</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Further, to the extent that we submit electronic healthcare claims and payment transactions that do not comply with the transaction standards established under HIPAA and HITECH, payments to us may be delayed or denied.</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Even when HIPAA does not apply, according to the FTC, failing to take appropriate steps to keep consumers’ personal information secure constitutes unfair or deceptive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CMIA, California adopted the California Consumer Privacy Act of 2018 (CCPA), which went into effect January 1, 2020. The CCPA, among other things, created new data privacy obligations for covered companies and provides new privacy rights to California residents, including the right to opt out of certain disclosures of their information. It also created individual privacy rights for California consumers and increased the privacy and security obligations of entities handling certain categories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Many other states have enacted, or are considering enacting, their own omnibus consumer privacy laws similar to the CCPA, all of which increases the complexity of compliance and the risk of failures to comply.</w:t>
      </w:r>
    </w:p>
    <w:p>
      <w:pPr>
        <w:spacing w:after="0" w:line="13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Numerous other federal and state laws, including consumer protection laws and regulations, govern the collection, dissemination, use, access to, confidentiality and security of patient health information. For example, Washington state recently enacted the “My Health My Data” Act which regulates a broad category called “consumer health data,” defined as “personal information that is linked or reasonably linkable to a consumer and that identifies a consumer’s past, present, or future physical or mental health.” Notably, the “My Health My Data” Act contains a private right of action, which is expected to increase litigation.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8"/>
          <w:szCs w:val="18"/>
          <w:color w:val="auto"/>
        </w:rPr>
        <w:t>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8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Many states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 In addition, the interpretation and application of consumer, health-related, and data protection laws are often uncertain, contradictory, and in flux. For example, increasing concerns about health information privacy have recently prompted the federal government to issue guidance, taking a newly expansive view of the scope of the laws and regulations that they enforce. The applicability and requirements of these laws and penalties for violations vary widely. Failure to maintain compliance, or changes in state or federal laws regarding privacy or security, could result in civil and/or criminal penalties and damages and could have a material adverse effect on our business.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Also, more than thirty states regulate AI or are considering proposed legislation that would regulate AI. Generally, such regulations aim to protect individuals such as consumers, employees, and/or job applicants from bias, discrimination, and invasion of privacy and to promote transparency with respect to use of AI by companies.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Blocking Rules</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which took effect in 2021. We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"disincentives" for violations of the Information Blocking Rule. HHS and ONC released a final rule establishing disincentives for health care providers that have committed information blocking on June 24, 2024, potentially affecting certain providers’ eligibility in the Medicare Promoting Interoperability Program and Medicare Shared Savings Program. HHS indicated it may establish additional health care provider disincentives in future rulemaking.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GDPR and Foreign Laws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United States, Europe and elsewhere are often uncertain, contradictory and in flux. In Europe, the General Data Protection Regulation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pseudonymized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(EU), and European Economic Area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Court of Justice of the EU invalidated the Privacy Shield when it decided the case Maximilian Schrems vs. Facebook (Case C-311-18), known as “Schrems II.” However, on July 10, 2023, the European Commission adopted an adequacy decision for a new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0" w:name="page31"/>
    <w:bookmarkEnd w:id="30"/>
    <w:p>
      <w:pPr>
        <w:jc w:val="both"/>
        <w:spacing w:after="0" w:line="243" w:lineRule="auto"/>
        <w:rPr>
          <w:sz w:val="20"/>
          <w:szCs w:val="20"/>
          <w:color w:val="auto"/>
        </w:rPr>
      </w:pPr>
      <w:r>
        <w:rPr>
          <w:rFonts w:ascii="Arial" w:cs="Arial" w:eastAsia="Arial" w:hAnsi="Arial"/>
          <w:sz w:val="18"/>
          <w:szCs w:val="18"/>
          <w:color w:val="auto"/>
        </w:rPr>
        <w:t>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Schrems II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and uncertainty surrounding the continuing independence of the redress mechanism in the United States could lead the EU to revisit or withdraw its adequacy decision.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with the U.K. GDPR sits alongside the amended U.K. Data Protection Act 2018, retains the GDPR in U.K. national law. Under the U.K. GDPR, companies not established in the United Kingdom but who process personal data in relation to the offering of goods or services to individuals in the United Kingdom, or to monitor their behavior will be subject to the U.K. GDPR—the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was subsequently extended on December 19, 2025 through December 27, 2031, that the United Kingdom ensures an adequate level of protection for personal data transferred under the EU GDPR from the EU to the United Kingdom.</w:t>
      </w:r>
    </w:p>
    <w:p>
      <w:pPr>
        <w:spacing w:after="0" w:line="139" w:lineRule="exact"/>
        <w:rPr>
          <w:sz w:val="20"/>
          <w:szCs w:val="20"/>
          <w:color w:val="auto"/>
        </w:rPr>
      </w:pPr>
    </w:p>
    <w:p>
      <w:pPr>
        <w:ind w:right="5040"/>
        <w:spacing w:after="0" w:line="422" w:lineRule="auto"/>
        <w:rPr>
          <w:sz w:val="20"/>
          <w:szCs w:val="20"/>
          <w:color w:val="auto"/>
        </w:rPr>
      </w:pPr>
      <w:r>
        <w:rPr>
          <w:rFonts w:ascii="Arial" w:cs="Arial" w:eastAsia="Arial" w:hAnsi="Arial"/>
          <w:sz w:val="18"/>
          <w:szCs w:val="18"/>
          <w:b w:val="1"/>
          <w:bCs w:val="1"/>
          <w:color w:val="auto"/>
        </w:rPr>
        <w:t xml:space="preserve">Billing and Government Reimbursement for Clinical Laboratory Services </w:t>
      </w:r>
      <w:r>
        <w:rPr>
          <w:rFonts w:ascii="Arial" w:cs="Arial" w:eastAsia="Arial" w:hAnsi="Arial"/>
          <w:sz w:val="18"/>
          <w:szCs w:val="18"/>
          <w:i w:val="1"/>
          <w:iCs w:val="1"/>
          <w:color w:val="auto"/>
        </w:rPr>
        <w:t>Medicare</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Medicare coverage is limited to items and services within the scope of a Medicare benefit category that are reasonable and necessary for the diagnosis or treatment of an illness or injury. With respect to Medicare coverage, Palmetto GBA, the Medicare Administrative Contractor (MAC) responsible for administering Medicare’s molecular diagnostic services program (MolDX Program), issued a Local Coverage Determination (LCD) that provides coverage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test. The MAC responsible for administering Medicare claims submitted by our laboratory, Noridian Healthcare Solutions (Noridian), has adopted Palmetto’s positive coverage policy, along with a related local coverage article that identifies a unique billing identifier for this test.</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Medicare, payment for our laboratory tests is generally made under the Clinical Laboratory Fee Schedule (CLFS) with payment amounts assigned to specific procedure billing codes. In April 2014, Congress passed the Protecting Access to Medicare Act (PAMA), which substantially changed the way in which Medicare sets the payment amounts for clinical laboratory services. Under PAMA, laboratories that receive the majority of their Medicare revenue from payments made under the CLFS or the Physician Fee Schedule (PFS) are required to report to CMS, beginning in 2017 and every three years thereafter (or annually for "advanced diagnostic laboratory tests" (ADLTs)),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(CDLTs) are based upon these reported private payor rates. For CDLTs assigned a new or substantially revised Current Procedural Terminology (CPT), because there is no comparable existing CDLT, CMS will set the initial payment rates using the gap-fill methodology, as under prior law. Initial payment rates for new ADLTs will be based on the actual list charge. Any reductions to payment rates resulting from the new methodology are limited to up to 10% per test per year in each of the years 2018 through 2020. As noted below, federal law has delayed implementation of further reductions through 2026, after which time the reduction cap may rise to 15% per test per year. PAMA did not impact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2025 compared to levels experienced in 2024. Additionally, we do not expect PAMA and changes to the PFS to have a significant impact to Medicare reimbursement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2026 compared to levels experienced in 2025.</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December 2019, Congress has passed a series of laws to modify PAMA’s statutory requirements related to the data reporting period and phase-in of payment reductions under the CLFS or CDLTs that are not ADLTs. Most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1" w:name="page32"/>
    <w:bookmarkEnd w:id="31"/>
    <w:p>
      <w:pPr>
        <w:jc w:val="both"/>
        <w:spacing w:after="0" w:line="247" w:lineRule="auto"/>
        <w:rPr>
          <w:sz w:val="20"/>
          <w:szCs w:val="20"/>
          <w:color w:val="auto"/>
        </w:rPr>
      </w:pPr>
      <w:r>
        <w:rPr>
          <w:rFonts w:ascii="Arial" w:cs="Arial" w:eastAsia="Arial" w:hAnsi="Arial"/>
          <w:sz w:val="18"/>
          <w:szCs w:val="18"/>
          <w:color w:val="auto"/>
        </w:rPr>
        <w:t>recently, on February 3, 2026, Section 6226 of the Continuing Appropriations Act, 2026, further delayed data reporting requirements for CDLTs that are not ADLTs as well as the phase-in of payment reductions. The next data reporting period for CDLTs that are not ADLTs will be from May 1, 2026 through July 31, 2026, and will be based on an updated data collection period of January 1, 2025 through June 30, 2025, relieving reporting companies from the burden of reporting 2019 data. After this data reporting period, the three-year data reporting cycle for these tests will resume (e.g., 2028, 2031, etc.).</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same series of laws modified the phase-in of payment reductions resulting from private payor rate implementation so that a 0.0% reduction limit was applied for calendar years (CYs) 2021 through 2025, as compared to the payment amounts for a test the preceding year. The Continuing Appropriations Act, 2026, further applied a 0.0% reduction limit for CY 2026. Consequently, payment may not be reduced by more than 15% per year from January 31, 2027 through December 31, 2028 as compared to the payment amounts established for a test the prior year.</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PAMA also authorized the adoption of new, temporary billing codes and unique test identifiers for FDA-cleared or approved tests, as well as ADLTs. The American Medical Association's (AMA) CPT Editorial Panel approved a proposal to create a new section of billing codes called Proprietary Laboratory Analyses (PLA) codes, to facilitate implementation of this section of PAMA. The AMA publishes approved codes on a quarterly basis.</w:t>
      </w:r>
    </w:p>
    <w:p>
      <w:pPr>
        <w:spacing w:after="0" w:line="13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parties, such as commercial payors,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Failing to bill timely or correctly may have negative consequences for us, such as not being reimbursed for our services or experiencing an increase in the aging of our accounts receivable, which could adversely impact our results of operations and cash flows. Failure to comply with applicable laws relating to billing federal healthcare programs could also lead to various penalties, including:</w:t>
      </w:r>
    </w:p>
    <w:p>
      <w:pPr>
        <w:spacing w:after="0" w:line="12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overpayments and recoupments of reimbursement received;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exclusion from participation in Medicare/Medicaid programs;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asset forfeitures;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and criminal fines and penalties;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various licenses, certificates and authorizations necessary to operate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Regulatory Requirements</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laboratory is subject on an ongoing basis to federal, state and local laws and regulations governing the use, storage, handling and disposal of regulated medical waste, hazardous waste and biohazardous waste, including 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Since inception, we have disposed of all hazardous and/or medical waste that we produced across our entire business through environmentally sound methods.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Information About Our Executive Officers and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persons currently serve as our executive officers and directors: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Executive Officers and Directors</w:t>
            </w:r>
          </w:p>
        </w:tc>
        <w:tc>
          <w:tcPr>
            <w:tcW w:w="7780" w:type="dxa"/>
            <w:vAlign w:val="bottom"/>
            <w:tcBorders>
              <w:bottom w:val="single" w:sz="8" w:color="auto"/>
            </w:tcBorders>
          </w:tcPr>
          <w:p>
            <w:pPr>
              <w:ind w:left="3640"/>
              <w:spacing w:after="0"/>
              <w:rPr>
                <w:sz w:val="20"/>
                <w:szCs w:val="20"/>
                <w:color w:val="auto"/>
              </w:rPr>
            </w:pPr>
            <w:r>
              <w:rPr>
                <w:rFonts w:ascii="Arial" w:cs="Arial" w:eastAsia="Arial" w:hAnsi="Arial"/>
                <w:sz w:val="18"/>
                <w:szCs w:val="18"/>
                <w:b w:val="1"/>
                <w:bCs w:val="1"/>
                <w:color w:val="auto"/>
              </w:rPr>
              <w:t>Position</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w w:val="99"/>
              </w:rPr>
              <w:t>Executive Officers</w:t>
            </w:r>
          </w:p>
        </w:tc>
        <w:tc>
          <w:tcPr>
            <w:tcW w:w="198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John Aballi</w:t>
            </w:r>
          </w:p>
        </w:tc>
        <w:tc>
          <w:tcPr>
            <w:tcW w:w="778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G. Black</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and Corporate Secretary</w:t>
            </w:r>
          </w:p>
        </w:tc>
      </w:tr>
      <w:tr>
        <w:trPr>
          <w:trHeight w:val="270"/>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34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Directors</w:t>
            </w:r>
          </w:p>
        </w:tc>
        <w:tc>
          <w:tcPr>
            <w:tcW w:w="77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Tina Nova, Ph.D.</w:t>
            </w:r>
          </w:p>
        </w:tc>
        <w:tc>
          <w:tcPr>
            <w:tcW w:w="7780" w:type="dxa"/>
            <w:vAlign w:val="bottom"/>
          </w:tcPr>
          <w:p>
            <w:pPr>
              <w:ind w:left="220"/>
              <w:spacing w:after="0"/>
              <w:rPr>
                <w:sz w:val="20"/>
                <w:szCs w:val="20"/>
                <w:color w:val="auto"/>
              </w:rPr>
            </w:pPr>
            <w:r>
              <w:rPr>
                <w:rFonts w:ascii="Arial" w:cs="Arial" w:eastAsia="Arial" w:hAnsi="Arial"/>
                <w:sz w:val="18"/>
                <w:szCs w:val="18"/>
                <w:color w:val="auto"/>
              </w:rPr>
              <w:t>Executive Chairman of the Board of Directors</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Ana Hooker</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Vice President, Chief Laboratory Officer, Exact Sciences Corporation</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Scott Kahn, Ph.D.</w:t>
            </w:r>
          </w:p>
        </w:tc>
        <w:tc>
          <w:tcPr>
            <w:tcW w:w="7780" w:type="dxa"/>
            <w:vAlign w:val="bottom"/>
          </w:tcPr>
          <w:p>
            <w:pPr>
              <w:ind w:left="220"/>
              <w:spacing w:after="0"/>
              <w:rPr>
                <w:sz w:val="20"/>
                <w:szCs w:val="20"/>
                <w:color w:val="auto"/>
              </w:rPr>
            </w:pPr>
            <w:r>
              <w:rPr>
                <w:rFonts w:ascii="Arial" w:cs="Arial" w:eastAsia="Arial" w:hAnsi="Arial"/>
                <w:sz w:val="18"/>
                <w:szCs w:val="18"/>
                <w:color w:val="auto"/>
              </w:rPr>
              <w:t>Director, Rady Children's Institute for Genomic Medicine</w:t>
            </w: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Kim</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Fulgent Genetics, Inc.</w:t>
            </w: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Bruce Robertson, Ph.D.</w:t>
            </w:r>
          </w:p>
        </w:tc>
        <w:tc>
          <w:tcPr>
            <w:tcW w:w="7780" w:type="dxa"/>
            <w:vAlign w:val="bottom"/>
          </w:tcPr>
          <w:p>
            <w:pPr>
              <w:ind w:left="220"/>
              <w:spacing w:after="0"/>
              <w:rPr>
                <w:sz w:val="20"/>
                <w:szCs w:val="20"/>
                <w:color w:val="auto"/>
              </w:rPr>
            </w:pPr>
            <w:r>
              <w:rPr>
                <w:rFonts w:ascii="Arial" w:cs="Arial" w:eastAsia="Arial" w:hAnsi="Arial"/>
                <w:sz w:val="18"/>
                <w:szCs w:val="18"/>
                <w:color w:val="auto"/>
              </w:rPr>
              <w:t>Managing Director, H.I.G Capital, LLC</w:t>
            </w: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Stokes</w:t>
            </w:r>
          </w:p>
        </w:tc>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 Castle Biosciences, Inc.</w:t>
            </w:r>
          </w:p>
        </w:tc>
      </w:tr>
      <w:tr>
        <w:trPr>
          <w:trHeight w:val="239"/>
        </w:trPr>
        <w:tc>
          <w:tcPr>
            <w:tcW w:w="2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Chas McKhann</w:t>
            </w:r>
          </w:p>
        </w:tc>
        <w:tc>
          <w:tcPr>
            <w:tcW w:w="7780" w:type="dxa"/>
            <w:vAlign w:val="bottom"/>
          </w:tcPr>
          <w:p>
            <w:pPr>
              <w:ind w:left="220"/>
              <w:spacing w:after="0"/>
              <w:rPr>
                <w:sz w:val="20"/>
                <w:szCs w:val="20"/>
                <w:color w:val="auto"/>
              </w:rPr>
            </w:pPr>
            <w:r>
              <w:rPr>
                <w:rFonts w:ascii="Arial" w:cs="Arial" w:eastAsia="Arial" w:hAnsi="Arial"/>
                <w:sz w:val="18"/>
                <w:szCs w:val="18"/>
                <w:color w:val="auto"/>
              </w:rPr>
              <w:t>Senior Advisor, McKinsey &amp; Company</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w:t>
      </w:r>
    </w:p>
    <w:p>
      <w:pPr>
        <w:spacing w:after="0" w:line="196" w:lineRule="auto"/>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transportation kits from sole-source suppliers.</w:t>
      </w:r>
    </w:p>
    <w:p>
      <w:pPr>
        <w:spacing w:after="0"/>
        <w:rPr>
          <w:sz w:val="20"/>
          <w:szCs w:val="20"/>
          <w:color w:val="auto"/>
        </w:rPr>
      </w:pPr>
      <w:r>
        <w:rPr>
          <w:rFonts w:ascii="Arial" w:cs="Arial" w:eastAsia="Arial" w:hAnsi="Arial"/>
          <w:sz w:val="18"/>
          <w:szCs w:val="18"/>
          <w:color w:val="auto"/>
        </w:rPr>
        <w:t>Some of these items are unique to these suppliers and vendors.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2025 and 2024 and our total assets as of December 31, 2025 and 2024, is included in our Financial Statements in Item 8 of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Annual Report. Investors should not rely on any such information in deciding whether to purchase our common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file Annual Reports on Form 10-K, Quarterly Reports on Form 10-Q, Current Reports on Form 8-K, proxy and information statements and other information with the Securities and Exchange Commission (SEC). Our filings with the SEC are available free of charge on the SEC’s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website and on the "Investors" section of our website as soon as reasonably practicable after we electronically file such material with, or furnish it to, the SEC. The SEC maintains a website that contains reports, proxy and information statements, and other information regarding issuers that file electronically with the SEC at www.sec.gov.</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Annual Report, including our financial statements and related notes and "Management’s Discussion and Analysis of Financial Condition and Results of Operations," before making an investment decision to purchase or sell shares of our common stock. If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3" w:name="page34"/>
    <w:bookmarkEnd w:id="33"/>
    <w:p>
      <w:pPr>
        <w:jc w:val="both"/>
        <w:spacing w:after="0" w:line="251" w:lineRule="auto"/>
        <w:rPr>
          <w:sz w:val="20"/>
          <w:szCs w:val="20"/>
          <w:color w:val="auto"/>
        </w:rPr>
      </w:pPr>
      <w:r>
        <w:rPr>
          <w:rFonts w:ascii="Arial" w:cs="Arial" w:eastAsia="Arial" w:hAnsi="Arial"/>
          <w:sz w:val="18"/>
          <w:szCs w:val="18"/>
          <w:i w:val="1"/>
          <w:iCs w:val="1"/>
          <w:color w:val="auto"/>
        </w:rPr>
        <w:t>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113" w:lineRule="exact"/>
        <w:rPr>
          <w:sz w:val="20"/>
          <w:szCs w:val="20"/>
          <w:color w:val="auto"/>
        </w:rPr>
      </w:pPr>
    </w:p>
    <w:p>
      <w:pPr>
        <w:jc w:val="both"/>
        <w:ind w:left="660" w:hanging="328"/>
        <w:spacing w:after="0" w:line="248" w:lineRule="auto"/>
        <w:tabs>
          <w:tab w:leader="none" w:pos="635" w:val="left"/>
        </w:tabs>
        <w:numPr>
          <w:ilvl w:val="0"/>
          <w:numId w:val="12"/>
        </w:numPr>
        <w:rPr>
          <w:rFonts w:ascii="Arial" w:cs="Arial" w:eastAsia="Arial" w:hAnsi="Arial"/>
          <w:sz w:val="20"/>
          <w:szCs w:val="20"/>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 We have a history of losses and we may not be able to generate sufficient revenue to achieve and maintain profitability. Our estimates regarding profitability and the time in which we may achieve profitability may ultimately be incorrect;</w:t>
      </w:r>
    </w:p>
    <w:p>
      <w:pPr>
        <w:spacing w:after="0" w:line="119" w:lineRule="exact"/>
        <w:rPr>
          <w:rFonts w:ascii="Arial" w:cs="Arial" w:eastAsia="Arial" w:hAnsi="Arial"/>
          <w:sz w:val="20"/>
          <w:szCs w:val="20"/>
          <w:color w:val="auto"/>
        </w:rPr>
      </w:pPr>
    </w:p>
    <w:p>
      <w:pPr>
        <w:jc w:val="both"/>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10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manage our growth effectively, which could make it difficult to execute our business strategy;</w:t>
      </w:r>
    </w:p>
    <w:p>
      <w:pPr>
        <w:spacing w:after="0" w:line="157"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 success depends on attaining and maintaining significant market acceptance of our testing products among rheumatologists, patients, third-party payors and others in the medical community;</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sole suppliers for some of the reagents, equipment and other materials used in our testing products, and we may not be able to fund replacements or transition to alternative suppliers;</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compete successfully, we may be unable to increase or sustain our revenue or achieve profitability;</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85"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trade policy and the impact of tariffs may have a material adverse effect on our business, results of operations and financial condition.</w:t>
      </w:r>
    </w:p>
    <w:p>
      <w:pPr>
        <w:spacing w:after="0" w:line="99"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07" w:lineRule="exact"/>
        <w:rPr>
          <w:rFonts w:ascii="Arial" w:cs="Arial" w:eastAsia="Arial" w:hAnsi="Arial"/>
          <w:sz w:val="18"/>
          <w:szCs w:val="18"/>
          <w:color w:val="auto"/>
        </w:rPr>
      </w:pPr>
    </w:p>
    <w:p>
      <w:pPr>
        <w:jc w:val="both"/>
        <w:ind w:left="660" w:right="2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0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4" w:name="page35"/>
    <w:bookmarkEnd w:id="34"/>
    <w:p>
      <w:pPr>
        <w:ind w:left="660" w:hanging="328"/>
        <w:spacing w:after="0" w:line="27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previously and may again in the future be required to modify our business practices, pay fines, incur significant expenses or experience losses due to litigation or governmental investigations;</w:t>
      </w:r>
    </w:p>
    <w:p>
      <w:pPr>
        <w:spacing w:after="0" w:line="110" w:lineRule="exact"/>
        <w:rPr>
          <w:rFonts w:ascii="Arial" w:cs="Arial" w:eastAsia="Arial" w:hAnsi="Arial"/>
          <w:sz w:val="18"/>
          <w:szCs w:val="18"/>
          <w:color w:val="auto"/>
        </w:rPr>
      </w:pPr>
    </w:p>
    <w:p>
      <w:pPr>
        <w:jc w:val="both"/>
        <w:ind w:left="660" w:hanging="328"/>
        <w:spacing w:after="0" w:line="22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disagree with our assessment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and any other tests we may develop are LDTs eligible for enforcement discretion and determine that such test products are fully subject to active compliance enforcement under the FDCA and FDA regulations;</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maintain intellectual property protection, our competitive position could be harmed; and</w:t>
      </w:r>
    </w:p>
    <w:p>
      <w:pPr>
        <w:spacing w:after="0" w:line="15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60"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7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have incurred net losses since our inception. For the years ended December 31, 2025 and 2024, we incurred net losses of $20.0 million and $15.1 million, respectively, and we expect to continue to incur additional losses in 2026 and in future periods. As of December 31, 2025, we had an accumulated deficit of $314.3 million. We also expect to continue to devote substantial resources to increase adoption of, and reimbursement for, our testing products and to develop future testing products. Over the next several years, we expect to continue to devote substantially all of our resources to increase adoption of, and reimbursement for, our testing products and to develop future testing products. We may not be able to generate sufficient revenue to achieve and maintain profitability. Our failure to achieve and maintain profitability in the future could cause the market price of our common stock to decline and materially and adversely affect our prospects and business.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Successful commercialization, or continued commercialization, of our testing products depends, in large part, on the availability of coverage and adequate reimbursement from third-party payors, including government payors, such as Medicare and Medicaid and commercial payors. For the testing products that we develop and commercialize, each third-party payor decides whether to cover the product, the amount it will reimburse for a covered product and the specific conditions for reimbursement.</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10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demonstrated to lead to improved patient outcomes;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tests, they may not provide coverage, or may provide limited coverage, which may materially and adversely affect our revenue and our 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may be materially adversely affected.</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and have been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8"/>
          <w:szCs w:val="18"/>
          <w:color w:val="auto"/>
        </w:rPr>
        <w:t>used by third-party payors and healthcare providers as grounds to deny coverage for or refuse to use a test or procedure, including our tests. In addition, third-party payors have increased their efforts to control the cost, utilization and delivery of healthcare services. These measures have resulted in reduced payment rates and decreased utilization for the diagnostics industry.</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third-party payors make their own decisions as to whether to establish a policy to reimburse our testing products. Because approvals must be sought on a payor-by-payor basis, establishing broad coverage is a time-consuming and costly process. There are many third-party payors who have not yet established a coverage policy applicable to our testing products. In addition, several commercial payors issued non-coverage policies with respect to certain of our testing products, determining that these products do not meet the medical criteria for coverage and are considered investigational and/or experimental.</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we are not successful in reversing existing non-coverage policies, or if other third-party payors issue negative coverage (or continue to issue negative coverage policies), these policies could have a material adverse effect on our business and operations. Even if many third-party payors currently reimburse for our testing products, such payors have in the past and may again withdraw coverage at any time, review and adjust the rate of reimbursement, require co-payments from patients or stop paying for our testing products altogether, any of which could materially reduce our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w:t>
      </w:r>
    </w:p>
    <w:p>
      <w:pPr>
        <w:spacing w:after="0" w:line="12"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b w:val="1"/>
          <w:bCs w:val="1"/>
          <w:i w:val="1"/>
          <w:iCs w:val="1"/>
          <w:color w:val="auto"/>
        </w:rPr>
        <w:t>operating results to fall below expectations or any guidance we may provide. Our estimates regarding profitability and the time in which we may achieve profitability may ultimately be incorrect.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 estimated time in which we may achieve positive Adjusted EBITDA and profitability and fluctuations in our operating results may vary from period to period due to a variety of factors, many of which are beyond our control. These factors include, but are not limited to:</w:t>
      </w:r>
    </w:p>
    <w:p>
      <w:pPr>
        <w:spacing w:after="0" w:line="12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increase the average selling price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launch and commercialize new testing products and to do so in the timelines in which we expect;</w:t>
      </w:r>
    </w:p>
    <w:p>
      <w:pPr>
        <w:spacing w:after="0" w:line="15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payors;</w:t>
      </w:r>
    </w:p>
    <w:p>
      <w:pPr>
        <w:spacing w:after="0" w:line="113"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testing products, which may vary significantly;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collect timely reimbursement for our tests;</w:t>
      </w:r>
    </w:p>
    <w:p>
      <w:pPr>
        <w:spacing w:after="0" w:line="171"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and extent to which payors make an overpayment determination and require us to return all or some portion of payments which we received in a prior period; and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ind w:left="66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and could cause our estimates regarding positive Adjusted EBITDA profitability to ultimately be incorrect. In particular, our quarterly operating results have and may continue to vary due, in part, to our efforts regarding revenue cycle management. As a result, comparing our operating results on a period-to-period basis may not be meaningful. Investors should not rely on our past results as an indication of our future performance.</w:t>
      </w:r>
    </w:p>
    <w:p>
      <w:pPr>
        <w:spacing w:after="0" w:line="1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variability and unpredictability has and could again result in our failing to meet the expectations of industry or financial analysts or investors for a period. If our revenue, Adjusted EBITDA, profitability estimates or operating results fall below the expectations of analysts or investors or below any forecasts we may provide to the market, this could have a material adverse effect on our business, financial condition and results of operations and/or cause the market price of our common stock to decline.</w:t>
      </w:r>
    </w:p>
    <w:p>
      <w:pPr>
        <w:spacing w:after="0" w:line="13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8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are in various stages of commercialization and research and development with respect to other testing products that we may offer, but there can be no assurance that we will be able to successfully develop or commercialize these testing products or generate substantial revenue from these testing products.</w:t>
      </w:r>
    </w:p>
    <w:p>
      <w:pPr>
        <w:spacing w:after="0" w:line="12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in certain quarterly and annual periods,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operations could be subject disruptions, including, but not limited to, earthquakes, power shortages, telecommunications failures, water shortages, floods, hurricanes, typhoons, fires, extreme weather conditions, medical epidemics, political instability, including the impact of tensions in Asia on the global economy, trade policy uncertainty, acts of war, including the current conflicts in Ukraine and the Middle East,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Section 404 of the Sarbanes-Oxley Act of 2002 (Sarbanes-Oxley), our management is required to report upon the effectiveness of our internal control over financial reporting. When we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and/or hire additional accounting and finance staff as we grow. If we or, if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color w:val="auto"/>
        </w:rPr>
        <w:t>required, our auditors are unable to conclude that our internal control over financial reporting is effective, investors may lose confidence in our financial reporting and the trading price of our common stock may decline.</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has previously identified material weaknesses in our internal controls that we believe have been remediated, however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again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the Nasdaq Stock Market LLC,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growth effectively, which could make it difficult to execute our business strategy.</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addition to the need to scale our testing capacity, our future growth plans may also impose significant added responsibilities on management, including the need to identify, recruit, train and integrate additional employees and the need to manage additional relationships with various partners, suppliers and other third parties. In addition, if we were to experience rapid and significant growth, our administrative and operational infrastructure may be strained, requiring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2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among rheumatologists, patients, third-party payors and others in the medical community.</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success depends on our ability to continue to develop and market testing products that are recognized and accepted as safe, effective, reliable and cost effective, and any testing product that we offer may not gain or maintain market acceptance among rheumatologists, third-party payors, patients or the medical community. Market acceptance of our testing products depends on a number of factors, including:</w:t>
      </w:r>
    </w:p>
    <w:p>
      <w:pPr>
        <w:spacing w:after="0" w:line="10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over alternative products;</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demonstration of the performance and clinical validity of our testing products in clinical studies, the results of which, may not replicate the positive results from earlier studies;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tests that compete with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testing products or competing products and treatments;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if we or our future partners have to withdraw a product from the market, it could harm our business and/or impact market acceptance of our other testing products. Further, our biomarker testing products rely on reagents and assays for various biomarkers, any of which could independently encounter manufacturing, supply, or quality issues. Moreover, if our testing products do not achieve an adequate level of acceptance by rheumatologists, hospitals, third-party payors or patients, we may not generate sufficient revenue from that testing product and may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8"/>
          <w:szCs w:val="18"/>
          <w:color w:val="auto"/>
        </w:rPr>
        <w:t>not become or remain profitable. Our efforts to educate the medical community and third-party payors regarding the benefits of our testing products may require significant resources and may never be successful.</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experience limits on our revenue if healthcare providers decide not to order our testing products or if we are otherwise unable to create or maintain demand for our testing products.</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are unable to create or maintain demand for our testing products in sufficient volume, we may not generate sufficient revenue to become profitable. To generate increased demand, we will need to continue to educate healthcare providers about the benefits of our testing products through publications in peer-reviewed medical journals, presentations at medical conferences and other similar means. We will also need to continue to generate demand for our testing products through one-on-one education by our sales force. We also focus on educating patients about the benefits of our testing products, which we believe is necessary to generate further demand. In addition, our inability to obtain and maintain coverage and adequate reimbursement from third-party payors may limit adoption by healthcare providers, as well as third-party payors exerting pressure on healthcare providers to order in-network testing products which could adversely affect our revenue.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Healthcare providers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testing products have not been established with precision and may be smaller than we estimate.</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may prove to be incorrect. If the actual number of patients who would benefit from our testing products,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2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and fail to capitalize on other testing products that may be more profitable or for which there is a greater likelihood of success.</w:t>
      </w:r>
    </w:p>
    <w:p>
      <w:pPr>
        <w:spacing w:after="0" w:line="9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Because we have limited financial and managerial resources, we focus on specific testing products.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we may forego other similar arrangements which would have been more advantageous for us to pursue.</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specimen collection and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 Additionally,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which could impact the average selling price and revenues received from sales of such tests.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9" w:name="page40"/>
    <w:bookmarkEnd w:id="39"/>
    <w:p>
      <w:pPr>
        <w:jc w:val="both"/>
        <w:spacing w:after="0" w:line="252"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directly supply healthcare providers with our testing products. Our warehouse facility could be harmed or rendered inoperable by natural or man-made disasters, including fire, earthquake, hurricane, flooding, pandemics or other disease outbreaks and power outages, which may render it difficult or impossible for us to supply healthcare providers with our testing products for some period of time. The inability to supply healthcare providers with our testing products or the backlog of tests that could develop if our warehouse facility is inoperable for even a short period of time, may result in the loss of customers or harm to our reputation or business relationships, and we may be unable to regain those customers or repair our reputation in the future. Furthermore, our warehouse facility could be costly and time-consuming to repair or replace. If our warehouse facility is destroyed or otherwise rendered inoperable, we may have difficulty replacing it and there can be no assurance we could do so in a timely manner, on terms favorable to us or at all.</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 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If we encounter difficulty meeting market demand or quality standards, our reputation could be harmed and our future prospects and our business could suffer.</w:t>
      </w:r>
    </w:p>
    <w:p>
      <w:pPr>
        <w:spacing w:after="0" w:line="1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payors, including Medicare and Medicaid, and commercial payors,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 and Medicaid;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among third-party payors as to which party is responsible for payment;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coverage among third-party payors;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0" w:name="page41"/>
    <w:bookmarkEnd w:id="40"/>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typically result in a delay in payment processing or a reduction in the amount of the payment received.</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Payors also conduct external audits to evaluate payments, which add further complexity to the billing process. If the payor makes an overpayment determination, there is a risk that we 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Additionally, from time to time, third-party payors change processes that may affect timely payment. These changes have in the past and may again result in uneven cash flow or impact the timing of revenue recognized with these payors. With respect to payments received from government healthcare programs, factors such as a prolonged 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2025, Noridian posted the calendar year 2026 Medicare Physician Fee Schedule (MPFS), and CLFS, which establishes the reimbursement rates to be paid by Medicare for our jurisdiction for services performed on or after January 1, 2026. Revenue from Medicare comprised 24% and 25% of our revenue for the years ended December 31, 2025 and 2024, respectively. Revenue from the sale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comprised 91% of our revenue for each of the years ended December 31, 2025 and 2024.</w:t>
      </w:r>
    </w:p>
    <w:p>
      <w:pPr>
        <w:spacing w:after="0" w:line="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as needed, to adequately address our customers’ and future partners’ needs, our business may be adversely affected.</w:t>
      </w:r>
    </w:p>
    <w:p>
      <w:pPr>
        <w:spacing w:after="0" w:line="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sell our testing products through our own specialized sales force. Our testing products compete in a concentrated specialty market of autoimmune and autoimmune-related diseases, and utilizing a specialized sales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1" w:name="page42"/>
    <w:bookmarkEnd w:id="41"/>
    <w:p>
      <w:pPr>
        <w:jc w:val="both"/>
        <w:spacing w:after="0" w:line="244" w:lineRule="auto"/>
        <w:rPr>
          <w:sz w:val="20"/>
          <w:szCs w:val="20"/>
          <w:color w:val="auto"/>
        </w:rPr>
      </w:pPr>
      <w:r>
        <w:rPr>
          <w:rFonts w:ascii="Arial" w:cs="Arial" w:eastAsia="Arial" w:hAnsi="Arial"/>
          <w:sz w:val="18"/>
          <w:szCs w:val="18"/>
          <w:color w:val="auto"/>
        </w:rPr>
        <w:t>force is integral to our strategy. As such, we believe it is necessary to maintain a sales force that includes sales representatives with specific technical backgrounds and industry expertise and expect to continue to evaluate the reach and frequency with rheumatologists, including as we launch our pipeline products. We expect to expand our sales territories in a measured fashion where we believe there is a high likelihood of profitable revenue growth. Training of sales representatives can be costly and time consuming, particularly given the level of experience and sophistication we seek in our sales force. If we are unable to effectively retain, train and integrate sales representatives, as needed,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future sales will depend in large part on our ability to maintain an effective sales force. If we are unsuccessful in this regard, it could negatively impact our revenue growth and potential profitability.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 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Aqtual, Inc. Other potential competitors include companies that might develop diagnostic or disease or drug monitoring products, such as AMPEL BioSolutions, LLC; DxTerity Diagnostics Inc.; Genalyte Inc.; Immunovia AB; Oncimmune Holdings plc; and Progentec Diagnostics Inc. In the future, we may also face competition from companies developing new products or technologies.</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w:t>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be able to develop testing products, including those testing products in our pipeline,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successful verification, validation and utility studies;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2" w:name="page43"/>
    <w:bookmarkEnd w:id="42"/>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 including the hiring of appropriately licensed laboratory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13" w:lineRule="exact"/>
        <w:rPr>
          <w:sz w:val="20"/>
          <w:szCs w:val="20"/>
          <w:color w:val="auto"/>
        </w:rPr>
      </w:pPr>
    </w:p>
    <w:p>
      <w:pPr>
        <w:ind w:left="660" w:hanging="328"/>
        <w:spacing w:after="0" w:line="27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 or an inability to obtain intellectual property protection for testing products targeting new biomarkers;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accessing archival patient specimens, especially specimens with known clinical results;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clinical validation, utility and outcome studies to support the effectiveness of the test.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as we develop testing products, we may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ours, and our inability to control when and if results are published may delay or limit our ability to derive sufficient revenue from any solution.</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We have limited experience acquiring other companies or therapeutics and with respect to the formation of strategic alliances and joint ventures. If we make any acquisitions, we may not be able to integrate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3" w:name="page44"/>
    <w:bookmarkEnd w:id="43"/>
    <w:p>
      <w:pPr>
        <w:jc w:val="both"/>
        <w:spacing w:after="0" w:line="248" w:lineRule="auto"/>
        <w:rPr>
          <w:sz w:val="20"/>
          <w:szCs w:val="20"/>
          <w:color w:val="auto"/>
        </w:rPr>
      </w:pPr>
      <w:r>
        <w:rPr>
          <w:rFonts w:ascii="Arial" w:cs="Arial" w:eastAsia="Arial" w:hAnsi="Arial"/>
          <w:sz w:val="18"/>
          <w:szCs w:val="18"/>
          <w:color w:val="auto"/>
        </w:rPr>
        <w:t>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finance any acquisitions or investments, we may choose to issue shares of our stock, or stock equivalents, as consideration, which would dilute the ownership of our stockholders. If the price of our common stock is low or volatile, we may not be able to acquire other companies for equity. Alternatively, it may be necessary for us to raise additional funds for these activities through public or private financings or through the issuance of debt. This debt financing may involve covenants limiting or restricting our ability to take certain actions. Future acquisitions or dispositions could also result in potentially dilutive issuances of our equity securities, the assumption of contingent liabilities, or amortization expenses or write-offs of goodwill, any of which could harm our financial condition. Additional funds may not be available on terms that are favorable to us, or at all.</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We cannot predict the number, timing or size of future joint ventures or acquisitions, or the effect that any such transactions might have on our operating results.</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diagnostic industry is subject to rapidly changing technology, which could make our current and future testing products obsolete.</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These errors or omissions or professional liability claims could result in material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materially increase our insurance rates or prevent us from securing insurance coverage in the future. Additionally, any product liability lawsuit could cause material injury to our reputation or cause us to suspend sales of our testing products. Similarly, any product liability lawsuit affecting our partners could also cause material injury to our reputation. We may also initiate a correction or removal for one of our testing products, issue a safety alert or undertake a field action or recall to reduce a risk to health posed by potential failure of our products to perform as designed, which could lead to increased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4" w:name="page45"/>
    <w:bookmarkEnd w:id="44"/>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John Aballi,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order to rely on a third party to perform the tests contained in our testing products (even assuming we are able to do so in compliance with applicable regulations), we would need to engage another facility with established state licensure and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1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order to establish additional clinical reference laboratory facilities, we have to spend considerable time and money securing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would be subject to certification under CLIA and licensing by several states, including, as applicable, California and New York, which could take a significant amount of time and result in delays in our ability to begin operations.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believe we have the capacity to meet our expected business needs for at least the next 12 months, although we may grow at a rate that is faster than we expect. We may need to further expand our laboratory space in the future.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8"/>
          <w:szCs w:val="18"/>
          <w:color w:val="auto"/>
        </w:rPr>
        <w:t>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the risks associated with damage or disruption to our business, provide coverage in amounts sufficient to cover our potential losses or continue to be available to us on acceptable terms, if at all.</w:t>
      </w:r>
    </w:p>
    <w:p>
      <w:pPr>
        <w:spacing w:after="0" w:line="1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9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As part of our process of determining CB-CAPs, the key biomarker detection and measurement technology incorporated into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products, we utilize a number of flow cytometers that require calibration and performance validation according to the requirements of the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0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third-party ancillary billing services require proper tracking and reporting;</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 force and other personnel in a timely manner to conduct business;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materially and adversely affected if, among other things:</w:t>
      </w:r>
    </w:p>
    <w:p>
      <w:pPr>
        <w:spacing w:after="0" w:line="15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171"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6" w:name="page47"/>
    <w:bookmarkEnd w:id="46"/>
    <w:p>
      <w:pPr>
        <w:jc w:val="both"/>
        <w:spacing w:after="0" w:line="252"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materially and adversely affect our business and our reputation.</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PHI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 reconstruct any lost or stolen data. In addition, we have limited control over the storage of sensitive data by our third-party partners as well as risks related to the transfer and sale of de-identified data files to such partners.</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the adoption of AI technologies may further heighten the risk of cyber-attacks. Leveraging AI capabilities to potentially improve administrative internal functions and operations presents further risks and challenges, including the possibility of creating new attack methods for adversaries. This use of AI to support business operations carries inherent risks related to data privacy, IP, and security, such as intended, unintended, or inadvertent transmission of proprietary, confidential, or sensitive information, as well as challenges related to implementing and maintaining AI tools, such as developing and maintaining appropriate datasets for such support. If we fail to implement adequate safeguards, the use of AI may introduce additional operational vulnerabilities by producing inaccurate outcomes based on flaws in the underlying data or methodologies, or unintended results.</w:t>
      </w:r>
    </w:p>
    <w:p>
      <w:pPr>
        <w:spacing w:after="0" w:line="13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and liability under laws that protect the privacy of personal information, such as HIPAA, as amended by the HITECH Act, and their implementing regulations and similar state data privacy and security laws and regulations including civil and criminal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materially and adversely affect our business. Any breach could also result in the compromise of our trade secrets and other proprietary information, which could materially and adversely affect our competitive position.</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as well as private litigation, which could adversely affect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business. Moreover, these laws and their interpretations are constantly evolving and may become more stringent or inclusive over time. Complying with these various laws could cause us to incur substantial costs or require us to change our business practices, systems and compliance procedures in a manner adverse to our business.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unable to prevent such security breaches or privacy violations or implement satisfactory remedial measures in connection with security incidents, we may suffer material loss of reputation, financial loss, civil or criminal fines or other penalties. In addition, these breaches and other forms of inappropriate access can be difficult to detect, and any delay in identifying them may lead to increased harm of the type described above.</w:t>
      </w:r>
    </w:p>
    <w:p>
      <w:pPr>
        <w:spacing w:after="0" w:line="118"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financial condition, commercialization efforts and results of operations have been and may again in the future be adversely affected by outbreaks of contagious diseases.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outbreak of a contagious disease, or other adverse public health developments, could have a material and adverse effect on our business operations. Such adverse effects could include disruptions or restrictions on the ability of our, our collaborators’, or our suppliers’ personnel to travel, and could result in temporary closures of our facilities or the facilities of our collaborators or suppliers, including our sole laboratory. The extent to which any potential pandemics or health epidemics will affect our operations in the future will depend on future developments, which are highly uncertain and cannot be predicted with confidence.</w:t>
      </w:r>
    </w:p>
    <w:p>
      <w:pPr>
        <w:spacing w:after="0" w:line="13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(UPS) and Federal Express Corporation (Federal Express) for reliable and secure point-to-point transport of patient specimens to our laboratory and enhanced tracking of these patient specimens. Should Federal Express, UPS,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terrorist attacks or threats, labor strikes, work stoppages or boycotts, or for other reasons, could adversely affect our ability to receive and process patient specimens on a timely basis.</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Federal Express, or UPS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UPS. If any new provider does not provide, or if Federal Express or UPS does not continue to provide, the required quality and reliability of transport services at the same or similar costs, it could materially and adversely affect our business, reputation,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affect our business and financial results.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in recent periods. The severity and duration of the current inflationary environment remains uncertain and may continue to impact our financial condition and results of operations. Inflation may continue to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U.S. trade policy and the impact of tariffs may have a material adverse effect on our business, results of operations and financial condition.</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business, results of operations and financial condition may be adversely affected by uncertainty and changes in U.S. trade policies, including tariffs, quotas, trade agreements or other trade restrictions imposed by the United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8"/>
          <w:szCs w:val="18"/>
          <w:color w:val="auto"/>
        </w:rPr>
        <w:t>States or other governments. Recently, the U.S. Government has enacted, repealed, threatened and revised tariffs on various countries. Retaliatory measures from affected countries have also been enacted, repealed threatened and revised. Several tariff announcements have been followed by announcements of limited exemptions and temporary pauses. And, certain tariffs recently enacted by the U.S. government have been overturned by the U.S. Supreme Court. These actions have caused substantial uncertainty and volatility in financial markets and have and may again result in retaliatory measures on U.S. goods.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 requires access to reagents and other materials to run our tests, some of which we source from suppliers located outside the United States. Any imposition of or increase in tariffs or other restrictions on imports of reagents or other materials, as well as corresponding price increases for such materials available domestically, if any, could materially increase our costs. We would likely be unable to pass all or any such cost increases on to our customers and such cost increases could materially and adversely affect our business, results of operations and financial condition, including our gross margin.</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Tariffs or other trade restrictions may lead to continuing uncertainty and volatility in U.S. and global financial and economic conditions and commodity markets, declining consumer confidence, significant inflation and diminished expectations for the economy. Such conditions could have a material adverse impact on our business, results of operations and financial position. Also, disruptions and volatility in the financial markets may lead to adverse changes in the availability, terms and cost of capital. Such adverse changes could increase our costs of capital and limit our access to external financing sources.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Inadequate funding for the SEC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ability of governmental agencies to meet their mandates can be affected by a variety of factors, including government budget and funding levels, the ability to hire and retain key personnel, and statutory, regulatory, and policy changes. Government funding of government agencies on which our operations may rely, including those that fund research and development activities and those that process government payor decisions, is subject to the political process, which is inherently fluid and unpredictable. For example, over the last several years, the U.S. government has shut down several times, resulting in certain regulatory agencies furloughing critical employees and suspending critical activities. If a prolonged government shutdown or slowdown occurs, or a significant reduction in force makes it difficult for the officers or government agencies with which we interact to respond timely, it could have a material adverse effect on our business. Further, the ongoing or future government shutdowns could impact our ability to access the public markets and obtain necessary capital in order to properly capitalize and continue our operations.</w:t>
      </w:r>
    </w:p>
    <w:p>
      <w:pPr>
        <w:spacing w:after="0" w:line="14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maintain our cash, cash equivalents, and marketable securities with high quality, accredited financial institutions. However, some of these accounts exceed the Federal Deposit Insurance Corporation insurance limit of $250,000 and, while we believe we are not exposed to significant credit risk due to the financial strength of these depository institutions or investments, if any such depository institution fails to return our deposits, or if a depository institution is subject to other adverse conditions in the financial or credit markets, this could further impact access to our invested cash or cash equivalents and could adversely impact our operating liquidity and financial performance. Further, the failure or collapse of one or more of these depository institutions or default on these investments could materially adversely affect our ability to recover these assets and/or materially harm our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9" w:name="page50"/>
    <w:bookmarkEnd w:id="49"/>
    <w:p>
      <w:pPr>
        <w:jc w:val="both"/>
        <w:spacing w:after="0" w:line="247" w:lineRule="auto"/>
        <w:rPr>
          <w:sz w:val="20"/>
          <w:szCs w:val="20"/>
          <w:color w:val="auto"/>
        </w:rPr>
      </w:pPr>
      <w:r>
        <w:rPr>
          <w:rFonts w:ascii="Arial" w:cs="Arial" w:eastAsia="Arial" w:hAnsi="Arial"/>
          <w:sz w:val="18"/>
          <w:szCs w:val="18"/>
          <w:color w:val="auto"/>
        </w:rPr>
        <w:t>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 our ability to use NOL carryforwards and other tax attributes to offset taxable income and taxes, as applicable, may be limited.</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April 25, 2025, we entered into a Credit Agreement and Guaranty with Perceptive Credit Holdings IV, LP (Perceptive) that was amended on March 6, 2026 (as amended, the Credit Agreement), which provides for a senior secured delayed draw term loan facility in an aggregate principal amount of up to $65.0 million (the Perceptive Term Loan Facility). An initial tranche of $25.0 million (the Tranche A Loan) was funded on April 25, 2025. Additional tranches of up to $ 10.0 million (the Tranche B Loan), and $30.0 million (the Tranche D Loan, and collectively with the Tranche A Loan, and the Tranche B Loan, the Term Loans) may be drawn subject to the Company’s satisfaction of certain conditions precedent, including specified revenue milestones. The Perceptive Term Loan Facility matures on April 25, 2030, and includes an interest-only period through maturity, with all outstanding principal and accrued interest due on the maturity date. 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We may prepay the Term Loans at any time, subject to prepayment premiums ranging from 2.0% to 10.0% of the principal amount, depending on the date of prepayment.</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Credit Agreement is collateralized by substantially all of our personal property, including our intellectual property. The Credit Agreement includes customary affirmative, negative, and financial covenants. These include, among others, restrictions on additional indebtedness, liens, dividends, mergers and acquisitions, and affiliate transactions. The Credit Agreement also requires that we maintain a minimum unrestricted cash balance of $3.0 million and achieve specified net revenue levels on a quarterly basis beginning with the quarter ending June 30, 2025.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Perceptive, which we may not be able to obtain. We cannot be certain that we will be able to generate sufficient cash flow or revenue to meet the financial covenants or pay the principal and accrued interest on our debt.</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If an event of default occurs and we are unable to repay amounts due under the Credit Agreement, Perceptive could foreclose on substantially all of our personal property, including our intellectual property. We cannot be certain that future working capital, borrowings or equity financings will be available to repay or refinance our debt to Perceptive or any other debt we may incur in the future.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payors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0" w:name="page51"/>
    <w:bookmarkEnd w:id="50"/>
    <w:p>
      <w:pPr>
        <w:jc w:val="both"/>
        <w:ind w:right="20"/>
        <w:spacing w:after="0" w:line="271" w:lineRule="auto"/>
        <w:rPr>
          <w:sz w:val="20"/>
          <w:szCs w:val="20"/>
          <w:color w:val="auto"/>
        </w:rPr>
      </w:pPr>
      <w:r>
        <w:rPr>
          <w:rFonts w:ascii="Arial" w:cs="Arial" w:eastAsia="Arial" w:hAnsi="Arial"/>
          <w:sz w:val="18"/>
          <w:szCs w:val="18"/>
          <w:color w:val="auto"/>
        </w:rPr>
        <w:t>government payors, or other risks described in this “Risk Factors” section, we may seek to raise additional capital through equity offerings, debt financings, collaborations or licensing arrangements.</w:t>
      </w:r>
    </w:p>
    <w:p>
      <w:pPr>
        <w:spacing w:after="0" w:line="1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17, 2023, we filed a shelf registration statement on Form S-3, as amended by Amendment No. 1 to Form S-3 filed on November 27, 2023, that provides for aggregate offerings of up to $150.0 million of our securities subject to various limitations. We filed a prospectus supplement on November 29, 2023 pursuant to this registration statement, registering sales of our common stock in an amount not to exceed $50.0 million, pursuant to a sales agreement by and between us and TD Securities (USA) LLC (TD Cowen), as amended by Amendment No. 1 to Sales Agreement dated November 17, 2023 (the Amended Sales Agreement). Additionally, on May 8, 2025, we filed a prospectus supplement relating to the issuance and sale of an aggregate of 3,852,500 shares of our common stock to Canaccord Genuity (the Underwriter), including 502,500 shares of our common stock issued and sold pursuant to the exercise in full of the Underwriter’s option to purchase additional shares.</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Using a shelf registration statement to raise capital generally takes less time and is less expensive than other means, such as conducting an offering under a registration statement on Form S-1 and companies may be able to receive more favorable terms by raising capital pursuant to a shelf registration statement on Form S-3. Our ability to raise capital under our current shelf registration statement (and any future registration statement on Form S-3) has in the past, and may again in the future be, limited by, among other things, current and future SEC rules and regulations impacting the eligibility of smaller companies to use Form S-3 without restrictions. We have previously been subject to the "baby shelf rules" and if we were to become subject to the "baby shelf rules" again, we would be limited in our ability to use our shelf registration statement on Form S-3 or the Amended Sales Agreement to raise additional funds to the extent the aggregate market value of securities sold by us or on our behalf pursuant to Instruction I.B.6. of Form S-3 during the 12 calendar months immediately prior to, and including, any intended sale would exceed one-third of the aggregate market value of our public float, calculated in accordance with the instructions to Form S-3. As of the date of this Annual Report, we are not subject to the "baby shelf rules" because the market value of our outstanding shares of common stock held by non-affiliates calculated in accordance with Instruction I.B.6. of Form S-3, or public float, was greater than $75.0 million as of the date of this Annual Report.</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the case of the incurrence of further indebtedness, the Credit Agreement, subject to certain exceptions, restricts our ability to incur additional indebtedness or encumber any of our property without the prior consent of the Majority Lenders (as defined in the Credit Agreement). Under the Credit Agreement, we are required to make monthly interest payments based on an annual rate equal to the greater of (i) SOFR or (ii) 4.75%, plus the Applicable Margin.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including pursuant to the Amended Sales Agreement,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(similar to our current obligations pursuant to the Credit Agreement),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or market development programs, which could lower the economic value of those products or programs to our company.</w:t>
      </w:r>
    </w:p>
    <w:p>
      <w:pPr>
        <w:spacing w:after="0" w:line="12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jc w:val="both"/>
        <w:spacing w:after="0" w:line="247" w:lineRule="auto"/>
        <w:rPr>
          <w:sz w:val="20"/>
          <w:szCs w:val="20"/>
          <w:color w:val="auto"/>
        </w:rPr>
      </w:pPr>
      <w:r>
        <w:rPr>
          <w:rFonts w:ascii="Arial" w:cs="Arial" w:eastAsia="Arial" w:hAnsi="Arial"/>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changes could cause significant harm to our business, operations and financial condition.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commercial payors. The ACA also introduced mechanisms to reduce the per capita rate of growth in Medicare spending if expenditures exceed certain targets. Any such reductions could affect reimbursement payments for our tests.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Since December 2019, Congress has passed a series of laws to modify PAMA’s statutory requirements related to the data reporting period and phase-in of payment reductions under the CLFS for CDLTs that are not ADLTs. Most recently, on February 3, 2026, Section 6226 of the Consolidated Appropriations Act, 2026, was passed, and it delayed data reporting requirements for CDLTs that are not ADLTs as well as the phase-in of payment reductions until 2027.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laws, regulations and policies could be amended or additional healthcare initiatives could be implemented in the future.</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color w:val="auto"/>
        </w:rPr>
        <w:t>termination and, if so, whether these were addressed to the satisfaction of the surveyors for the CLIA program (or another accrediting organization).</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and to some patients covered by commercial payors.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NYSDOH on a product-by-product basis before they are offered in New York. We are also subject to periodic inspection by the NYSDOH and required to demonstrate ongoing compliance with NYSDOH regulations and standards. To the extent NYSDOH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NYSDOH approval for our laboratory developed tests in New York or if we were to lose our license in other states where we are required to hold licenses, we would not be able to test specimens from those states, which would limit our revenue.</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0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 as well as state licensure laws and regulations;</w:t>
      </w:r>
    </w:p>
    <w:p>
      <w:pPr>
        <w:spacing w:after="0" w:line="15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payment mechanisms for clinical laboratory services resulting from PAMA;</w:t>
      </w:r>
    </w:p>
    <w:p>
      <w:pPr>
        <w:spacing w:after="0" w:line="8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28"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Medicare or Medicaid, including laboratory and pathology services, if the physician or an immediate family member has a financial relationship with the entity providing the designated health services;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3" w:name="page54"/>
    <w:bookmarkEnd w:id="53"/>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federal False Claims Act, which imposes up to treble damages and per-claim civil penalties, and provides for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6"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CMP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0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29"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99"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5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71"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9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and</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For additional information see the risk factor below entitled “</w:t>
      </w:r>
      <w:r>
        <w:rPr>
          <w:rFonts w:ascii="Arial" w:cs="Arial" w:eastAsia="Arial" w:hAnsi="Arial"/>
          <w:sz w:val="18"/>
          <w:szCs w:val="18"/>
          <w:i w:val="1"/>
          <w:iCs w:val="1"/>
          <w:color w:val="auto"/>
        </w:rPr>
        <w:t>We have previously and may again in the future be required to modify our business practices, pay fines, incur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expenses or experience losses due to litigation or governmental investigations.” </w:t>
      </w:r>
      <w:r>
        <w:rPr>
          <w:rFonts w:ascii="Arial" w:cs="Arial" w:eastAsia="Arial" w:hAnsi="Arial"/>
          <w:sz w:val="18"/>
          <w:szCs w:val="18"/>
          <w:color w:val="auto"/>
        </w:rPr>
        <w:t>Any action against us for violation of these laws,</w:t>
      </w:r>
      <w:r>
        <w:rPr>
          <w:rFonts w:ascii="Arial" w:cs="Arial" w:eastAsia="Arial" w:hAnsi="Arial"/>
          <w:sz w:val="18"/>
          <w:szCs w:val="18"/>
          <w:i w:val="1"/>
          <w:iCs w:val="1"/>
          <w:color w:val="auto"/>
        </w:rPr>
        <w:t xml:space="preserve"> </w:t>
      </w:r>
      <w:r>
        <w:rPr>
          <w:rFonts w:ascii="Arial" w:cs="Arial" w:eastAsia="Arial" w:hAnsi="Arial"/>
          <w:sz w:val="18"/>
          <w:szCs w:val="18"/>
          <w:color w:val="auto"/>
        </w:rPr>
        <w:t>even if we successfully defend against it, could cause us to incur significant legal expenses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4" w:name="page55"/>
    <w:bookmarkEnd w:id="54"/>
    <w:p>
      <w:pPr>
        <w:jc w:val="both"/>
        <w:spacing w:after="0" w:line="244" w:lineRule="auto"/>
        <w:rPr>
          <w:sz w:val="20"/>
          <w:szCs w:val="20"/>
          <w:color w:val="auto"/>
        </w:rPr>
      </w:pPr>
      <w:r>
        <w:rPr>
          <w:rFonts w:ascii="Arial" w:cs="Arial" w:eastAsia="Arial" w:hAnsi="Arial"/>
          <w:sz w:val="18"/>
          <w:szCs w:val="18"/>
          <w:color w:val="auto"/>
        </w:rPr>
        <w:t>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3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previously and may again in the future be required to modify our business practices, pay fines, incur significant expenses or experience losses due to litigation or governmental investigations.</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In addition, any litigation or government investigation generally, diverts the attention of our management team and resources from our core business and limits the time and attention of our management team otherwise available to devote to our business. Government investigation and litigation in general may cause us to incur significant expenses, to experience significant losses, and, as a result of such matters, we may also be required to materially alter the conduct of our operations or pay significant penalties. For example, pursuant to a settlement agreement, we made a single lump-sum remittance to the government in the amount of $0.7 million plus interest in October 2023, the U.S. Attorney’s Office dismissed this “covered conduct”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with prejudice, while non-covered conduct was dismissed without prejudice. The Department of Justice excused itself from the case in connection with the settlement. In November 2023, the complaint was unsealed and served on Exagen. Exagen filed a motion to dismiss the complaint. In February 2024, the relator filed a motion for leave to amend the complaint. Exagen opposed this motion, and the case was ultimately dismissed with prejudice on July 15,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Any of these circumstances may adversely affect our business, prospects, reputation and results of operations.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18"/>
          <w:szCs w:val="18"/>
          <w:color w:val="auto"/>
        </w:rPr>
        <w:t>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The FDA may disagree with our assessment that our 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 products and any other tests we may develop are LDTs eligible for enforcement discretion and determine that such test products are fully subject to active compliance enforcement under the FDCA and FDA regulations.</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Although the FDA sought to regulate LDTs actively under medical device regulations through notice-and-comment rulemaking after decades of exercising enforcement discretion with respect to LDTs, the U.S. District Court for the Eastern District of Texas vacated the final rule in its entirety, holding that the rule exceeded the agency’s authority under the FDCA. We believe that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are LDTs, as are our near-term pipeline candidate tests.</w:t>
      </w:r>
    </w:p>
    <w:p>
      <w:pPr>
        <w:spacing w:after="0" w:line="135"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If the FDA were to disagree with our conclusion that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products fall within the scope of the agency’s LDT definition and determines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thus subject to FDA’s medical device authorities and implementing regulations, we would become immediately subject to extensive regulatory requirements and may be required to stop selling our existing tests or refrain from launching any other tests we may develop. In particular, the FDA may require us to obtain marketing authorization for each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order for use to commercialize them. The premarket review process for diagnostic testing products can be lengthy, expensive, time-consuming, and unpredictable. As part of the process to prepare regulatory submissions for FDA review, we may be required to conduct formal clinical trials under agency regulations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all of which would adversely impact our business.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believe that we are currently in material compliance with applicable laws and regulations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or financial condition.</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FTC and/or state enforcement or regulatory agencies may object to the methods and materials we use to promote our tests and initiate enforcement against us, which could adversely affect our business and financial condition.</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materially and adversely affect our business, results of operations and financial condition.</w:t>
      </w:r>
    </w:p>
    <w:p>
      <w:pPr>
        <w:spacing w:after="0" w:line="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failure or perceived failure by us to comply with federal or state laws or regulations, our internal policies and procedures or our contracts governing our use and disclosures of personal information could result in negative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8"/>
          <w:szCs w:val="18"/>
          <w:color w:val="auto"/>
        </w:rPr>
        <w:t>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1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Failure to comply with HIPAA, the HITECH Act, their implementing regulations and similar comparable state laws and regulations affecting the transmission, security and privacy of health information could result in significant penalties or private litigation.</w:t>
      </w:r>
    </w:p>
    <w:p>
      <w:pPr>
        <w:spacing w:after="0" w:line="1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Numerous federal, state and foreign laws and regulations, including HIPAA and the HITECH Act in the United States, govern the collection, dissemination, disclosure, security, use and confidentiality of individually identifiable health information and, in many cases, other personal information. HIPAA and the HITECH Act require us to comply with standards for the use and disclosure of PHI within our company and with respect to third 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 Associate to help us carry out healthcare activities and functions, we must have a written Business Associate contract or other arrangement with the Business Associate that establishes specifically what the Business Associate has been engaged to do and obligates the Business Associate to comply with HIPAA requirements. Further, in the event of a breach of unsecured PHI we must notify each individual whose PHI is breached as well as federal regulators and in some cases, must publicize the breach in local or national media.</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3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In the conduct of our business, we process, maintain, and transmit sensitive data, including PHI. There can be no assurance that a material breach of privacy or security will not occur. If there is a breach, we could be subject to various lawsuits, penalties and damages and may be required to incur costs to mitigate the impact of the breach on affected individuals such that our business may be materially and adversely affected.</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certain states have adopted comparable privacy and security laws and regulations, some of which may apply more broadly or be more stringent than HIPAA. For example, the CCPA, which went into effect on January 1, 2020, gives California residents, including our California-based employees,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regulatory authority, the California Privacy Protection Agency (CPPA), which is authorized to issue substantive regulations and could result in increased privacy and information security enforcement. In the event that we are subject to or affected by HIPAA, the CCPA, the CPRA or other domestic privacy and data protection laws (for example Virginia's Consumer Data Protection Act and other similar laws that recently went into effect in other states), any liability from failure to comply with the requirements of these laws could adversely affect our financial condition.</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EEA. Companies that must comply with the GDPR face increased compliance obligations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7" w:name="page58"/>
    <w:bookmarkEnd w:id="57"/>
    <w:p>
      <w:pPr>
        <w:jc w:val="both"/>
        <w:spacing w:after="0" w:line="244" w:lineRule="auto"/>
        <w:rPr>
          <w:sz w:val="20"/>
          <w:szCs w:val="20"/>
          <w:color w:val="auto"/>
        </w:rPr>
      </w:pPr>
      <w:r>
        <w:rPr>
          <w:rFonts w:ascii="Arial" w:cs="Arial" w:eastAsia="Arial" w:hAnsi="Arial"/>
          <w:sz w:val="18"/>
          <w:szCs w:val="18"/>
          <w:color w:val="auto"/>
        </w:rPr>
        <w:t>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countries outside of the EEA that have not been found to provide adequate protection to such personal data. In July 2023, the European Commission adopted an adequacy decision with respect to a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addressing the reasons behind the Court of Justice of the EU’s invalidation of the original Privacy Shield in 2016. The European Commission will continually review developments in the United States along with its adequacy decision, and the adequacy decision could be altered or withdrawn. Future actions of EU data protection authorities and the potential impacts on data transfers are difficult to predict.</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Relatedly, following the United Kingdom’s withdrawal from the EU, the GDPR was implemented in the United Kingdom as the U.K. GDPR. The U.K. GDPR sits alongside the amended U.K. Data Protection Act 2018, which implements certain derogations in the EU GDPR into U.K. law. The U.K. GDPR mirrors the fines under the GDPR, i.e., fines up to the greater of €20 million (£17.5 million) or 4% of annual global turnover. In June of 2021, the European Commission issued a decision, which was subsequently extended on December 19, 2025 through December 27, 2031, that the United Kingdom ensures an adequate level of protection for personal data transferred under the EU GDPR from the EU to the United Kingdom.</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in foreign markets. We are not permitted to market or promote any of our testing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testing products. If we obtain regulatory approval of our testing products and ultimately commercialize our testing products in foreign markets, we would be subject to additional risks and uncertainties, including any or all of the following:</w:t>
      </w:r>
    </w:p>
    <w:p>
      <w:pPr>
        <w:spacing w:after="0" w:line="12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IVDs in foreign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8" w:name="page59"/>
    <w:bookmarkEnd w:id="58"/>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71"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pressures, such as those the global market is currently experiencing, which have and may increase costs for materials, supplies, and services;</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5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current conflicts in Ukraine and the Middle East; natural disasters which may be exacerbated due to climate change, including earthquakes, typhoons, floods and fires; outbreak of disease; boycotts; or other business restrictions.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or obtain intellectual property protection, our competitive position could be harmed.</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ability to protect our technologies, such as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platform,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testing products will be considered patentable or enforceable by the United States Patent and Trademark Office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2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or for pipeline testing products and technologies in a timely fashion or at all, or we may fail to apply for patents in potentially relevant jurisdictions, or we may cease our prosecution and maintenance of patents in potentially relevant jurisdictions. Currently, we have an exclusive license to two issued U.S. patents, one U.S. patent application, and certain corresponding foreign counterpart patents,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own seven issued U.S. patents and two pending U.S. patent applications relevant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testing products. Furthermore, even if they are unchallenged, our patents may not adequately protect our intellectual property, provide exclusivity for our testing products or prevent others from designing around our claims.</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3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previously held licenses to five patent families related to CB-CAPs technology from UPitt. We have terminated these license agreements (related to U.S. Patent Nos. 7,361,517; 7,390,631; 7,585,640; 7,588,905; 8,080,382; 8,126,654, and foreign equivalents thereof), effective March 22, 2024, and as a result may face increased competition with respect to the portion of our testing products previously protected by these patents.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9" w:name="page60"/>
    <w:bookmarkEnd w:id="59"/>
    <w:p>
      <w:pPr>
        <w:jc w:val="both"/>
        <w:spacing w:after="0" w:line="243"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of our testing products, such as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testing products. Our competitors may independently develop competing diagnostic products and services that do not infringe our intellectual property.</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testing products.</w:t>
      </w:r>
    </w:p>
    <w:p>
      <w:pPr>
        <w:spacing w:after="0" w:line="9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These U.S. government rights include a non-exclusive, non-transferable, irrevocable worldwide license to use inventions for any governmental purpose. In addition, the U.S. government has the right, under certain limited circumstances, to require us to grant exclusive,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0" w:name="page61"/>
    <w:bookmarkEnd w:id="60"/>
    <w:p>
      <w:pPr>
        <w:jc w:val="both"/>
        <w:spacing w:after="0" w:line="243" w:lineRule="auto"/>
        <w:rPr>
          <w:sz w:val="20"/>
          <w:szCs w:val="20"/>
          <w:color w:val="auto"/>
        </w:rPr>
      </w:pPr>
      <w:r>
        <w:rPr>
          <w:rFonts w:ascii="Arial" w:cs="Arial" w:eastAsia="Arial" w:hAnsi="Arial"/>
          <w:sz w:val="18"/>
          <w:szCs w:val="18"/>
          <w:color w:val="auto"/>
        </w:rPr>
        <w:t>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6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Filing, prosecuting and defending patents on our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and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1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1" w:name="page62"/>
    <w:bookmarkEnd w:id="61"/>
    <w:p>
      <w:pPr>
        <w:jc w:val="both"/>
        <w:spacing w:after="0" w:line="243"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we license certain patent rights from AHN and JHU. Our existing license agreements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2" w:name="page63"/>
    <w:bookmarkEnd w:id="62"/>
    <w:p>
      <w:pPr>
        <w:jc w:val="both"/>
        <w:spacing w:after="0" w:line="238"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monitor deadlines to pay these fees and to remind us of these fees, and we employ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parents to lapse, particularly with respect to our ex-U.S. rights licensed from UPitt related to our CB-CAPs technology and to foreign patents covering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9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More established companies may have a competitive advantage over us due to their size, cash resources and greater clinical development and commercialization capabilities.</w:t>
      </w:r>
    </w:p>
    <w:p>
      <w:pPr>
        <w:spacing w:after="0" w:line="12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and our business, financial condition and prospects for growth could suffer.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brings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testing products. As the diagnostics industry expands and more patents are issued, the risk increases that our activities related to our testing products may give rise to claims of infringement of the patent rights of others.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assure you that any of our current or future testing products will not infringe existing or future patents. Although we are not aware of any issued patents that will prevent us from marketing our testing products, there may be third-party patents of which we are currently unaware with claims to materials or methods of manufacture related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3" w:name="page64"/>
    <w:bookmarkEnd w:id="63"/>
    <w:p>
      <w:pPr>
        <w:jc w:val="both"/>
        <w:spacing w:after="0" w:line="247" w:lineRule="auto"/>
        <w:rPr>
          <w:sz w:val="20"/>
          <w:szCs w:val="20"/>
          <w:color w:val="auto"/>
        </w:rPr>
      </w:pPr>
      <w:r>
        <w:rPr>
          <w:rFonts w:ascii="Arial" w:cs="Arial" w:eastAsia="Arial" w:hAnsi="Arial"/>
          <w:sz w:val="18"/>
          <w:szCs w:val="18"/>
          <w:color w:val="auto"/>
        </w:rPr>
        <w:t>to the use or manufacture of our testing products. If a third party that owns such a patent asserts it successfully against one of our current or future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testing products or our technologies may infringe, or which such third parties claim are infringed by the use of our technologies.</w:t>
      </w:r>
    </w:p>
    <w:p>
      <w:pPr>
        <w:spacing w:after="0" w:line="1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testing products. We may fail to obtain any of these licenses at a reasonable cost or on reasonable terms, if at all. In that event, we would be unable to further develop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testing products and technology.</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be issued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testing products, the defendant could counterclaim that the patent covering such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testing products. Such a loss of patent protection could have a material adverse impact on our business.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4" w:name="page65"/>
    <w:bookmarkEnd w:id="64"/>
    <w:p>
      <w:pPr>
        <w:jc w:val="both"/>
        <w:spacing w:after="0" w:line="261" w:lineRule="auto"/>
        <w:rPr>
          <w:sz w:val="20"/>
          <w:szCs w:val="20"/>
          <w:color w:val="auto"/>
        </w:rPr>
      </w:pPr>
      <w:r>
        <w:rPr>
          <w:rFonts w:ascii="Arial" w:cs="Arial" w:eastAsia="Arial" w:hAnsi="Arial"/>
          <w:sz w:val="18"/>
          <w:szCs w:val="18"/>
          <w:color w:val="auto"/>
        </w:rPr>
        <w:t>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1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15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payors;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15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including as a result of the current conflicts in the Ukraine and the Middle East and other geopolitical tensions.</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color w:val="auto"/>
        </w:rPr>
        <w:t>resources. Any adverse determination in any such litigation or any amounts paid to settle any such actual or threatened litigation could require that we make significant payments.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2025, our employees and members of our board of directors collectively hold options to acquire up to 526,839 shares of our common stock and restricted stock units representing the contingent right to receive up to 1,795,639 shares of our common stock. These shares are registered pursuant to our previously filed registration statements on Form S-8 and are generally freely-tradeable. Future sales of substantial amounts of our common stock in the public market, including sales by our directors, employees, or other significant holders, shares issued upon exercise of then outstanding options or warrants, or the perception that such sales may occur, could adversely affect the market price of our common stock and cause significant dilution to our existing stockholders.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and demands upon management as a result of complying with the laws and regulations affecting public companies in the United States, which may adversely affect our results of operations.</w:t>
      </w:r>
    </w:p>
    <w:p>
      <w:pPr>
        <w:spacing w:after="0" w:line="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Moreover, these rules and regulations have increased our legal and financial compliance costs and has made some activities more time-consuming. We are subject to the reporting requirements of the Exchange Act that require us to file, among other things, Quarterly Reports on Form 10-Q and Annual Reports on Form 10-K. Under Section 302 of the Sarbanes-Oxley Act as a part of each of these reports, our chief executive officer and chief financial officer are required to evaluate and report their conclusions regarding the effectiveness of our disclosure controls and procedures and to certify that they have done so. Effective internal controls are necessary for us to provide reliable financial reports and prevent fraud. The process of documenting our internal controls and complying with Section 404 is expensive and time consuming, and requires significant attention of management. When or if we reach an accelerated filer threshold, our independent registered public accounting firm will be required to attest to the effectiveness of our internal control over financial reporting.</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Complying with these requirements applicable to public companies may at times place a strain on our personnel, information technology systems and resources while diverting management’s attention from other business concerns. We have engaged outside service providers with appropriate public company compliance experience and technical accounting knowledge to support our compliance efforts, and we may need to engage additional service providers in the future to ensure compliance which may cause us to incur additional operating costs.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and other requirements may also make it more difficult or more costly for us to obtain or maintain certain types of insurance, including directors’ and officers’ liability insurance. We may be forced to accept reduced policy limits and coverage or incur substantially higher costs to obtain the same or similar coverage.</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impact of these requirements could also make it more difficult for us to attract and retain qualified persons to serve on our board of directors, our board committees or as executive officers. Any one of these requirements could have a material adverse effect on our business, financial condition and results of operations.</w:t>
      </w:r>
    </w:p>
    <w:p>
      <w:pPr>
        <w:spacing w:after="0" w:line="11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6" w:name="page67"/>
    <w:bookmarkEnd w:id="66"/>
    <w:p>
      <w:pPr>
        <w:ind w:left="66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57"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07"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11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57"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13" w:lineRule="exact"/>
        <w:rPr>
          <w:rFonts w:ascii="Arial" w:cs="Arial" w:eastAsia="Arial" w:hAnsi="Arial"/>
          <w:sz w:val="18"/>
          <w:szCs w:val="18"/>
          <w:color w:val="auto"/>
        </w:rPr>
      </w:pPr>
    </w:p>
    <w:p>
      <w:pPr>
        <w:ind w:left="660" w:right="2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9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85"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7" w:name="page68"/>
    <w:bookmarkEnd w:id="67"/>
    <w:p>
      <w:pPr>
        <w:jc w:val="both"/>
        <w:spacing w:after="0" w:line="247" w:lineRule="auto"/>
        <w:rPr>
          <w:sz w:val="20"/>
          <w:szCs w:val="20"/>
          <w:color w:val="auto"/>
        </w:rPr>
      </w:pPr>
      <w:r>
        <w:rPr>
          <w:rFonts w:ascii="Arial" w:cs="Arial" w:eastAsia="Arial" w:hAnsi="Arial"/>
          <w:sz w:val="18"/>
          <w:szCs w:val="18"/>
          <w:color w:val="auto"/>
        </w:rPr>
        <w:t>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Based on their most recent publicly filed beneficial ownership reports, our greater than 5% stockholders collectively own approximately 31% of our outstanding capital stock and our greater than 5% stockholders, directors and executive officers collectively own (without duplication) approximately 33% of our outstanding capital stock as of February 17, 2026.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9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the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our initial public offering, there had been no public market for our common stock. While our common stock now trades on the Nasdaq Global Market (Nasdaq),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During 2025, our average daily trading volume was approximately 256,838 shares.</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failure to meet the continued listing requirements of Nasdaq or the Nasdaq Stock Market LLC could result in a delisting of our common stock.</w:t>
      </w:r>
    </w:p>
    <w:p>
      <w:pPr>
        <w:spacing w:after="0" w:line="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3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downgrade our common stock or otherwise issue adverse opinions or commentary regarding our stock or do not publish research or reports about our company, our stock price and trading volume could decline.</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8" w:name="page69"/>
    <w:bookmarkEnd w:id="68"/>
    <w:p>
      <w:pPr>
        <w:jc w:val="both"/>
        <w:spacing w:after="0" w:line="252" w:lineRule="auto"/>
        <w:rPr>
          <w:sz w:val="20"/>
          <w:szCs w:val="20"/>
          <w:color w:val="auto"/>
        </w:rPr>
      </w:pPr>
      <w:r>
        <w:rPr>
          <w:rFonts w:ascii="Arial" w:cs="Arial" w:eastAsia="Arial" w:hAnsi="Arial"/>
          <w:sz w:val="18"/>
          <w:szCs w:val="18"/>
          <w:color w:val="auto"/>
        </w:rPr>
        <w:t>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life sciences and diagnostics companies have experienced significant stock price volatility in recent years. If we face such litigation, it could result in substantial costs and a diversion of management’s attention and resources, which could harm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1C. Cybersecurity.</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recognize the critical importance of maintaining the trust and confidence of physicians,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NIST and other applicable industry standards, as well as the HIPAA Security Rule and other recognized frameworks.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 Effect of Risk</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in addition to other company risks as part of our overall risk assessment process. We employ a range of tools and services, including regular network and endpoint monitoring, audits, vulnerability assessments, and penetration testing to inform our risk identification and assessment. As discussed in more detail under “Cybersecurity Governance” below, our Nominating and Corporate Governance Committee provides oversight of our cybersecurity risk management and strategy processes, which are led by our Vice President of Information Services.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identify our cybersecurity threat risks by comparing our processes to standards set by NIST, as well as performing intrusion detection and prevention. 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08"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 emerging data protection laws and implement changes to our processes that are designed to comply with such laws;</w:t>
      </w:r>
    </w:p>
    <w:p>
      <w:pPr>
        <w:spacing w:after="0" w:line="157" w:lineRule="exact"/>
        <w:rPr>
          <w:rFonts w:ascii="Arial" w:cs="Arial" w:eastAsia="Arial" w:hAnsi="Arial"/>
          <w:sz w:val="18"/>
          <w:szCs w:val="18"/>
          <w:color w:val="auto"/>
        </w:rPr>
      </w:pPr>
    </w:p>
    <w:p>
      <w:pPr>
        <w:ind w:left="660" w:hanging="328"/>
        <w:spacing w:after="0" w:line="287" w:lineRule="auto"/>
        <w:tabs>
          <w:tab w:leader="none" w:pos="64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our policies, practices and contracts (as applicable), require employees, as well as third parties that provide services on our behalf, to treat confidential information and data with care;</w:t>
      </w:r>
    </w:p>
    <w:p>
      <w:pPr>
        <w:spacing w:after="0" w:line="85" w:lineRule="exact"/>
        <w:rPr>
          <w:rFonts w:ascii="Arial" w:cs="Arial" w:eastAsia="Arial" w:hAnsi="Arial"/>
          <w:sz w:val="18"/>
          <w:szCs w:val="18"/>
          <w:color w:val="auto"/>
        </w:rPr>
      </w:pPr>
    </w:p>
    <w:p>
      <w:pPr>
        <w:jc w:val="both"/>
        <w:ind w:left="660" w:hanging="328"/>
        <w:spacing w:after="0" w:line="261" w:lineRule="auto"/>
        <w:tabs>
          <w:tab w:leader="none" w:pos="6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69" w:name="page70"/>
    <w:bookmarkEnd w:id="69"/>
    <w:p>
      <w:pPr>
        <w:jc w:val="both"/>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regular, mandatory training for our employees regarding cybersecurity threats as a means to equip them with effective tools to address cybersecurity threats, and to communicate our evolving information security policies, standards, processes and practices;</w:t>
      </w:r>
    </w:p>
    <w:p>
      <w:pPr>
        <w:spacing w:after="0" w:line="113"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 regular phishing email simulations for all employees with access to our email systems to enhance awareness and responsiveness to possible threats;</w:t>
      </w:r>
    </w:p>
    <w:p>
      <w:pPr>
        <w:spacing w:after="0" w:line="99" w:lineRule="exact"/>
        <w:rPr>
          <w:rFonts w:ascii="Arial" w:cs="Arial" w:eastAsia="Arial" w:hAnsi="Arial"/>
          <w:sz w:val="18"/>
          <w:szCs w:val="18"/>
          <w:color w:val="auto"/>
        </w:rPr>
      </w:pPr>
    </w:p>
    <w:p>
      <w:pPr>
        <w:ind w:left="660" w:hanging="328"/>
        <w:spacing w:after="0" w:line="287" w:lineRule="auto"/>
        <w:tabs>
          <w:tab w:leader="none" w:pos="6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 monthly cybersecurity management and incident training for employees involved in our systems and processes that handle sensitive data;</w:t>
      </w:r>
    </w:p>
    <w:p>
      <w:pPr>
        <w:spacing w:after="0" w:line="85" w:lineRule="exact"/>
        <w:rPr>
          <w:rFonts w:ascii="Arial" w:cs="Arial" w:eastAsia="Arial" w:hAnsi="Arial"/>
          <w:sz w:val="18"/>
          <w:szCs w:val="18"/>
          <w:color w:val="auto"/>
        </w:rPr>
      </w:pPr>
    </w:p>
    <w:p>
      <w:pPr>
        <w:ind w:left="660" w:hanging="328"/>
        <w:spacing w:after="0" w:line="271" w:lineRule="auto"/>
        <w:tabs>
          <w:tab w:leader="none" w:pos="6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leverage internal and external resources to help us identify, protect, detect, respond and recover when there is an actual or potential cybersecurity incident; and</w:t>
      </w:r>
    </w:p>
    <w:p>
      <w:pPr>
        <w:spacing w:after="0" w:line="113" w:lineRule="exact"/>
        <w:rPr>
          <w:rFonts w:ascii="Arial" w:cs="Arial" w:eastAsia="Arial" w:hAnsi="Arial"/>
          <w:sz w:val="18"/>
          <w:szCs w:val="18"/>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carry information security risk insurance that provides protection against the potential losses arising from a cybersecurity incident</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As part of the above processes, we rely on internal resources rather than consultants, auditors or other third parties, to review our cybersecurity program.</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Arial" w:cs="Arial" w:eastAsia="Arial" w:hAnsi="Arial"/>
          <w:sz w:val="18"/>
          <w:szCs w:val="18"/>
          <w:i w:val="1"/>
          <w:iCs w:val="1"/>
          <w:color w:val="auto"/>
        </w:rPr>
        <w:t>Failure in our information technology, telephone or other systems could significantly disrupt our operations and adversely</w:t>
      </w:r>
      <w:r>
        <w:rPr>
          <w:rFonts w:ascii="Arial" w:cs="Arial" w:eastAsia="Arial" w:hAnsi="Arial"/>
          <w:sz w:val="18"/>
          <w:szCs w:val="18"/>
          <w:color w:val="auto"/>
        </w:rPr>
        <w:t xml:space="preserve"> </w:t>
      </w:r>
      <w:r>
        <w:rPr>
          <w:rFonts w:ascii="Arial" w:cs="Arial" w:eastAsia="Arial" w:hAnsi="Arial"/>
          <w:sz w:val="18"/>
          <w:szCs w:val="18"/>
          <w:i w:val="1"/>
          <w:iCs w:val="1"/>
          <w:color w:val="auto"/>
        </w:rPr>
        <w:t>affect our business and financial condition</w:t>
      </w:r>
      <w:r>
        <w:rPr>
          <w:rFonts w:ascii="Arial" w:cs="Arial" w:eastAsia="Arial" w:hAnsi="Arial"/>
          <w:sz w:val="18"/>
          <w:szCs w:val="18"/>
          <w:color w:val="auto"/>
        </w:rPr>
        <w:t>,” which disclosures are incorporated by reference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 Management</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Nominating and Corporate Governance Committee to oversee risks from cybersecurity threats.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Upon detection of a material cybersecurity threat, our Nominating and Corporate Governance Committee receives an update from management of the cybersecurity threat, risk management and strategy processes, as well as the steps management has taken to respond to such risks. In such sessions, our Nominating and Corporate Governance Committee generally receives materials that include cybersecurity materials discussing current material cybersecurity threat risks, and describing our ability to mitigate those risks, and discusses such matters with our Chief Executive Officer. Our Nominating and Corporate Governance Committee and board of directors receive prompt and timely information regarding any cybersecurity incident that meets established reporting thresholds.</w:t>
      </w:r>
    </w:p>
    <w:p>
      <w:pPr>
        <w:spacing w:after="0" w:line="12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cybersecurity risk management and strategy processes, which are discussed in greater detail above, are led by our Vice President of Information Services, with support from our entire Information Services department. Such individuals have collectively over 10 years of prior work experience in various roles involving managing information security, developing cybersecurity strategy, implementing effective information and cybersecurity programs, as well as several relevant degrees and certifications. These Information Services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Information Services team members report to our Chief Executive Officer, and ultimately to the Nominating and Corporate Governance Committee of our board of directors about material cybersecurity threats.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lease approximately 28,000 square feet of additional office space in Carlsbad, California, under a sublease that is co-terminus with our other lease expiring in 2027. We believe that our current facilities are adequate for our current needs and that suitable additional or alternative spaces will be available in the future on commercially reasonable terms, if required.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Pursuant to a settlement agreement with the DOJ, which has been previously disclosed, we made a single lump-sum remittance to the government in the amount of $0.7 million plus interest in October 2023. The U.S. Attorney’s Office dismissed the “covered conduct” elements in the qui tam with prejudice, while non-covered conduct was dismissed without prejudice. The DOJ excused itself from the case in connection with the settlement. Our ability to participate in federally funded healthcare programs was unaffected by the settlement. In November 2023, the complaint was unsealed and served on us. We filed a motion to dismiss the complaint. In February 2024, the relator filed a motion for leave to amend the complaint. We opposed this motion. In March 2025, the court granted our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14" w:lineRule="exact"/>
        <w:rPr>
          <w:sz w:val="20"/>
          <w:szCs w:val="20"/>
          <w:color w:val="auto"/>
        </w:rPr>
      </w:pPr>
    </w:p>
    <w:p>
      <w:pPr>
        <w:ind w:right="520" w:firstLine="512"/>
        <w:spacing w:after="0" w:line="46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began trading on The Nasdaq Global Market on September 19, 2019 under the symbol "XGN." Prior to September 19, 2019, there was no public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6, 2026, there were approximately 32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Part III, Item 12 of this Annual Report under the section titled "Security Ownership of Certain Beneficial Owners and Management" for information about our equity compensation plans, which is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of our equity securities during the year ended December 31,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w:t>
      </w:r>
      <w:r>
        <w:rPr>
          <w:rFonts w:ascii="Arial" w:cs="Arial" w:eastAsia="Arial" w:hAnsi="Arial"/>
          <w:sz w:val="18"/>
          <w:szCs w:val="18"/>
          <w:b w:val="1"/>
          <w:bCs w:val="1"/>
          <w:i w:val="1"/>
          <w:iCs w:val="1"/>
          <w:color w:val="auto"/>
        </w:rPr>
        <w:t>Reserved.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financial statements and the notes thereto included elsewhere in this Annual Report. Some of the information contained in this discussion and analysis or set forth elsewhere in this Annual Report, including information with respect to our plans and strategy for our business and financial performance, includes forward-looking statements that are based on current beliefs, plans and expectations and involve risks, uncertainties and assumptions. You should read the "Cautionary Statement Regarding Forward-Looking Statements" and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are a medical technology company primarily focused on the design, development and commercialization of a next-generation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SLE and RA.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w:t>
      </w:r>
    </w:p>
    <w:p>
      <w:pPr>
        <w:spacing w:after="0" w:line="14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Our tests are used in a variety of clinical settings to provide clarity in autoimmune disease decision-making with the goal of improving patients' clinical outcomes. We commercially launched our flagship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CDTs and other related diseases with overlapping symptoms. Traditional screening methods often lack accuracy, resulting in repeat testing and delayed diagnosis. With significant increases in autoimmune incidence in recent years,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provides unique biomarkers that empower clinicians to confidently and quickly diagnose various CTDs.</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Beginning in late 2022, w</w:t>
      </w:r>
      <w:r>
        <w:rPr>
          <w:rFonts w:ascii="Arial" w:cs="Arial" w:eastAsia="Arial" w:hAnsi="Arial"/>
          <w:sz w:val="18"/>
          <w:szCs w:val="18"/>
          <w:color w:val="080808"/>
        </w:rPr>
        <w:t>e revitalized our organization with the addition of key members to our senior leadership team, each with successful</w:t>
      </w:r>
      <w:r>
        <w:rPr>
          <w:rFonts w:ascii="Arial" w:cs="Arial" w:eastAsia="Arial" w:hAnsi="Arial"/>
          <w:sz w:val="18"/>
          <w:szCs w:val="18"/>
          <w:color w:val="auto"/>
        </w:rPr>
        <w:t xml:space="preserve"> </w:t>
      </w:r>
      <w:r>
        <w:rPr>
          <w:rFonts w:ascii="Arial" w:cs="Arial" w:eastAsia="Arial" w:hAnsi="Arial"/>
          <w:sz w:val="18"/>
          <w:szCs w:val="18"/>
          <w:color w:val="080808"/>
        </w:rPr>
        <w:t xml:space="preserve">industry track records in diagnostics, medical device and medical technology, including our Chief Executive Officer, Chief Financial Officer, Chief Scientific Officer, Vice President of Sales, Vice President of Commercial Strategy, and Medical and Laboratory Director. </w:t>
      </w:r>
      <w:r>
        <w:rPr>
          <w:rFonts w:ascii="Arial" w:cs="Arial" w:eastAsia="Arial" w:hAnsi="Arial"/>
          <w:sz w:val="18"/>
          <w:szCs w:val="18"/>
          <w:color w:val="000000"/>
        </w:rPr>
        <w:t>By leveraging</w:t>
      </w:r>
      <w:r>
        <w:rPr>
          <w:rFonts w:ascii="Arial" w:cs="Arial" w:eastAsia="Arial" w:hAnsi="Arial"/>
          <w:sz w:val="18"/>
          <w:szCs w:val="18"/>
          <w:color w:val="080808"/>
        </w:rPr>
        <w:t xml:space="preserve"> </w:t>
      </w:r>
      <w:r>
        <w:rPr>
          <w:rFonts w:ascii="Arial" w:cs="Arial" w:eastAsia="Arial" w:hAnsi="Arial"/>
          <w:sz w:val="18"/>
          <w:szCs w:val="18"/>
          <w:color w:val="000000"/>
        </w:rPr>
        <w:t xml:space="preserve">our team’s extensive experience to create clinically distinct solutions that improve patient lives, we </w:t>
      </w:r>
      <w:r>
        <w:rPr>
          <w:rFonts w:ascii="Arial" w:cs="Arial" w:eastAsia="Arial" w:hAnsi="Arial"/>
          <w:sz w:val="18"/>
          <w:szCs w:val="18"/>
          <w:color w:val="080808"/>
        </w:rPr>
        <w:t>have created a strong foundation for</w:t>
      </w:r>
      <w:r>
        <w:rPr>
          <w:rFonts w:ascii="Arial" w:cs="Arial" w:eastAsia="Arial" w:hAnsi="Arial"/>
          <w:sz w:val="18"/>
          <w:szCs w:val="18"/>
          <w:color w:val="000000"/>
        </w:rPr>
        <w:t xml:space="preserve"> </w:t>
      </w:r>
      <w:r>
        <w:rPr>
          <w:rFonts w:ascii="Arial" w:cs="Arial" w:eastAsia="Arial" w:hAnsi="Arial"/>
          <w:sz w:val="18"/>
          <w:szCs w:val="18"/>
          <w:color w:val="080808"/>
        </w:rPr>
        <w:t xml:space="preserve">growth and </w:t>
      </w:r>
      <w:r>
        <w:rPr>
          <w:rFonts w:ascii="Arial" w:cs="Arial" w:eastAsia="Arial" w:hAnsi="Arial"/>
          <w:sz w:val="18"/>
          <w:szCs w:val="18"/>
          <w:color w:val="000000"/>
        </w:rPr>
        <w:t>believe that we are well-positioned</w:t>
      </w:r>
      <w:r>
        <w:rPr>
          <w:rFonts w:ascii="Arial" w:cs="Arial" w:eastAsia="Arial" w:hAnsi="Arial"/>
          <w:sz w:val="18"/>
          <w:szCs w:val="18"/>
          <w:color w:val="080808"/>
        </w:rPr>
        <w:t xml:space="preserve"> to positively impact patient care and address unmet clinical needs in autoimmune disease</w:t>
      </w:r>
      <w:r>
        <w:rPr>
          <w:rFonts w:ascii="Arial" w:cs="Arial" w:eastAsia="Arial" w:hAnsi="Arial"/>
          <w:sz w:val="18"/>
          <w:szCs w:val="18"/>
          <w:color w:val="000000"/>
        </w:rPr>
        <w:t>.</w:t>
      </w:r>
      <w:r>
        <w:rPr>
          <w:rFonts w:ascii="Arial" w:cs="Arial" w:eastAsia="Arial" w:hAnsi="Arial"/>
          <w:sz w:val="18"/>
          <w:szCs w:val="18"/>
          <w:color w:val="080808"/>
        </w:rPr>
        <w:t xml:space="preserve"> </w:t>
      </w:r>
      <w:r>
        <w:rPr>
          <w:rFonts w:ascii="Arial" w:cs="Arial" w:eastAsia="Arial" w:hAnsi="Arial"/>
          <w:sz w:val="18"/>
          <w:szCs w:val="18"/>
          <w:color w:val="000000"/>
        </w:rPr>
        <w:t>We strive to become a partner of choice for doctors, hospitals, healthcare systems, and payors.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leadership of our Chief Executive Officer, John Aballi, who joined Exagen in October 2022, we have executed an operational turnaround of the business, resulting in a return to revenue growth and gross margin expansion while significantly reducing operating expenses and cash burn.</w:t>
      </w:r>
    </w:p>
    <w:p>
      <w:pPr>
        <w:spacing w:after="0" w:line="1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are performed in our approximately 13,000 square foot laboratory located in Vista, California, which is certified under the CLIA and accredited by CAP. Our laboratory is certified for performance of high-complexity testing by CMS in accordance with CLIA and is licensed by all states requiring out-of-state licensure. Our clinical laboratory typically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Reimbursement for our testing services comes from several sources, including commercial payors (such as insurance companies and health maintenance organizations), government payors (such as Medicare and Medicaid), client payors (such as hospitals, other laboratories, etc.) and patients. Reimbursement rates vary by product and payor.</w:t>
      </w:r>
    </w:p>
    <w:p>
      <w:pPr>
        <w:spacing w:after="0" w:line="126"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Since launching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we have produced an extensive body of peer-reviewed literature supporting the test’s clinical validity and utility, demonstrating the importance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patient care. Revenue from this product comprised 91% of our revenue for each of the years ended December 31, 2025 and 2024.</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providing diagnostic testing, we are leveraging our clinical laboratory to enter into agreements in the normal course of business with leading pharmaceutical companies and contract research organizations for the use of our testing products and/or the de-identified data generated from such tests. We believe the quality of our testing, proprietary offerings and specialized knowledge give us an advantage in this space. We plan to continue to pursue additional partnerships with leading pharmaceutical companies and academic research centers that are synergistic with our evolving portfolio of testing products, as more of these organizations realize the extent of the service we can provide.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3" w:name="page74"/>
    <w:bookmarkEnd w:id="73"/>
    <w:p>
      <w:pPr>
        <w:jc w:val="both"/>
        <w:spacing w:after="0" w:line="236"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 force covering 45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83" w:lineRule="exact"/>
        <w:rPr>
          <w:sz w:val="20"/>
          <w:szCs w:val="20"/>
          <w:color w:val="auto"/>
        </w:rPr>
      </w:pPr>
    </w:p>
    <w:p>
      <w:pPr>
        <w:jc w:val="both"/>
        <w:ind w:left="660" w:hanging="328"/>
        <w:spacing w:after="0" w:line="226" w:lineRule="auto"/>
        <w:tabs>
          <w:tab w:leader="none" w:pos="683" w:val="left"/>
        </w:tabs>
        <w:numPr>
          <w:ilvl w:val="0"/>
          <w:numId w:val="33"/>
        </w:numPr>
        <w:rPr>
          <w:rFonts w:ascii="Arial" w:cs="Arial" w:eastAsia="Arial" w:hAnsi="Arial"/>
          <w:sz w:val="18"/>
          <w:szCs w:val="18"/>
          <w:color w:val="auto"/>
        </w:rPr>
      </w:pPr>
      <w:r>
        <w:rPr>
          <w:rFonts w:ascii="Arial" w:cs="Arial" w:eastAsia="Arial" w:hAnsi="Arial"/>
          <w:sz w:val="18"/>
          <w:szCs w:val="18"/>
          <w:i w:val="1"/>
          <w:iCs w:val="1"/>
          <w:u w:val="single" w:color="auto"/>
          <w:color w:val="auto"/>
        </w:rPr>
        <w:t>Commercial Launch of AVISE</w:t>
      </w:r>
      <w:r>
        <w:rPr>
          <w:rFonts w:ascii="Arial" w:cs="Arial" w:eastAsia="Arial" w:hAnsi="Arial"/>
          <w:sz w:val="23"/>
          <w:szCs w:val="23"/>
          <w:u w:val="single" w:color="auto"/>
          <w:color w:val="auto"/>
          <w:vertAlign w:val="superscript"/>
        </w:rPr>
        <w:t>®</w:t>
      </w:r>
      <w:r>
        <w:rPr>
          <w:rFonts w:ascii="Arial" w:cs="Arial" w:eastAsia="Arial" w:hAnsi="Arial"/>
          <w:sz w:val="18"/>
          <w:szCs w:val="18"/>
          <w:i w:val="1"/>
          <w:iCs w:val="1"/>
          <w:color w:val="auto"/>
        </w:rPr>
        <w:t xml:space="preserve"> CTD Enhancements</w:t>
      </w:r>
      <w:r>
        <w:rPr>
          <w:rFonts w:ascii="Arial" w:cs="Arial" w:eastAsia="Arial" w:hAnsi="Arial"/>
          <w:sz w:val="18"/>
          <w:szCs w:val="18"/>
          <w:color w:val="auto"/>
        </w:rPr>
        <w:t>. Our flagship product,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enables clinicians to more effectively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diagnose complex autoimmune conditions such as SLE, RA, and Sjögren’s syndrome earlier and with greater accuracy, in each case, as compared to the current standard of care. Our laboratory specializes in the testing of rheumatic diseases, delivering precise and timely results, supported by a full suite of AVISE</w:t>
      </w:r>
      <w:r>
        <w:rPr>
          <w:rFonts w:ascii="Arial" w:cs="Arial" w:eastAsia="Arial" w:hAnsi="Arial"/>
          <w:sz w:val="23"/>
          <w:szCs w:val="23"/>
          <w:color w:val="auto"/>
          <w:vertAlign w:val="superscript"/>
        </w:rPr>
        <w:t>®</w:t>
      </w:r>
      <w:r>
        <w:rPr>
          <w:rFonts w:ascii="Arial" w:cs="Arial" w:eastAsia="Arial" w:hAnsi="Arial"/>
          <w:sz w:val="18"/>
          <w:szCs w:val="18"/>
          <w:color w:val="auto"/>
        </w:rPr>
        <w:t>-branded tests for disease diagnosis, prognosis, and monitoring. With a focus on research, innovation, education, and patient-centered care, we are dedicated to addressing the ongoing challenges of autoimmune disease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2059305</wp:posOffset>
            </wp:positionH>
            <wp:positionV relativeFrom="paragraph">
              <wp:posOffset>-685800</wp:posOffset>
            </wp:positionV>
            <wp:extent cx="11029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09"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In January 2025, we announced conditional approval by NYSDOH and commercial launch of our new SLE and RA biomarker assays on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platform. Collectively, we believe these new biomarkers will further improve the clinical utility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providing clinicians with the information they need to definitively diagnose patients and shorten their autoimmune diagnostic journeys. We expect the addition of these new biomarkers will continue to drive gains in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average selling price, gross margin expansion and increase demand while positioning us for profitability.</w:t>
      </w:r>
    </w:p>
    <w:p>
      <w:pPr>
        <w:spacing w:after="0" w:line="129" w:lineRule="exact"/>
        <w:rPr>
          <w:sz w:val="20"/>
          <w:szCs w:val="20"/>
          <w:color w:val="auto"/>
        </w:rPr>
      </w:pPr>
    </w:p>
    <w:p>
      <w:pPr>
        <w:jc w:val="both"/>
        <w:ind w:left="660" w:hanging="328"/>
        <w:spacing w:after="0" w:line="257" w:lineRule="auto"/>
        <w:tabs>
          <w:tab w:leader="none" w:pos="656" w:val="left"/>
        </w:tabs>
        <w:numPr>
          <w:ilvl w:val="0"/>
          <w:numId w:val="34"/>
        </w:numPr>
        <w:rPr>
          <w:rFonts w:ascii="Arial" w:cs="Arial" w:eastAsia="Arial" w:hAnsi="Arial"/>
          <w:sz w:val="17"/>
          <w:szCs w:val="17"/>
          <w:color w:val="auto"/>
        </w:rPr>
      </w:pPr>
      <w:r>
        <w:rPr>
          <w:rFonts w:ascii="Arial" w:cs="Arial" w:eastAsia="Arial" w:hAnsi="Arial"/>
          <w:sz w:val="17"/>
          <w:szCs w:val="17"/>
          <w:i w:val="1"/>
          <w:iCs w:val="1"/>
          <w:u w:val="single" w:color="auto"/>
          <w:color w:val="auto"/>
        </w:rPr>
        <w:t>PAD4 Biomarkers.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third quarter of 2025, we received conditional approval from the New York State Department of Health</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commercially launched our new PAD4 biomarker assays on the AVISE® CTD platform. Anti-PAD4 antibodies have been found to be 35% sensitive and 95% specific for RA in a peer-reviewed validation study. Additionally, anti-PAD4 antibodies have been found in 19% of anti-CCP negative RA patients, helping to address a critical seronegative diagnostic gap. Beyond the diagnostic utility, anti-PAD4 antibodies have been shown to associate with increased risk for radiographic progression, a sign of permanent joint changes.</w:t>
      </w:r>
    </w:p>
    <w:p>
      <w:pPr>
        <w:spacing w:after="0" w:line="127" w:lineRule="exact"/>
        <w:rPr>
          <w:rFonts w:ascii="Arial" w:cs="Arial" w:eastAsia="Arial" w:hAnsi="Arial"/>
          <w:sz w:val="17"/>
          <w:szCs w:val="17"/>
          <w:color w:val="auto"/>
        </w:rPr>
      </w:pPr>
    </w:p>
    <w:p>
      <w:pPr>
        <w:jc w:val="both"/>
        <w:ind w:left="660" w:hanging="328"/>
        <w:spacing w:after="0" w:line="242" w:lineRule="auto"/>
        <w:tabs>
          <w:tab w:leader="none" w:pos="656"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i w:val="1"/>
          <w:iCs w:val="1"/>
          <w:u w:val="single" w:color="auto"/>
          <w:color w:val="auto"/>
        </w:rPr>
        <w:t>Reimbursement for Our Testing Products</w:t>
      </w:r>
      <w:r>
        <w:rPr>
          <w:rFonts w:ascii="Arial" w:cs="Arial" w:eastAsia="Arial" w:hAnsi="Arial"/>
          <w:sz w:val="18"/>
          <w:szCs w:val="18"/>
          <w:color w:val="auto"/>
        </w:rPr>
        <w:t>. Our revenue depends on achieving broad coverage and reimbursement for our tests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 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have in the past and continue to hold claims in the first half of the fiscal year, which typically results in increases in our accounts receivable and an accelerated decrease in our cash in the same period, with the trend subsequently reversed in the second half of the fiscal year as cash is collected on billed tests.</w:t>
      </w:r>
    </w:p>
    <w:p>
      <w:pPr>
        <w:spacing w:after="0" w:line="135" w:lineRule="exact"/>
        <w:rPr>
          <w:rFonts w:ascii="Arial" w:cs="Arial" w:eastAsia="Arial" w:hAnsi="Arial"/>
          <w:sz w:val="18"/>
          <w:szCs w:val="18"/>
          <w:b w:val="1"/>
          <w:bCs w:val="1"/>
          <w:i w:val="1"/>
          <w:iCs w:val="1"/>
          <w:color w:val="auto"/>
        </w:rPr>
      </w:pPr>
    </w:p>
    <w:p>
      <w:pPr>
        <w:jc w:val="both"/>
        <w:ind w:left="660" w:hanging="328"/>
        <w:spacing w:after="0" w:line="222" w:lineRule="auto"/>
        <w:tabs>
          <w:tab w:leader="none" w:pos="656"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Expanding Adoption of AVISE</w:t>
      </w:r>
      <w:r>
        <w:rPr>
          <w:rFonts w:ascii="Arial" w:cs="Arial" w:eastAsia="Arial" w:hAnsi="Arial"/>
          <w:sz w:val="23"/>
          <w:szCs w:val="23"/>
          <w:i w:val="1"/>
          <w:iCs w:val="1"/>
          <w:u w:val="single" w:color="auto"/>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CTD</w:t>
      </w:r>
      <w:r>
        <w:rPr>
          <w:rFonts w:ascii="Arial" w:cs="Arial" w:eastAsia="Arial" w:hAnsi="Arial"/>
          <w:sz w:val="18"/>
          <w:szCs w:val="18"/>
          <w:i w:val="1"/>
          <w:iCs w:val="1"/>
          <w:color w:val="auto"/>
        </w:rPr>
        <w:t xml:space="preserve">.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CTD in 2012 and through December 31, 2025, we have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over one million of these tests. During the year ended December 31, 2025,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increased by approximately 11% over the same period in 2024. Revenue growth for our testing products will depend, in part, on our ability to continue to expand our base of ordering healthcare providers and increase our penetration with existing healthcare providers and on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color w:val="auto"/>
        </w:rPr>
        <w:t>success of the T-Cell Biomarkers and RA Sub-Profile Biomarkers, which we added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in January 2025.</w:t>
      </w:r>
    </w:p>
    <w:p>
      <w:pPr>
        <w:spacing w:after="0" w:line="102" w:lineRule="exact"/>
        <w:rPr>
          <w:sz w:val="20"/>
          <w:szCs w:val="20"/>
          <w:color w:val="auto"/>
        </w:rPr>
      </w:pPr>
    </w:p>
    <w:p>
      <w:pPr>
        <w:jc w:val="both"/>
        <w:ind w:left="660" w:hanging="328"/>
        <w:spacing w:after="0" w:line="251" w:lineRule="auto"/>
        <w:tabs>
          <w:tab w:leader="none" w:pos="683"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Development of Innovative Testing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to continue to invest in research and development in order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testing products. Our success in developing new testing products will be important in our efforts to grow our business by expanding the potential market for our products and diversifying our sources of revenue. We intend to leverage our protein and molecular assay development capabilities, bioinformatic team and proprietary technologies to pursue the development of additional testing products designed to have superior clinical utility for rheumatic conditions.</w:t>
      </w:r>
    </w:p>
    <w:p>
      <w:pPr>
        <w:spacing w:after="0" w:line="119" w:lineRule="exact"/>
        <w:rPr>
          <w:rFonts w:ascii="Arial" w:cs="Arial" w:eastAsia="Arial" w:hAnsi="Arial"/>
          <w:sz w:val="18"/>
          <w:szCs w:val="18"/>
          <w:color w:val="auto"/>
        </w:rPr>
      </w:pPr>
    </w:p>
    <w:p>
      <w:pPr>
        <w:jc w:val="both"/>
        <w:ind w:left="660" w:hanging="328"/>
        <w:spacing w:after="0" w:line="246" w:lineRule="auto"/>
        <w:tabs>
          <w:tab w:leader="none" w:pos="656"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 Sustainable Profitable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establish a solid foundation for growth and a path to sustained profitability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continued gross margin enhancements and improved operating expense efficiencies through the implementation of certain internal initiatives, such as leveraging validation, utility and reimbursement-oriented clinical studies to facilitate payor coverage of our testing products. We center our efforts around long-term reimbursement and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121" w:lineRule="exact"/>
        <w:rPr>
          <w:rFonts w:ascii="Arial" w:cs="Arial" w:eastAsia="Arial" w:hAnsi="Arial"/>
          <w:sz w:val="18"/>
          <w:szCs w:val="18"/>
          <w:color w:val="auto"/>
        </w:rPr>
      </w:pPr>
    </w:p>
    <w:p>
      <w:pPr>
        <w:jc w:val="both"/>
        <w:ind w:left="660" w:hanging="328"/>
        <w:spacing w:after="0" w:line="235" w:lineRule="auto"/>
        <w:tabs>
          <w:tab w:leader="none" w:pos="67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Timing of Our Research and Development Expenses</w:t>
      </w:r>
      <w:r>
        <w:rPr>
          <w:rFonts w:ascii="Arial" w:cs="Arial" w:eastAsia="Arial" w:hAnsi="Arial"/>
          <w:sz w:val="18"/>
          <w:szCs w:val="18"/>
          <w:color w:val="auto"/>
        </w:rPr>
        <w:t>. We conduct clinical studies to validate our new testing products,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clinical and outcome studies to further expand the published evidence that supports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144" w:lineRule="exact"/>
        <w:rPr>
          <w:rFonts w:ascii="Arial" w:cs="Arial" w:eastAsia="Arial" w:hAnsi="Arial"/>
          <w:sz w:val="18"/>
          <w:szCs w:val="18"/>
          <w:color w:val="auto"/>
        </w:rPr>
      </w:pPr>
    </w:p>
    <w:p>
      <w:pPr>
        <w:jc w:val="both"/>
        <w:ind w:left="660" w:hanging="328"/>
        <w:spacing w:after="0" w:line="253" w:lineRule="auto"/>
        <w:tabs>
          <w:tab w:leader="none" w:pos="683"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How We Recognize Revenue</w:t>
      </w:r>
      <w:r>
        <w:rPr>
          <w:rFonts w:ascii="Arial" w:cs="Arial" w:eastAsia="Arial" w:hAnsi="Arial"/>
          <w:sz w:val="18"/>
          <w:szCs w:val="18"/>
          <w:color w:val="auto"/>
        </w:rPr>
        <w:t>. We record revenue on an accrual basis, using an estimate of the amount that we will ultimately</w:t>
      </w:r>
      <w:r>
        <w:rPr>
          <w:rFonts w:ascii="Arial" w:cs="Arial" w:eastAsia="Arial" w:hAnsi="Arial"/>
          <w:sz w:val="18"/>
          <w:szCs w:val="18"/>
          <w:i w:val="1"/>
          <w:iCs w:val="1"/>
          <w:color w:val="auto"/>
        </w:rPr>
        <w:t xml:space="preserve"> </w:t>
      </w:r>
      <w:r>
        <w:rPr>
          <w:rFonts w:ascii="Arial" w:cs="Arial" w:eastAsia="Arial" w:hAnsi="Arial"/>
          <w:sz w:val="18"/>
          <w:szCs w:val="18"/>
          <w:color w:val="auto"/>
        </w:rPr>
        <w:t>realize, as determined based on a historical analysis of amounts collected by test and by payor, among other factors. Changes to such estimates may increase or decrease revenue recognized in future periods.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that may affect our performance in the section entitled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Inflationary Environment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U.S. Trade Policy</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business, results of operations and financial condition may be adversely affected by uncertainty and changes in U.S. trade policies, including tariffs, quotas, trade agreements or other trade restrictions imposed by the U.S. or other governments. Our business requires access to reagents and other materials to run our tests, some of which we source from suppliers located outside the United States, including Germany. Any imposition of or increase in tariffs or other restrictions on imports of reagents or other materials, as well as corresponding price increases for such materials available domestically, if any, could increase our costs. We would likely be unable to pass all or any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8"/>
          <w:szCs w:val="18"/>
          <w:color w:val="auto"/>
        </w:rPr>
        <w:t>such cost increases on to our customers and such cost increases could materially and adversely affect our business, results of operations and financial condition, including our gross margin.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using an estimate of the amount we will ultimately receive, as determined based on a historical analysis of amounts collected by test and by payor, among other factors. These assessments require significant judgment by management.</w:t>
      </w:r>
    </w:p>
    <w:p>
      <w:pPr>
        <w:spacing w:after="0" w:line="1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and their physician assistants in the United States. The healthcare professionals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2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ability to increase our revenue may depend, in part, on the success of the T-Cell Biomarker and RA and PAD4 Sub-Profile Biomarkers enhancements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in addition to our ability to further penetrate the market for our current and future testing products and increase our reimbursement and collection rates (ASP) for tests delivered.</w:t>
      </w:r>
    </w:p>
    <w:p>
      <w:pPr>
        <w:spacing w:after="0" w:line="12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2022, we were granted a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which is offered standalone or as part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Noridian, our MAC, has set the current pricing for this PLA code at $840.65 per test. CMS will align local MAC pricing with national payment rates for the PLA code on the 2026 CLFS through their annual payment determination process to provide a standardized, nationally determined payment rate.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and on September 27, 2022, we received notice that Noridian deemed our application for an LCD to be valid, but our application is still pending. Ultimately receiving a favorable LCD is uncertain and may be time-consuming, resource intensive and require multiple quarterly or annual periods to complete and is subject to risks and uncertainties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this Annual Report. Further, on January 20, 2025, President Trump issued an Executive Order entitled Regulatory Freeze Pending Review, which halted all federal level regulatory rules and guidance not yet in effect. Because the Executive Order extends to LCDs not yet in effect, it leaves the fate and timing of our LCD application uncertain.</w:t>
      </w:r>
    </w:p>
    <w:p>
      <w:pPr>
        <w:spacing w:after="0" w:line="143"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the meantime, we have continued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 On January 31, 2024, CMS released a coverage article under which all multi-analyte proteomic testing will be considered within the scope of MolDX and reviewed through their technology assessment process. The article listed several such tests, including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and requires all laboratories furnishing multi-analyte proteomics testing in MolDX jurisdictions to register with the DEX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Diagnostics Exchange Registry and obtain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We were issued a Z-Code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identifier in May 2024. To determine if the submitted tests are compliant with relevant policy requirements, these tests will undergo technical assessment by Palmetto GBA as part of the MolDX program. That technical assessment is on hold until such time as an LCD is issued by CMS. In the interim, we expect our current status with CMS to remain unchanged.</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face consistent challenges relating to commercial payor claim processing and revenue. While collectability has improved with certain plans year-over-year, we continue to experience denials due to unfavorable medical policy with certain plans, and we expect this situation to persist.</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year ended December 31, 2023, we implemented several revenue cycle management initiatives, including among others, withholding the submission of commercial payor claims for reimbursement until subsequent quarters, increasing appeals efforts, adjusting the documentation required of physicians when ordering our tests and implementing increases to our patient payment rates. Additionally, in November 2023, we increased the list price billed for our tests. These ongoing revenue cycle management initiatives aim to optimize our appeals process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6" w:name="page77"/>
    <w:bookmarkEnd w:id="76"/>
    <w:p>
      <w:pPr>
        <w:jc w:val="both"/>
        <w:spacing w:after="0" w:line="246" w:lineRule="auto"/>
        <w:rPr>
          <w:sz w:val="20"/>
          <w:szCs w:val="20"/>
          <w:color w:val="auto"/>
        </w:rPr>
      </w:pPr>
      <w:r>
        <w:rPr>
          <w:rFonts w:ascii="Arial" w:cs="Arial" w:eastAsia="Arial" w:hAnsi="Arial"/>
          <w:sz w:val="18"/>
          <w:szCs w:val="18"/>
          <w:color w:val="auto"/>
        </w:rPr>
        <w:t>and the potential for cash collections. During the fiscal year ended December 31, 2024, we experienced moderate declines in test volume since the second half of the fiscal year ended December 31, 2023, as rheumatologists and patients adjusted to these changes. During the fiscal year ended December 31, 2025, we saw a return to volume growth. The number of AVISE® CTD tests delivered during the year ended December 31, 2025 improved by approximately 11% as compared to the number of AVISE® CTD tests delivered during the year ended December 31, 2024 due to continuing physician demand and adoption, early traction from our new biomarkers, and salesforce expansion. Additionally, the trailing-twelve-month ASP of our AVISE® CTD tests increased by approximately 7% during the year ended December 31, 2025 compared to the same period in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revenue represents the expenses associated with obtaining and testing patient specimens. The components of our cost of revenue include materials costs, direct labor, equipment, infrastructure expenses, shipping charges to transport specimens, blood specimen collections fees, royalties, depreciation and allocated overhead (including rent and utilities).</w:t>
      </w:r>
    </w:p>
    <w:p>
      <w:pPr>
        <w:spacing w:after="0" w:line="12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Each payor, whether commercial, government, or individual, reimburses us at different amounts. These differences can be significant. As a result, our cost of revenue as a percentage of revenue may vary significantly from period to period due to the composition of payors for each period's billings. Our cost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has increased year-over-year as a result of costs associated with the addition of the T-Cell Biomarkers and RA Sub-Profile Biomarkers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cash and non-cash interest expense associated with borrowings under the Perceptive Term Loan Facility as well as our other financing arrangements.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Loss on extinguishment of debt consists of the unamortized debt issuance costs and final payment fee due under the terms of our prior loan agreement, as amended, with Innovatus Life Sciences Lending Fund I, LP (the Amended Loan Agreement). The Amended Loan Agreement was fully repaid and terminated on April 25,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the fair value of the warrant liability relates to the warrant certificate issued in connection with the Credit Agreement with Perceptive (the Warrant Certificate).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income earned on our cash and cash equivalents.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10,934</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5,247</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5,687</w:t>
            </w:r>
          </w:p>
        </w:tc>
      </w:tr>
      <w:tr>
        <w:trPr>
          <w:trHeight w:val="17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7"/>
        </w:trPr>
        <w:tc>
          <w:tcPr>
            <w:tcW w:w="6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5,242</w:t>
            </w:r>
          </w:p>
        </w:tc>
      </w:tr>
      <w:tr>
        <w:trPr>
          <w:trHeight w:val="198"/>
        </w:trPr>
        <w:tc>
          <w:tcPr>
            <w:tcW w:w="68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r>
      <w:tr>
        <w:trPr>
          <w:trHeight w:val="200"/>
        </w:trPr>
        <w:tc>
          <w:tcPr>
            <w:tcW w:w="68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52,869</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6,121</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0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(2,084)</w:t>
            </w:r>
          </w:p>
        </w:tc>
      </w:tr>
      <w:tr>
        <w:trPr>
          <w:trHeight w:val="199"/>
        </w:trPr>
        <w:tc>
          <w:tcPr>
            <w:tcW w:w="68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r>
      <w:tr>
        <w:trPr>
          <w:trHeight w:val="19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r>
      <w:tr>
        <w:trPr>
          <w:trHeight w:val="198"/>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21"/>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(19,951)</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Revenue increased $10.9 million, or 19.7%, for the year ended December 31, 2025 compared to the year ended December 31, 2024, due to an increase in test volume and continued ASP expansion.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year ended December 31, 2025 increased by approximately 11% compared to the same period in 2024. In addition,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trailing twelve-month ASP increased by $30 per test to $441 per test in the fourth quarter of 2025 from $411 per test in the fourth quarter of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 of revenue increased $ 5.2 million, or 23.3%, for the year ended December 31, 2025 compared to the year ended December 31, 2024. This increase was primarily due to increases of $ 3.7 million in materials and supplies expenses, $1.4 million in payroll and stock-based compensation expense, and $0.3 million in facilities and allocated overhead expenses. These increases were partially offset by a decrease of $0.2 million in shipping and handling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Gross margin as a percentage of revenue decreased slightly to 58.3% for the year ended December 31, 2025 compared to 59.5% for the year ended December 31, 2024, primarily due to the changes to revenue and cost of revenue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Selling, general and administrative expenses increased $5.2 million, or 12.7%, for the year ended December 31, 2025 compared to the year ended December 31, 2024. This increase was primarily due to increases of $2.2 million in salaries, $1.6 million in commissions, $0.7 million in travel and entertainment, $0.5 million in outside services, $0.2 million in stock-based compensation expense, and $0.1 million in other expenses, partially offset by a decrease of $0.1 million in bonuses.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Research and development expenses increased $0.9 million, or 16.4%, for the year ended December 31, 2025 compared to the year ended December 31, 2024. This increase was primarily due to an increase of $0.6 million of</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8"/>
          <w:szCs w:val="18"/>
          <w:color w:val="auto"/>
        </w:rPr>
        <w:t>personnel costs (including salaries, benefits and stock-based compensation) resulting from increased allocation of labor to research and development for laboratory personnel working on the validation of the T-Cell Biomarkers and RA Sub-Profile Biomarkers, and an increase of $0.3 million in clinical and facility-related expenses.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Interest expense increased by $2.1 million, including an increase of $0.8 million in non-cash interest expense, for the year ended December 31, 2025 compared to the year ended December 31, 2024, primarily due to the Perceptive Term Loan Facility that we entered into in April 2025 and the embedded finance lease related to the supply agreement, as amended, with one of our suppliers for certain reagents. We expect to continue to incur this interest expense under the Perceptive Term Loan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Loss on extinguishment of debt increased by $0.3 million for the year ended December 31, 2025 compared to the year ended December 31, 2024, as a result of our early payoff of all outstanding indebtedness under the Amended Loan Agreement in April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fair value of the warrant liability increased by $1.5 million for the year ended December 31, 2025 compared to the year ended December 31, 2024, primarily due to increases in the fair value of the underlying common stock.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Interest income decreased $0.5 million for the year ended December 31, 2025 compared to the year ended December 31, 2024, primarily due to a decrease in cash and cash equivalents held in money market funds.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tax expense remained substantially consistent for the year ended December 31, 2025 compared to the year ended December 31,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incurred net losses since our inception. For the years ended December 31, 2025 and 2024, we incurred a net loss of $20.0 million and $15.1 million, respectively, and we expect to incur additional losses in future periods. To date, we have generated only limited revenue, and despite any estimates we may make regarding our ability to become profitable, we may never achieve revenue sufficient to offset our expenses. As of December 31, 2025, we had an accumulated deficit of $314.3 million and cash and cash equivalents of $32.2 million. Cash in excess of immediate requirements is invested in accordance with our investment policy, primarily with a view to liquidity and capital preservation. Currently, our funds are held in cash. A total of an additional $ 40.0 million is available at our option under the Perceptive Term Loan Facility as amended in March 2026 should we attain specified revenue levels and satisfy other conditions.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Since becoming a public company, our primary sources of capital have been cash inflows from product sales, sales of our common stock and, to a lesser extent, borrowings under term loan facilities.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obligations under the Perceptive Term Loan Facility are secured by a first-priority lien on substantially all of our existing and future assets. In connection with the Credit Agreement, we issued the Warrant Certificate to Perceptive. The Warrant Certificate has a ten-year term from the applicable issuance date and includes protection for certain dilutive issuances and registration rights provisions. The Perceptive Term Loan Facility includes customary affirmative, negative, and financial covenants. These include, among others, restrictions on additional indebtedness, liens, dividends, mergers and acquisitions, and affiliate transactions. The Perceptive Term Loan Facility also requires that we maintain a minimum unrestricted cash balance of $3.0 million and achieve specified net revenue levels on a quarterly basis beginning with the quarter ending June 30, 2025. In addition, upon the occurrence of an event of default, Perceptive, among other things, can declare all indebtedness due and payable immediately, which would adversely impact our liquidity and reduce the availability of our cash flows to fund working capital needs, capital expenditures and other general corporate purposes. As of December 31, 2025, we were in compliance with all covenants of the Perceptive Term Loan Facility.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9" w:name="page80"/>
    <w:bookmarkEnd w:id="79"/>
    <w:p>
      <w:pPr>
        <w:jc w:val="both"/>
        <w:spacing w:after="0" w:line="253" w:lineRule="auto"/>
        <w:rPr>
          <w:sz w:val="20"/>
          <w:szCs w:val="20"/>
          <w:color w:val="auto"/>
        </w:rPr>
      </w:pPr>
      <w:r>
        <w:rPr>
          <w:rFonts w:ascii="Arial" w:cs="Arial" w:eastAsia="Arial" w:hAnsi="Arial"/>
          <w:sz w:val="18"/>
          <w:szCs w:val="18"/>
          <w:color w:val="auto"/>
        </w:rPr>
        <w:t>On May 9, 2025, we issued and sold an aggregate of 3,852,500 shares of our common stock (inclusive of 502,500 shares pursuant to the exercise in full of the Underwriters’ option to purchase additional shares) at a public offering price of $5.25 per share, for aggregate net proceeds of $18.6 million after deducting underwriting discounts and commissions and other offering expenses.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17, 2023, we filed a registration statement on Form S-3 (Shelf Registration Statement) covering the offering, from time to time, of up to $150.0 million shares of our common stock, preferred stock, debt securities, warrants and units, of which $126.2 million remained available for sale at December 31, 2025.</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September 15, 2022, we entered into the Amended Sales Agreement with TD Cowen, as sales agent, pursuant to which we may offer and sell, from time to time, shares of common stock having an aggregate offering price of up to $50.0 million. We are not obligated to sell any</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shares of our common stock under the Amended Sales Agreement. During the year ended December 31, 2025, we sold 360,554 shares of common stock under the Amended Sales Agreement at an average per share price of $9.82, for gross proceeds of approximately $3.5 million and net proceeds of approximately $3.4 million after deducting $0.1 million in commissions paid to TD Cowen and other offering expenses payable by 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primary use of cash is to fund our operations as we continue to grow our business. We expect to continue to incur operating losses in the near term. In the short-term, we expect increases in cost of revenue as a result of costs associated with the addition of the T-Cell Biomarkers and RA Sub-Profile Biomarkers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also anticipate increases in our selling, general and administrative expenses due to increased headcount. We expect research and development expenses to remain relatively consistent in the short-term.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2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for reagents, payments related to our principal and interest under our long term borrowing arrangements, payments for operating leases related to our office and laboratory space in Vista, CA and our office space in Carlsbad, CA, and payments for operating and finance leases related to our laboratory equipment (see "Note 4.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audited financial statements included in this Annual Report).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83" w:lineRule="exact"/>
        <w:rPr>
          <w:sz w:val="20"/>
          <w:szCs w:val="20"/>
          <w:color w:val="auto"/>
        </w:rPr>
      </w:pPr>
    </w:p>
    <w:p>
      <w:pPr>
        <w:ind w:left="660" w:right="20" w:hanging="328"/>
        <w:spacing w:after="0" w:line="23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improve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ASP as a result of the launch of the T-Cell Biomarkers and RA Sub-Profile Biomarkers, in addition to our ability to achieve adequate reimbursement for these additions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offering;</w:t>
      </w:r>
    </w:p>
    <w:p>
      <w:pPr>
        <w:spacing w:after="0" w:line="58"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99" w:lineRule="exact"/>
        <w:rPr>
          <w:rFonts w:ascii="Arial" w:cs="Arial" w:eastAsia="Arial" w:hAnsi="Arial"/>
          <w:sz w:val="18"/>
          <w:szCs w:val="18"/>
          <w:color w:val="auto"/>
        </w:rPr>
      </w:pPr>
    </w:p>
    <w:p>
      <w:pPr>
        <w:ind w:left="660" w:hanging="328"/>
        <w:spacing w:after="0" w:line="23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12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157" w:lineRule="exact"/>
        <w:rPr>
          <w:rFonts w:ascii="Arial" w:cs="Arial" w:eastAsia="Arial" w:hAnsi="Arial"/>
          <w:sz w:val="18"/>
          <w:szCs w:val="18"/>
          <w:b w:val="1"/>
          <w:bCs w:val="1"/>
          <w:color w:val="auto"/>
        </w:rPr>
      </w:pPr>
    </w:p>
    <w:p>
      <w:pPr>
        <w:ind w:left="660" w:hanging="328"/>
        <w:spacing w:after="0" w:line="287" w:lineRule="auto"/>
        <w:tabs>
          <w:tab w:leader="none" w:pos="65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and commercialization efforts; and</w:t>
      </w:r>
    </w:p>
    <w:p>
      <w:pPr>
        <w:spacing w:after="0" w:line="85" w:lineRule="exact"/>
        <w:rPr>
          <w:rFonts w:ascii="Arial" w:cs="Arial" w:eastAsia="Arial" w:hAnsi="Arial"/>
          <w:sz w:val="18"/>
          <w:szCs w:val="18"/>
          <w:b w:val="1"/>
          <w:bCs w:val="1"/>
          <w:color w:val="auto"/>
        </w:rPr>
      </w:pPr>
    </w:p>
    <w:p>
      <w:pPr>
        <w:ind w:left="660" w:hanging="328"/>
        <w:spacing w:after="0" w:line="271" w:lineRule="auto"/>
        <w:tabs>
          <w:tab w:leader="none" w:pos="65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Until such time, if ever, as we can generate revenue to support our costs structure, we may be required to finance our operations as needed through equity offerings, debt financings or other capital sources, including potential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0" w:name="page81"/>
    <w:bookmarkEnd w:id="80"/>
    <w:p>
      <w:pPr>
        <w:jc w:val="both"/>
        <w:spacing w:after="0" w:line="243" w:lineRule="auto"/>
        <w:rPr>
          <w:sz w:val="20"/>
          <w:szCs w:val="20"/>
          <w:color w:val="auto"/>
        </w:rPr>
      </w:pPr>
      <w:r>
        <w:rPr>
          <w:rFonts w:ascii="Arial" w:cs="Arial" w:eastAsia="Arial" w:hAnsi="Arial"/>
          <w:sz w:val="18"/>
          <w:szCs w:val="18"/>
          <w:color w:val="auto"/>
        </w:rPr>
        <w:t>collaborations, licenses and other similar arrangements. The Perceptive Term Loan Facility involves, and any additional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60" w:type="dxa"/>
            <w:vAlign w:val="bottom"/>
          </w:tcPr>
          <w:p>
            <w:pPr>
              <w:ind w:left="10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(13,625)</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(13,279)</w:t>
            </w:r>
          </w:p>
        </w:tc>
      </w:tr>
      <w:tr>
        <w:trPr>
          <w:trHeight w:val="207"/>
        </w:trPr>
        <w:tc>
          <w:tcPr>
            <w:tcW w:w="8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198"/>
        </w:trPr>
        <w:tc>
          <w:tcPr>
            <w:tcW w:w="8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cash used in operating activities for the year ended December 31, 2025 was $13.6 million and primarily resulted from (i) our net loss of $20.0 million adjusted for non-cash charges of $8.3 million primarily related to stock-based compensation, depreciation, amortization, change in fair value of warrant liability, loss on extinguishment of debt, non-cash lease expense and non-cash interest and (ii) changes in our net operating assets of $2.0 million primarily related to net increases in accounts receivable and net decreases in operating lease liabilities, partially offset by net decreases in prepaid expenses and other current assets and other assets and increases in accrued and other current liabilities.</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used in operating activities for the year ended December 31, 2024 was $13.3 million and primarily resulted from (i) our net loss of $15.1 million adjusted for non-cash charges of $4.9 million primarily related to stock-based compensation, depreciation, amortization, non-cash lease expenses and non-cash interest and (ii) changes in our net operating assets of $3.1 million primarily related to net increases in prepaid expenses and other current assets and accounts receivable, and net decreases in operating lease liabilities, partially offset by net increases in accounts payable.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for the year ended December 31, 2025 and 2024 was $0.6 million and $0.5 million, respectively, and was primarily due to net purchases of property and equipment.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cash provided by financing activities for the year ended December 31, 2025 was $24.4 million, primarily resulting from $23.7 million in proceeds from the issuance of debt and warrants, net of discounts, $18.6 million in proceeds from common stock issued in public offering, net of issuance costs, $3.4 million in proceeds from common stock issued under the Amended Sales Agreement with TD Cowen, net of issuance costs, and $0.4 million in proceeds from common stock issued under our 2019 Employee Stock Purchase Plan (the ESPP), partially offset by a $19.7 million payment to early extinguish debt, $0.9 million in payments of debt issuance costs, $0.6 million in principal payments on notes payable obligations, and $0.5 million in principal payments on finance lease obligations.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1" w:name="page82"/>
    <w:bookmarkEnd w:id="81"/>
    <w:p>
      <w:pPr>
        <w:jc w:val="both"/>
        <w:ind w:right="20"/>
        <w:spacing w:after="0" w:line="271" w:lineRule="auto"/>
        <w:rPr>
          <w:sz w:val="20"/>
          <w:szCs w:val="20"/>
          <w:color w:val="auto"/>
        </w:rPr>
      </w:pPr>
      <w:r>
        <w:rPr>
          <w:rFonts w:ascii="Arial" w:cs="Arial" w:eastAsia="Arial" w:hAnsi="Arial"/>
          <w:sz w:val="18"/>
          <w:szCs w:val="18"/>
          <w:color w:val="auto"/>
        </w:rPr>
        <w:t>Net cash used in financing activities for the year ended December 31, 2024 was $0.7 million, primarily consisting of principal payments on finance lease obligations and notes payable, partially offset by the proceeds from ESPP purchases.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Our management’s discussion and analysis of our financial condition and results of operations is based on our audited financial statements, which have been prepared in accordance with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the following accounting estimates are the most critical to us, in that they require our most difficult, subjective or complex judgments in the preparation of our financial statements. For further information,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Financial Statements, which outlines our application of significant accounting policies.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commercial payors, government payors (primarily Medicare and Medicaid), client payors (hospitals, other laboratories, etc.) and patient self-pays.</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are recorded upon settlement. The transaction price is estimated using an expected value method on a portfolio basis. Our portfolios are grouped per payor (each individual third-party insurance, Medicare, Medicaid, client payors, patient self-pay, etc.) and on a per test basis.</w:t>
      </w:r>
    </w:p>
    <w:p>
      <w:pPr>
        <w:spacing w:after="0" w:line="1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Collection of our net revenues from payors is normally a function of providing complete and correct billing information to the healthcare insurers and generally occurs within 30 to 90 days of billing.</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judgments underlying estimated collections change, our financial results could be impacted in future periods. Included in revenues for the years ended December 31, 2025 and 2024 were net revenue increases of $ 0.9 million and $6.6 million, respectively, associated with changes in estimated variable consideration related to performance obligations satisfied in previous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5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to the audited financial statements included in this Annual Report for a summary of recent accounting pronouncements.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financial statements and supplemental data required by this item are set forth at the pages indicated in Part IV, Item 15(a)(1) of this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we are required to disclose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2025, our disclosure controls and procedures were effective at a reasonable level of assurance.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of December 31, 2025, our management assessed the effectiveness of our internal control over financial reporting using the criteria set forth by the Committee of Sponsoring Organizations of the Treadway Commission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this assessment, our management concluded that, as of December 31, 2025, our internal control over financial reporting was effective.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2025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December 31, 2025, none of our directors or officers adopted or terminated a "Rule 10b5-1 trading arrangement" or "non-Rule 10b5-1 trading arrangement," as each term is defined in Item 408 of Regulation S-K.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 Trading Policy</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maintain an Insider Trading Policy that, among other things, prohibits all officers, directors, and other employees with access to sensitive Company information from engaging in “hedging” transactions with respect to our shares. This includes short sales, hedging of share ownership positions, and transactions involving derivative securities relating to our shares. The Insider Trading Policy also generally prohibits borrowing or other arrangements involving the non-recourse pledge of our shares. This policy is included as Exhibit 19 to this Annual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March 6, 2026, the Company and Perceptive entered into a first amendment to the Credit Agreement. This amendment, among other changes, terminated the Tranche C Term Loan Commitment (as defined therein), extended the availability of the $10.0 million Tranche B Term Loan (as defined therein) to September 30, 2026, increased the trailing twelve month net revenue milestone applicable to the Tranche B Borrowing Date (as defined therein), and revised certain financial covenant thresholds. The first amendment did not change the stated maturity of the existing term loans and reaffirmed the existing liens and guarantees securing the credit facility. As a result of this amendment, the number of shares of common stock subject to future vesting pursuant to the Warrant Certificate has been reduced from up to 750,000 shares of common stock to up to 600,000 shares of common stock that will vest and become exercisable if and when the remaining additional debt tranches (Tranche B and/or Tranche D) are drawn by the Company.</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descriptions of the first amendment and Credit Agreement are qualified by their entirety by the full text of the Credit Agreement and amendment, attached as Exhibits 10.41 and 10.42, respectively, to this Annual Report.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will be incorporated herein by reference to our Proxy Statement with respect to our 2026 Annual Meeting of Stockholders to be filed with the SEC within 120 days of the end of the fiscal year covered by this Annual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will be incorporated herein by reference to our Proxy Statement with respect to our 2026 Annual Meeting of Stockholders to be filed with the SEC within 120 days of the end of the fiscal year covered by this Annual Report.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incorporated herein by reference to our Proxy Statement with respect to our 2026 Annual Meeting of Stockholders to be filed with the SEC within 120 days of the end of the fiscal year covered by this Annual Report.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will be incorporated herein by reference to our Proxy Statement with respect to our 2026 Annual Meeting of Stockholders to be filed with the SEC within 120 days of the end of the fiscal year covered by this Annual Report.</w:t>
      </w: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BDO USA, P.C., San Diego, California, PCAOB ID #243.</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this item will be incorporated herein by reference to our Proxy Statement with respect to our 2026 Annual Meeting of Stockholders to be filed with the SEC within 120 days of the end of the fiscal year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Exhibits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list of exhibits is set forth on the Exhibit Index immediately preceding the signature page of this Annual Report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All financial statements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financial statements of Exagen Inc., together with the report thereon of BDO USA, P.C., an independent registered public accounting firm, are included in this Annual Report beginning on page F-2.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schedules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All schedules have been omitted because the information required to be set forth therein is not applicable or is shown in the financial statements or notes thereto.</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43"/>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43"/>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43"/>
          </w:tcPr>
          <w:p>
            <w:pPr>
              <w:spacing w:after="0" w:line="155" w:lineRule="exact"/>
              <w:rPr>
                <w:rFonts w:ascii="Arial" w:cs="Arial" w:eastAsia="Arial" w:hAnsi="Arial"/>
                <w:sz w:val="14"/>
                <w:szCs w:val="14"/>
                <w:color w:val="0000FF"/>
              </w:rPr>
            </w:pPr>
            <w:hyperlink r:id="rId101">
              <w:r>
                <w:rPr>
                  <w:rFonts w:ascii="Arial" w:cs="Arial" w:eastAsia="Arial" w:hAnsi="Arial"/>
                  <w:sz w:val="14"/>
                  <w:szCs w:val="14"/>
                  <w:color w:val="0000FF"/>
                </w:rPr>
                <w:t>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01">
              <w:r>
                <w:rPr>
                  <w:rFonts w:ascii="Arial" w:cs="Arial" w:eastAsia="Arial" w:hAnsi="Arial"/>
                  <w:sz w:val="14"/>
                  <w:szCs w:val="14"/>
                  <w:color w:val="0000FF"/>
                </w:rPr>
                <w:t>Incorporation.</w:t>
              </w:r>
            </w:hyperlink>
          </w:p>
        </w:tc>
        <w:tc>
          <w:tcPr>
            <w:tcW w:w="1480" w:type="dxa"/>
            <w:vAlign w:val="bottom"/>
            <w:tcBorders>
              <w:top w:val="single" w:sz="8" w:color="0000FF"/>
            </w:tcBorders>
            <w:gridSpan w:val="10"/>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43"/>
          </w:tcPr>
          <w:p>
            <w:pPr>
              <w:spacing w:after="0"/>
              <w:rPr>
                <w:rFonts w:ascii="Arial" w:cs="Arial" w:eastAsia="Arial" w:hAnsi="Arial"/>
                <w:sz w:val="14"/>
                <w:szCs w:val="14"/>
                <w:color w:val="0000FF"/>
              </w:rPr>
            </w:pPr>
            <w:hyperlink r:id="rId102">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3.3</w:t>
            </w:r>
          </w:p>
        </w:tc>
        <w:tc>
          <w:tcPr>
            <w:tcW w:w="3140" w:type="dxa"/>
            <w:vAlign w:val="bottom"/>
            <w:gridSpan w:val="43"/>
          </w:tcPr>
          <w:p>
            <w:pPr>
              <w:spacing w:after="0"/>
              <w:rPr>
                <w:rFonts w:ascii="Arial" w:cs="Arial" w:eastAsia="Arial" w:hAnsi="Arial"/>
                <w:sz w:val="14"/>
                <w:szCs w:val="14"/>
                <w:color w:val="0000FF"/>
              </w:rPr>
            </w:pPr>
            <w:hyperlink r:id="rId103">
              <w:r>
                <w:rPr>
                  <w:rFonts w:ascii="Arial" w:cs="Arial" w:eastAsia="Arial" w:hAnsi="Arial"/>
                  <w:sz w:val="14"/>
                  <w:szCs w:val="14"/>
                  <w:color w:val="0000FF"/>
                </w:rPr>
                <w:t>Amendment to Amended and Restated Bylaws,</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1/23/2023</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156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03">
              <w:r>
                <w:rPr>
                  <w:rFonts w:ascii="Arial" w:cs="Arial" w:eastAsia="Arial" w:hAnsi="Arial"/>
                  <w:sz w:val="14"/>
                  <w:szCs w:val="14"/>
                  <w:color w:val="0000FF"/>
                </w:rPr>
                <w:t>dated January 19, 2023.</w:t>
              </w:r>
            </w:hyperlink>
          </w:p>
        </w:tc>
        <w:tc>
          <w:tcPr>
            <w:tcW w:w="1460" w:type="dxa"/>
            <w:vAlign w:val="bottom"/>
            <w:tcBorders>
              <w:top w:val="single" w:sz="8" w:color="0000FF"/>
            </w:tcBorders>
            <w:gridSpan w:val="2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43"/>
          </w:tcPr>
          <w:p>
            <w:pPr>
              <w:spacing w:after="0"/>
              <w:rPr>
                <w:rFonts w:ascii="Arial" w:cs="Arial" w:eastAsia="Arial" w:hAnsi="Arial"/>
                <w:sz w:val="14"/>
                <w:szCs w:val="14"/>
                <w:color w:val="0000FF"/>
              </w:rPr>
            </w:pPr>
            <w:hyperlink r:id="rId104">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312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104">
              <w:r>
                <w:rPr>
                  <w:rFonts w:ascii="Arial" w:cs="Arial" w:eastAsia="Arial" w:hAnsi="Arial"/>
                  <w:sz w:val="14"/>
                  <w:szCs w:val="14"/>
                  <w:color w:val="0000FF"/>
                </w:rPr>
                <w:t>of common stock.</w:t>
              </w:r>
            </w:hyperlink>
          </w:p>
        </w:tc>
        <w:tc>
          <w:tcPr>
            <w:tcW w:w="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43"/>
          </w:tcPr>
          <w:p>
            <w:pPr>
              <w:spacing w:after="0"/>
              <w:rPr>
                <w:rFonts w:ascii="Arial" w:cs="Arial" w:eastAsia="Arial" w:hAnsi="Arial"/>
                <w:sz w:val="14"/>
                <w:szCs w:val="14"/>
                <w:color w:val="0000FF"/>
              </w:rPr>
            </w:pPr>
            <w:hyperlink r:id="rId105">
              <w:r>
                <w:rPr>
                  <w:rFonts w:ascii="Arial" w:cs="Arial" w:eastAsia="Arial" w:hAnsi="Arial"/>
                  <w:sz w:val="14"/>
                  <w:szCs w:val="14"/>
                  <w:color w:val="0000FF"/>
                </w:rPr>
                <w:t>Form of Common Stock Purchase Warrant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74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105">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gridSpan w:val="43"/>
          </w:tcPr>
          <w:p>
            <w:pPr>
              <w:spacing w:after="0" w:line="115" w:lineRule="exact"/>
              <w:rPr>
                <w:rFonts w:ascii="Arial" w:cs="Arial" w:eastAsia="Arial" w:hAnsi="Arial"/>
                <w:sz w:val="13"/>
                <w:szCs w:val="13"/>
                <w:color w:val="0000FF"/>
              </w:rPr>
            </w:pPr>
            <w:hyperlink r:id="rId105">
              <w:r>
                <w:rPr>
                  <w:rFonts w:ascii="Arial" w:cs="Arial" w:eastAsia="Arial" w:hAnsi="Arial"/>
                  <w:sz w:val="13"/>
                  <w:szCs w:val="13"/>
                  <w:color w:val="0000FF"/>
                </w:rPr>
                <w:t>connection with private placement financings.</w:t>
              </w:r>
            </w:hyperlink>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880" w:type="dxa"/>
            <w:vAlign w:val="bottom"/>
            <w:tcBorders>
              <w:top w:val="single" w:sz="8" w:color="0000FF"/>
            </w:tcBorders>
            <w:gridSpan w:val="31"/>
          </w:tcPr>
          <w:p>
            <w:pPr>
              <w:spacing w:after="0"/>
              <w:rPr>
                <w:rFonts w:ascii="Arial" w:cs="Arial" w:eastAsia="Arial" w:hAnsi="Arial"/>
                <w:sz w:val="14"/>
                <w:szCs w:val="14"/>
                <w:color w:val="0000FF"/>
              </w:rPr>
            </w:pPr>
            <w:hyperlink r:id="rId106">
              <w:r>
                <w:rPr>
                  <w:rFonts w:ascii="Arial" w:cs="Arial" w:eastAsia="Arial" w:hAnsi="Arial"/>
                  <w:sz w:val="14"/>
                  <w:szCs w:val="14"/>
                  <w:color w:val="0000FF"/>
                </w:rPr>
                <w:t>Form of Common Stock Purchase Warrant to</w:t>
              </w:r>
            </w:hyperlink>
          </w:p>
        </w:tc>
        <w:tc>
          <w:tcPr>
            <w:tcW w:w="260" w:type="dxa"/>
            <w:vAlign w:val="bottom"/>
            <w:gridSpan w:val="1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43"/>
          </w:tcPr>
          <w:p>
            <w:pPr>
              <w:spacing w:after="0" w:line="129" w:lineRule="exact"/>
              <w:rPr>
                <w:rFonts w:ascii="Arial" w:cs="Arial" w:eastAsia="Arial" w:hAnsi="Arial"/>
                <w:sz w:val="14"/>
                <w:szCs w:val="14"/>
                <w:color w:val="0000FF"/>
              </w:rPr>
            </w:pPr>
            <w:hyperlink r:id="rId106">
              <w:r>
                <w:rPr>
                  <w:rFonts w:ascii="Arial" w:cs="Arial" w:eastAsia="Arial" w:hAnsi="Arial"/>
                  <w:sz w:val="14"/>
                  <w:szCs w:val="14"/>
                  <w:color w:val="0000FF"/>
                </w:rPr>
                <w:t>purchase common stock issued to investors by</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80" w:type="dxa"/>
            <w:vAlign w:val="bottom"/>
            <w:tcBorders>
              <w:top w:val="single" w:sz="8" w:color="0000FF"/>
            </w:tcBorders>
            <w:gridSpan w:val="36"/>
          </w:tcPr>
          <w:p>
            <w:pPr>
              <w:spacing w:after="0" w:line="115" w:lineRule="exact"/>
              <w:rPr>
                <w:rFonts w:ascii="Arial" w:cs="Arial" w:eastAsia="Arial" w:hAnsi="Arial"/>
                <w:sz w:val="13"/>
                <w:szCs w:val="13"/>
                <w:color w:val="0000FF"/>
              </w:rPr>
            </w:pPr>
            <w:hyperlink r:id="rId106">
              <w:r>
                <w:rPr>
                  <w:rFonts w:ascii="Arial" w:cs="Arial" w:eastAsia="Arial" w:hAnsi="Arial"/>
                  <w:sz w:val="13"/>
                  <w:szCs w:val="13"/>
                  <w:color w:val="0000FF"/>
                </w:rPr>
                <w:t>the Company in 2016.</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860" w:type="dxa"/>
            <w:vAlign w:val="bottom"/>
            <w:tcBorders>
              <w:bottom w:val="single" w:sz="8" w:color="0000FF"/>
            </w:tcBorders>
            <w:gridSpan w:val="30"/>
          </w:tcPr>
          <w:p>
            <w:pPr>
              <w:spacing w:after="0"/>
              <w:rPr>
                <w:rFonts w:ascii="Arial" w:cs="Arial" w:eastAsia="Arial" w:hAnsi="Arial"/>
                <w:sz w:val="14"/>
                <w:szCs w:val="14"/>
                <w:color w:val="0000FF"/>
              </w:rPr>
            </w:pPr>
            <w:hyperlink r:id="rId107">
              <w:r>
                <w:rPr>
                  <w:rFonts w:ascii="Arial" w:cs="Arial" w:eastAsia="Arial" w:hAnsi="Arial"/>
                  <w:sz w:val="14"/>
                  <w:szCs w:val="14"/>
                  <w:color w:val="0000FF"/>
                </w:rPr>
                <w:t>Form of Warrant to Purchase Stock issued to</w:t>
              </w:r>
            </w:hyperlink>
          </w:p>
        </w:tc>
        <w:tc>
          <w:tcPr>
            <w:tcW w:w="280" w:type="dxa"/>
            <w:vAlign w:val="bottom"/>
            <w:gridSpan w:val="13"/>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140" w:type="dxa"/>
            <w:vAlign w:val="bottom"/>
            <w:gridSpan w:val="43"/>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Innovatus Life Sciences Lending Fund I, LP in</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94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107">
              <w:r>
                <w:rPr>
                  <w:rFonts w:ascii="Arial" w:cs="Arial" w:eastAsia="Arial" w:hAnsi="Arial"/>
                  <w:sz w:val="13"/>
                  <w:szCs w:val="13"/>
                  <w:color w:val="0000FF"/>
                </w:rPr>
                <w:t>connection with the Company's 2018 loan</w:t>
              </w:r>
            </w:hyperlink>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66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07">
              <w:r>
                <w:rPr>
                  <w:rFonts w:ascii="Arial" w:cs="Arial" w:eastAsia="Arial" w:hAnsi="Arial"/>
                  <w:sz w:val="14"/>
                  <w:szCs w:val="14"/>
                  <w:color w:val="0000FF"/>
                </w:rPr>
                <w:t>agreement.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4.5</w:t>
            </w:r>
          </w:p>
        </w:tc>
        <w:tc>
          <w:tcPr>
            <w:tcW w:w="3140" w:type="dxa"/>
            <w:vAlign w:val="bottom"/>
            <w:gridSpan w:val="43"/>
          </w:tcPr>
          <w:p>
            <w:pPr>
              <w:spacing w:after="0"/>
              <w:rPr>
                <w:rFonts w:ascii="Arial" w:cs="Arial" w:eastAsia="Arial" w:hAnsi="Arial"/>
                <w:sz w:val="14"/>
                <w:szCs w:val="14"/>
                <w:color w:val="0000FF"/>
              </w:rPr>
            </w:pPr>
            <w:hyperlink r:id="rId108">
              <w:r>
                <w:rPr>
                  <w:rFonts w:ascii="Arial" w:cs="Arial" w:eastAsia="Arial" w:hAnsi="Arial"/>
                  <w:sz w:val="14"/>
                  <w:szCs w:val="14"/>
                  <w:color w:val="0000FF"/>
                </w:rPr>
                <w:t>Description of Securities</w:t>
              </w:r>
            </w:hyperlink>
            <w:r>
              <w:rPr>
                <w:rFonts w:ascii="Arial" w:cs="Arial" w:eastAsia="Arial" w:hAnsi="Arial"/>
                <w:sz w:val="14"/>
                <w:szCs w:val="14"/>
                <w:color w:val="000000"/>
              </w:rPr>
              <w:t>.</w:t>
            </w: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4.8</w:t>
            </w:r>
          </w:p>
        </w:tc>
        <w:tc>
          <w:tcPr>
            <w:tcW w:w="1140" w:type="dxa"/>
            <w:vAlign w:val="bottom"/>
          </w:tcPr>
          <w:p>
            <w:pPr>
              <w:jc w:val="center"/>
              <w:spacing w:after="0"/>
              <w:rPr>
                <w:sz w:val="20"/>
                <w:szCs w:val="20"/>
                <w:color w:val="auto"/>
              </w:rPr>
            </w:pPr>
            <w:r>
              <w:rPr>
                <w:rFonts w:ascii="Arial" w:cs="Arial" w:eastAsia="Arial" w:hAnsi="Arial"/>
                <w:sz w:val="14"/>
                <w:szCs w:val="14"/>
                <w:color w:val="auto"/>
              </w:rPr>
              <w:t>3/18/2024</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09">
              <w:r>
                <w:rPr>
                  <w:rFonts w:ascii="Arial" w:cs="Arial" w:eastAsia="Arial" w:hAnsi="Arial"/>
                  <w:sz w:val="14"/>
                  <w:szCs w:val="14"/>
                  <w:color w:val="0000FF"/>
                </w:rPr>
                <w:t>Warrant Certificate, dated April 25, 2025, issued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4.6</w:t>
            </w:r>
          </w:p>
        </w:tc>
        <w:tc>
          <w:tcPr>
            <w:tcW w:w="3060" w:type="dxa"/>
            <w:vAlign w:val="bottom"/>
            <w:tcBorders>
              <w:top w:val="single" w:sz="8" w:color="0000FF"/>
            </w:tcBorders>
            <w:gridSpan w:val="39"/>
          </w:tcPr>
          <w:p>
            <w:pPr>
              <w:spacing w:after="0" w:line="129" w:lineRule="exact"/>
              <w:rPr>
                <w:rFonts w:ascii="Arial" w:cs="Arial" w:eastAsia="Arial" w:hAnsi="Arial"/>
                <w:sz w:val="14"/>
                <w:szCs w:val="14"/>
                <w:color w:val="0000FF"/>
              </w:rPr>
            </w:pPr>
            <w:hyperlink r:id="rId109">
              <w:r>
                <w:rPr>
                  <w:rFonts w:ascii="Arial" w:cs="Arial" w:eastAsia="Arial" w:hAnsi="Arial"/>
                  <w:sz w:val="14"/>
                  <w:szCs w:val="14"/>
                  <w:color w:val="0000FF"/>
                </w:rPr>
                <w:t>by the Company to Perceptive Credit Holdings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4/28/2025</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40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w w:val="97"/>
              </w:rPr>
            </w:pPr>
            <w:hyperlink r:id="rId109">
              <w:r>
                <w:rPr>
                  <w:rFonts w:ascii="Arial" w:cs="Arial" w:eastAsia="Arial" w:hAnsi="Arial"/>
                  <w:sz w:val="13"/>
                  <w:szCs w:val="13"/>
                  <w:color w:val="0000FF"/>
                  <w:w w:val="97"/>
                </w:rPr>
                <w:t>IV, LP.</w:t>
              </w:r>
            </w:hyperlink>
          </w:p>
        </w:tc>
        <w:tc>
          <w:tcPr>
            <w:tcW w:w="2560" w:type="dxa"/>
            <w:vAlign w:val="bottom"/>
            <w:tcBorders>
              <w:top w:val="single" w:sz="8" w:color="0000FF"/>
            </w:tcBorders>
            <w:gridSpan w:val="33"/>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10">
              <w:r>
                <w:rPr>
                  <w:rFonts w:ascii="Arial" w:cs="Arial" w:eastAsia="Arial" w:hAnsi="Arial"/>
                  <w:sz w:val="14"/>
                  <w:szCs w:val="14"/>
                  <w:color w:val="0000FF"/>
                </w:rPr>
                <w:t>Exagen Diagnostics, Inc. 2013 Stock Option</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2820" w:type="dxa"/>
            <w:vAlign w:val="bottom"/>
            <w:tcBorders>
              <w:top w:val="single" w:sz="8" w:color="0000FF"/>
            </w:tcBorders>
            <w:gridSpan w:val="28"/>
          </w:tcPr>
          <w:p>
            <w:pPr>
              <w:spacing w:after="0" w:line="129" w:lineRule="exact"/>
              <w:rPr>
                <w:rFonts w:ascii="Arial" w:cs="Arial" w:eastAsia="Arial" w:hAnsi="Arial"/>
                <w:sz w:val="14"/>
                <w:szCs w:val="14"/>
                <w:color w:val="0000FF"/>
              </w:rPr>
            </w:pPr>
            <w:hyperlink r:id="rId110">
              <w:r>
                <w:rPr>
                  <w:rFonts w:ascii="Arial" w:cs="Arial" w:eastAsia="Arial" w:hAnsi="Arial"/>
                  <w:sz w:val="14"/>
                  <w:szCs w:val="14"/>
                  <w:color w:val="0000FF"/>
                </w:rPr>
                <w:t>Plan, as amended, and form of option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4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10">
              <w:r>
                <w:rPr>
                  <w:rFonts w:ascii="Arial" w:cs="Arial" w:eastAsia="Arial" w:hAnsi="Arial"/>
                  <w:sz w:val="13"/>
                  <w:szCs w:val="13"/>
                  <w:color w:val="0000FF"/>
                </w:rPr>
                <w:t>agreement thereunder.</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ind w:left="20"/>
              <w:spacing w:after="0"/>
              <w:rPr>
                <w:sz w:val="20"/>
                <w:szCs w:val="20"/>
                <w:color w:val="auto"/>
              </w:rPr>
            </w:pPr>
            <w:r>
              <w:rPr>
                <w:rFonts w:ascii="Arial" w:cs="Arial" w:eastAsia="Arial" w:hAnsi="Arial"/>
                <w:sz w:val="14"/>
                <w:szCs w:val="14"/>
                <w:color w:val="auto"/>
              </w:rPr>
              <w:t>10.2#</w:t>
            </w:r>
          </w:p>
        </w:tc>
        <w:tc>
          <w:tcPr>
            <w:tcW w:w="3140" w:type="dxa"/>
            <w:vAlign w:val="bottom"/>
            <w:gridSpan w:val="43"/>
          </w:tcPr>
          <w:p>
            <w:pPr>
              <w:spacing w:after="0"/>
              <w:rPr>
                <w:rFonts w:ascii="Arial" w:cs="Arial" w:eastAsia="Arial" w:hAnsi="Arial"/>
                <w:sz w:val="14"/>
                <w:szCs w:val="14"/>
                <w:color w:val="0000FF"/>
              </w:rPr>
            </w:pPr>
            <w:hyperlink r:id="rId111">
              <w:r>
                <w:rPr>
                  <w:rFonts w:ascii="Arial" w:cs="Arial" w:eastAsia="Arial" w:hAnsi="Arial"/>
                  <w:sz w:val="14"/>
                  <w:szCs w:val="14"/>
                  <w:color w:val="0000FF"/>
                </w:rPr>
                <w:t>Exagen Inc. 2019 Incentive Award Plan.</w:t>
              </w:r>
            </w:hyperlink>
          </w:p>
        </w:tc>
        <w:tc>
          <w:tcPr>
            <w:tcW w:w="800" w:type="dxa"/>
            <w:vAlign w:val="bottom"/>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10.3</w:t>
            </w:r>
          </w:p>
        </w:tc>
        <w:tc>
          <w:tcPr>
            <w:tcW w:w="1140" w:type="dxa"/>
            <w:vAlign w:val="bottom"/>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10.3#</w:t>
            </w:r>
          </w:p>
        </w:tc>
        <w:tc>
          <w:tcPr>
            <w:tcW w:w="3140" w:type="dxa"/>
            <w:vAlign w:val="bottom"/>
            <w:gridSpan w:val="43"/>
          </w:tcPr>
          <w:p>
            <w:pPr>
              <w:spacing w:after="0"/>
              <w:rPr>
                <w:rFonts w:ascii="Arial" w:cs="Arial" w:eastAsia="Arial" w:hAnsi="Arial"/>
                <w:sz w:val="14"/>
                <w:szCs w:val="14"/>
                <w:color w:val="0000FF"/>
              </w:rPr>
            </w:pPr>
            <w:hyperlink r:id="rId112">
              <w:r>
                <w:rPr>
                  <w:rFonts w:ascii="Arial" w:cs="Arial" w:eastAsia="Arial" w:hAnsi="Arial"/>
                  <w:sz w:val="14"/>
                  <w:szCs w:val="14"/>
                  <w:color w:val="0000FF"/>
                </w:rPr>
                <w:t>Form of Option Agreement under Exagen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9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12">
              <w:r>
                <w:rPr>
                  <w:rFonts w:ascii="Arial" w:cs="Arial" w:eastAsia="Arial" w:hAnsi="Arial"/>
                  <w:sz w:val="14"/>
                  <w:szCs w:val="14"/>
                  <w:color w:val="0000FF"/>
                </w:rPr>
                <w:t>2019 Incentive Award Plan.</w:t>
              </w:r>
            </w:hyperlink>
          </w:p>
        </w:tc>
        <w:tc>
          <w:tcPr>
            <w:tcW w:w="12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10.4#</w:t>
            </w:r>
          </w:p>
        </w:tc>
        <w:tc>
          <w:tcPr>
            <w:tcW w:w="3140" w:type="dxa"/>
            <w:vAlign w:val="bottom"/>
            <w:gridSpan w:val="43"/>
          </w:tcPr>
          <w:p>
            <w:pPr>
              <w:spacing w:after="0"/>
              <w:rPr>
                <w:rFonts w:ascii="Arial" w:cs="Arial" w:eastAsia="Arial" w:hAnsi="Arial"/>
                <w:sz w:val="14"/>
                <w:szCs w:val="14"/>
                <w:color w:val="0000FF"/>
              </w:rPr>
            </w:pPr>
            <w:hyperlink r:id="rId113">
              <w:r>
                <w:rPr>
                  <w:rFonts w:ascii="Arial" w:cs="Arial" w:eastAsia="Arial" w:hAnsi="Arial"/>
                  <w:sz w:val="14"/>
                  <w:szCs w:val="14"/>
                  <w:color w:val="0000FF"/>
                </w:rPr>
                <w:t>Form of Restricted Stock Unit Agreement under</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304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13">
              <w:r>
                <w:rPr>
                  <w:rFonts w:ascii="Arial" w:cs="Arial" w:eastAsia="Arial" w:hAnsi="Arial"/>
                  <w:sz w:val="14"/>
                  <w:szCs w:val="14"/>
                  <w:color w:val="0000FF"/>
                </w:rPr>
                <w:t>Exagen Inc. 2019 Incentive Award Plan.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10.5#</w:t>
            </w:r>
          </w:p>
        </w:tc>
        <w:tc>
          <w:tcPr>
            <w:tcW w:w="3140" w:type="dxa"/>
            <w:vAlign w:val="bottom"/>
            <w:gridSpan w:val="43"/>
          </w:tcPr>
          <w:p>
            <w:pPr>
              <w:spacing w:after="0"/>
              <w:rPr>
                <w:rFonts w:ascii="Arial" w:cs="Arial" w:eastAsia="Arial" w:hAnsi="Arial"/>
                <w:sz w:val="14"/>
                <w:szCs w:val="14"/>
                <w:color w:val="0000FF"/>
              </w:rPr>
            </w:pPr>
            <w:hyperlink r:id="rId114">
              <w:r>
                <w:rPr>
                  <w:rFonts w:ascii="Arial" w:cs="Arial" w:eastAsia="Arial" w:hAnsi="Arial"/>
                  <w:sz w:val="14"/>
                  <w:szCs w:val="14"/>
                  <w:color w:val="0000FF"/>
                </w:rPr>
                <w:t>Exagen Inc. 2019 Employee Stock Purchase</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8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114">
              <w:r>
                <w:rPr>
                  <w:rFonts w:ascii="Arial" w:cs="Arial" w:eastAsia="Arial" w:hAnsi="Arial"/>
                  <w:sz w:val="14"/>
                  <w:szCs w:val="14"/>
                  <w:color w:val="0000FF"/>
                </w:rPr>
                <w:t>Plan.</w:t>
              </w:r>
            </w:hyperlink>
          </w:p>
        </w:tc>
        <w:tc>
          <w:tcPr>
            <w:tcW w:w="40" w:type="dxa"/>
            <w:vAlign w:val="bottom"/>
            <w:gridSpan w:val="2"/>
          </w:tcPr>
          <w:p>
            <w:pPr>
              <w:spacing w:after="0"/>
              <w:rPr>
                <w:sz w:val="11"/>
                <w:szCs w:val="11"/>
                <w:color w:val="auto"/>
              </w:rPr>
            </w:pPr>
          </w:p>
        </w:tc>
        <w:tc>
          <w:tcPr>
            <w:tcW w:w="18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2900" w:type="dxa"/>
            <w:vAlign w:val="bottom"/>
            <w:tcBorders>
              <w:bottom w:val="single" w:sz="8" w:color="0000FF"/>
            </w:tcBorders>
            <w:gridSpan w:val="32"/>
          </w:tcPr>
          <w:p>
            <w:pPr>
              <w:spacing w:after="0"/>
              <w:rPr>
                <w:rFonts w:ascii="Arial" w:cs="Arial" w:eastAsia="Arial" w:hAnsi="Arial"/>
                <w:sz w:val="14"/>
                <w:szCs w:val="14"/>
                <w:color w:val="0000FF"/>
              </w:rPr>
            </w:pPr>
            <w:hyperlink r:id="rId115">
              <w:r>
                <w:rPr>
                  <w:rFonts w:ascii="Arial" w:cs="Arial" w:eastAsia="Arial" w:hAnsi="Arial"/>
                  <w:sz w:val="14"/>
                  <w:szCs w:val="14"/>
                  <w:color w:val="0000FF"/>
                </w:rPr>
                <w:t>Asset Purchase Agreement, dated October 8,</w:t>
              </w:r>
            </w:hyperlink>
          </w:p>
        </w:tc>
        <w:tc>
          <w:tcPr>
            <w:tcW w:w="240" w:type="dxa"/>
            <w:vAlign w:val="bottom"/>
            <w:gridSpan w:val="11"/>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10.6†</w:t>
            </w:r>
          </w:p>
        </w:tc>
        <w:tc>
          <w:tcPr>
            <w:tcW w:w="3140" w:type="dxa"/>
            <w:vAlign w:val="bottom"/>
            <w:gridSpan w:val="43"/>
          </w:tcPr>
          <w:p>
            <w:pPr>
              <w:spacing w:after="0" w:line="129" w:lineRule="exact"/>
              <w:rPr>
                <w:rFonts w:ascii="Arial" w:cs="Arial" w:eastAsia="Arial" w:hAnsi="Arial"/>
                <w:sz w:val="14"/>
                <w:szCs w:val="14"/>
                <w:color w:val="0000FF"/>
              </w:rPr>
            </w:pPr>
            <w:hyperlink r:id="rId115">
              <w:r>
                <w:rPr>
                  <w:rFonts w:ascii="Arial" w:cs="Arial" w:eastAsia="Arial" w:hAnsi="Arial"/>
                  <w:sz w:val="14"/>
                  <w:szCs w:val="14"/>
                  <w:color w:val="0000FF"/>
                </w:rPr>
                <w:t>2010, by and between Cypress Bioscience, 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108"/>
              <w:spacing w:after="0"/>
              <w:rPr>
                <w:sz w:val="20"/>
                <w:szCs w:val="20"/>
                <w:color w:val="auto"/>
              </w:rPr>
            </w:pPr>
            <w:r>
              <w:rPr>
                <w:rFonts w:ascii="Arial" w:cs="Arial" w:eastAsia="Arial" w:hAnsi="Arial"/>
                <w:sz w:val="14"/>
                <w:szCs w:val="14"/>
                <w:color w:val="auto"/>
                <w:w w:val="96"/>
              </w:rPr>
              <w:t>10.11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060" w:type="dxa"/>
            <w:vAlign w:val="bottom"/>
            <w:tcBorders>
              <w:top w:val="single" w:sz="8" w:color="0000FF"/>
              <w:bottom w:val="single" w:sz="8" w:color="0000FF"/>
            </w:tcBorders>
            <w:gridSpan w:val="13"/>
          </w:tcPr>
          <w:p>
            <w:pPr>
              <w:spacing w:after="0" w:line="115" w:lineRule="exact"/>
              <w:rPr>
                <w:rFonts w:ascii="Arial" w:cs="Arial" w:eastAsia="Arial" w:hAnsi="Arial"/>
                <w:sz w:val="13"/>
                <w:szCs w:val="13"/>
                <w:color w:val="0000FF"/>
              </w:rPr>
            </w:pPr>
            <w:hyperlink r:id="rId115">
              <w:r>
                <w:rPr>
                  <w:rFonts w:ascii="Arial" w:cs="Arial" w:eastAsia="Arial" w:hAnsi="Arial"/>
                  <w:sz w:val="13"/>
                  <w:szCs w:val="13"/>
                  <w:color w:val="0000FF"/>
                </w:rPr>
                <w:t>Proprius, Inc. and the Company.</w:t>
              </w:r>
            </w:hyperlink>
          </w:p>
        </w:tc>
        <w:tc>
          <w:tcPr>
            <w:tcW w:w="102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580" w:type="dxa"/>
            <w:vAlign w:val="bottom"/>
            <w:tcBorders>
              <w:bottom w:val="single" w:sz="8" w:color="0000FF"/>
            </w:tcBorders>
            <w:gridSpan w:val="19"/>
          </w:tcPr>
          <w:p>
            <w:pPr>
              <w:spacing w:after="0"/>
              <w:rPr>
                <w:rFonts w:ascii="Arial" w:cs="Arial" w:eastAsia="Arial" w:hAnsi="Arial"/>
                <w:sz w:val="14"/>
                <w:szCs w:val="14"/>
                <w:color w:val="0000FF"/>
              </w:rPr>
            </w:pPr>
            <w:hyperlink r:id="rId116">
              <w:r>
                <w:rPr>
                  <w:rFonts w:ascii="Arial" w:cs="Arial" w:eastAsia="Arial" w:hAnsi="Arial"/>
                  <w:sz w:val="14"/>
                  <w:szCs w:val="14"/>
                  <w:color w:val="0000FF"/>
                </w:rPr>
                <w:t>Amendment No. One to Asset Purchase</w:t>
              </w:r>
            </w:hyperlink>
          </w:p>
        </w:tc>
        <w:tc>
          <w:tcPr>
            <w:tcW w:w="560" w:type="dxa"/>
            <w:vAlign w:val="bottom"/>
            <w:gridSpan w:val="24"/>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3140" w:type="dxa"/>
            <w:vAlign w:val="bottom"/>
            <w:gridSpan w:val="43"/>
          </w:tcPr>
          <w:p>
            <w:pPr>
              <w:spacing w:after="0" w:line="115" w:lineRule="exact"/>
              <w:rPr>
                <w:rFonts w:ascii="Arial" w:cs="Arial" w:eastAsia="Arial" w:hAnsi="Arial"/>
                <w:sz w:val="13"/>
                <w:szCs w:val="13"/>
                <w:color w:val="0000FF"/>
              </w:rPr>
            </w:pPr>
            <w:hyperlink r:id="rId116">
              <w:r>
                <w:rPr>
                  <w:rFonts w:ascii="Arial" w:cs="Arial" w:eastAsia="Arial" w:hAnsi="Arial"/>
                  <w:sz w:val="13"/>
                  <w:szCs w:val="13"/>
                  <w:color w:val="0000FF"/>
                </w:rPr>
                <w:t>Agreement, dated March 10, 2011, by and</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10.7†</w:t>
            </w:r>
          </w:p>
        </w:tc>
        <w:tc>
          <w:tcPr>
            <w:tcW w:w="2720" w:type="dxa"/>
            <w:vAlign w:val="bottom"/>
            <w:tcBorders>
              <w:top w:val="single" w:sz="8" w:color="0000FF"/>
            </w:tcBorders>
            <w:gridSpan w:val="23"/>
          </w:tcPr>
          <w:p>
            <w:pPr>
              <w:spacing w:after="0" w:line="122" w:lineRule="exact"/>
              <w:rPr>
                <w:rFonts w:ascii="Arial" w:cs="Arial" w:eastAsia="Arial" w:hAnsi="Arial"/>
                <w:sz w:val="14"/>
                <w:szCs w:val="14"/>
                <w:color w:val="0000FF"/>
                <w:w w:val="98"/>
              </w:rPr>
            </w:pPr>
            <w:hyperlink r:id="rId116">
              <w:r>
                <w:rPr>
                  <w:rFonts w:ascii="Arial" w:cs="Arial" w:eastAsia="Arial" w:hAnsi="Arial"/>
                  <w:sz w:val="14"/>
                  <w:szCs w:val="14"/>
                  <w:color w:val="0000FF"/>
                  <w:w w:val="98"/>
                </w:rPr>
                <w:t>between Cypress Bioscience, Inc., Proprius,</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00" w:type="dxa"/>
            <w:vAlign w:val="bottom"/>
            <w:gridSpan w:val="14"/>
          </w:tcPr>
          <w:p>
            <w:pPr>
              <w:spacing w:after="0" w:line="122" w:lineRule="exact"/>
              <w:rPr>
                <w:rFonts w:ascii="Arial" w:cs="Arial" w:eastAsia="Arial" w:hAnsi="Arial"/>
                <w:sz w:val="14"/>
                <w:szCs w:val="14"/>
                <w:color w:val="0000FF"/>
              </w:rPr>
            </w:pPr>
            <w:hyperlink r:id="rId116">
              <w:r>
                <w:rPr>
                  <w:rFonts w:ascii="Arial" w:cs="Arial" w:eastAsia="Arial" w:hAnsi="Arial"/>
                  <w:sz w:val="14"/>
                  <w:szCs w:val="14"/>
                  <w:color w:val="0000FF"/>
                </w:rPr>
                <w:t>Inc.</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6"/>
          </w:tcPr>
          <w:p>
            <w:pPr>
              <w:spacing w:after="0" w:line="129" w:lineRule="exact"/>
              <w:rPr>
                <w:rFonts w:ascii="Arial" w:cs="Arial" w:eastAsia="Arial" w:hAnsi="Arial"/>
                <w:sz w:val="14"/>
                <w:szCs w:val="14"/>
                <w:color w:val="0000FF"/>
                <w:w w:val="99"/>
              </w:rPr>
            </w:pPr>
            <w:hyperlink r:id="rId116">
              <w:r>
                <w:rPr>
                  <w:rFonts w:ascii="Arial" w:cs="Arial" w:eastAsia="Arial" w:hAnsi="Arial"/>
                  <w:sz w:val="14"/>
                  <w:szCs w:val="14"/>
                  <w:color w:val="0000FF"/>
                  <w:w w:val="99"/>
                </w:rPr>
                <w:t>and the Company.</w:t>
              </w:r>
            </w:hyperlink>
          </w:p>
        </w:tc>
        <w:tc>
          <w:tcPr>
            <w:tcW w:w="1940" w:type="dxa"/>
            <w:vAlign w:val="bottom"/>
            <w:tcBorders>
              <w:top w:val="single" w:sz="8" w:color="0000FF"/>
            </w:tcBorders>
            <w:gridSpan w:val="35"/>
          </w:tcPr>
          <w:p>
            <w:pPr>
              <w:spacing w:after="0"/>
              <w:rPr>
                <w:sz w:val="11"/>
                <w:szCs w:val="11"/>
                <w:color w:val="auto"/>
              </w:rPr>
            </w:pPr>
          </w:p>
        </w:tc>
        <w:tc>
          <w:tcPr>
            <w:tcW w:w="4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17">
              <w:r>
                <w:rPr>
                  <w:rFonts w:ascii="Arial" w:cs="Arial" w:eastAsia="Arial" w:hAnsi="Arial"/>
                  <w:sz w:val="14"/>
                  <w:szCs w:val="14"/>
                  <w:color w:val="0000FF"/>
                </w:rPr>
                <w:t>Amendment No. Two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4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Agreement, dated August 21, 2012, by</w:t>
              </w:r>
            </w:hyperlink>
          </w:p>
        </w:tc>
        <w:tc>
          <w:tcPr>
            <w:tcW w:w="600" w:type="dxa"/>
            <w:vAlign w:val="bottom"/>
            <w:gridSpan w:val="26"/>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10.8</w:t>
            </w:r>
          </w:p>
        </w:tc>
        <w:tc>
          <w:tcPr>
            <w:tcW w:w="2760" w:type="dxa"/>
            <w:vAlign w:val="bottom"/>
            <w:tcBorders>
              <w:top w:val="single" w:sz="8" w:color="0000FF"/>
            </w:tcBorders>
            <w:gridSpan w:val="25"/>
          </w:tcPr>
          <w:p>
            <w:pPr>
              <w:spacing w:after="0" w:line="115" w:lineRule="exact"/>
              <w:rPr>
                <w:rFonts w:ascii="Arial" w:cs="Arial" w:eastAsia="Arial" w:hAnsi="Arial"/>
                <w:sz w:val="13"/>
                <w:szCs w:val="13"/>
                <w:color w:val="0000FF"/>
              </w:rPr>
            </w:pPr>
            <w:hyperlink r:id="rId117">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300" w:type="dxa"/>
            <w:vAlign w:val="bottom"/>
            <w:gridSpan w:val="14"/>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7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117">
              <w:r>
                <w:rPr>
                  <w:rFonts w:ascii="Arial" w:cs="Arial" w:eastAsia="Arial" w:hAnsi="Arial"/>
                  <w:sz w:val="14"/>
                  <w:szCs w:val="14"/>
                  <w:color w:val="0000FF"/>
                </w:rPr>
                <w:t>Proprius, Inc. and the Company.</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300" w:type="dxa"/>
            <w:vAlign w:val="bottom"/>
            <w:gridSpan w:val="14"/>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40" w:type="dxa"/>
            <w:vAlign w:val="bottom"/>
            <w:gridSpan w:val="1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2680" w:type="dxa"/>
            <w:vAlign w:val="bottom"/>
            <w:tcBorders>
              <w:bottom w:val="single" w:sz="8" w:color="0000FF"/>
            </w:tcBorders>
            <w:gridSpan w:val="21"/>
          </w:tcPr>
          <w:p>
            <w:pPr>
              <w:spacing w:after="0"/>
              <w:rPr>
                <w:rFonts w:ascii="Arial" w:cs="Arial" w:eastAsia="Arial" w:hAnsi="Arial"/>
                <w:sz w:val="14"/>
                <w:szCs w:val="14"/>
                <w:color w:val="0000FF"/>
              </w:rPr>
            </w:pPr>
            <w:hyperlink r:id="rId118">
              <w:r>
                <w:rPr>
                  <w:rFonts w:ascii="Arial" w:cs="Arial" w:eastAsia="Arial" w:hAnsi="Arial"/>
                  <w:sz w:val="14"/>
                  <w:szCs w:val="14"/>
                  <w:color w:val="0000FF"/>
                </w:rPr>
                <w:t>Amendment No. Three to Asset Purchase</w:t>
              </w:r>
            </w:hyperlink>
          </w:p>
        </w:tc>
        <w:tc>
          <w:tcPr>
            <w:tcW w:w="460" w:type="dxa"/>
            <w:vAlign w:val="bottom"/>
            <w:gridSpan w:val="2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140" w:type="dxa"/>
            <w:vAlign w:val="bottom"/>
            <w:gridSpan w:val="43"/>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Agreement, dated February 6, 2013,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10.9†^</w:t>
            </w:r>
          </w:p>
        </w:tc>
        <w:tc>
          <w:tcPr>
            <w:tcW w:w="280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118">
              <w:r>
                <w:rPr>
                  <w:rFonts w:ascii="Arial" w:cs="Arial" w:eastAsia="Arial" w:hAnsi="Arial"/>
                  <w:sz w:val="13"/>
                  <w:szCs w:val="13"/>
                  <w:color w:val="0000FF"/>
                </w:rPr>
                <w:t>between Royalty Pharma Collection Trust,</w:t>
              </w:r>
            </w:hyperlink>
          </w:p>
        </w:tc>
        <w:tc>
          <w:tcPr>
            <w:tcW w:w="40" w:type="dxa"/>
            <w:vAlign w:val="bottom"/>
            <w:gridSpan w:val="2"/>
          </w:tcPr>
          <w:p>
            <w:pPr>
              <w:spacing w:after="0"/>
              <w:rPr>
                <w:sz w:val="10"/>
                <w:szCs w:val="10"/>
                <w:color w:val="auto"/>
              </w:rPr>
            </w:pPr>
          </w:p>
        </w:tc>
        <w:tc>
          <w:tcPr>
            <w:tcW w:w="300" w:type="dxa"/>
            <w:vAlign w:val="bottom"/>
            <w:gridSpan w:val="14"/>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18">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300" w:type="dxa"/>
            <w:vAlign w:val="bottom"/>
            <w:gridSpan w:val="14"/>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19">
              <w:r>
                <w:rPr>
                  <w:rFonts w:ascii="Arial" w:cs="Arial" w:eastAsia="Arial" w:hAnsi="Arial"/>
                  <w:sz w:val="14"/>
                  <w:szCs w:val="14"/>
                  <w:color w:val="0000FF"/>
                </w:rPr>
                <w:t>Amendment No. Four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80" w:type="dxa"/>
            <w:vAlign w:val="bottom"/>
            <w:tcBorders>
              <w:top w:val="single" w:sz="8" w:color="0000FF"/>
              <w:bottom w:val="single" w:sz="8" w:color="0000FF"/>
            </w:tcBorders>
            <w:gridSpan w:val="19"/>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Agreement and Consent, dated October</w:t>
              </w:r>
            </w:hyperlink>
          </w:p>
        </w:tc>
        <w:tc>
          <w:tcPr>
            <w:tcW w:w="560" w:type="dxa"/>
            <w:vAlign w:val="bottom"/>
            <w:tcBorders>
              <w:bottom w:val="single" w:sz="8" w:color="0000FF"/>
            </w:tcBorders>
            <w:gridSpan w:val="24"/>
          </w:tcPr>
          <w:p>
            <w:pPr>
              <w:jc w:val="right"/>
              <w:ind w:right="40"/>
              <w:spacing w:after="0" w:line="129" w:lineRule="exact"/>
              <w:rPr>
                <w:rFonts w:ascii="Arial" w:cs="Arial" w:eastAsia="Arial" w:hAnsi="Arial"/>
                <w:sz w:val="14"/>
                <w:szCs w:val="14"/>
                <w:color w:val="0000FF"/>
                <w:w w:val="98"/>
              </w:rPr>
            </w:pPr>
            <w:hyperlink r:id="rId119">
              <w:r>
                <w:rPr>
                  <w:rFonts w:ascii="Arial" w:cs="Arial" w:eastAsia="Arial" w:hAnsi="Arial"/>
                  <w:sz w:val="14"/>
                  <w:szCs w:val="14"/>
                  <w:color w:val="0000FF"/>
                  <w:w w:val="98"/>
                </w:rPr>
                <w:t>8, 2013,</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10.10</w:t>
            </w:r>
          </w:p>
        </w:tc>
        <w:tc>
          <w:tcPr>
            <w:tcW w:w="3140" w:type="dxa"/>
            <w:vAlign w:val="bottom"/>
            <w:gridSpan w:val="43"/>
          </w:tcPr>
          <w:p>
            <w:pPr>
              <w:spacing w:after="0" w:line="115" w:lineRule="exact"/>
              <w:rPr>
                <w:rFonts w:ascii="Arial" w:cs="Arial" w:eastAsia="Arial" w:hAnsi="Arial"/>
                <w:sz w:val="13"/>
                <w:szCs w:val="13"/>
                <w:color w:val="0000FF"/>
              </w:rPr>
            </w:pPr>
            <w:hyperlink r:id="rId119">
              <w:r>
                <w:rPr>
                  <w:rFonts w:ascii="Arial" w:cs="Arial" w:eastAsia="Arial" w:hAnsi="Arial"/>
                  <w:sz w:val="13"/>
                  <w:szCs w:val="13"/>
                  <w:color w:val="0000FF"/>
                </w:rPr>
                <w:t>by and between Royalty Pharma Collection</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78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119">
              <w:r>
                <w:rPr>
                  <w:rFonts w:ascii="Arial" w:cs="Arial" w:eastAsia="Arial" w:hAnsi="Arial"/>
                  <w:sz w:val="14"/>
                  <w:szCs w:val="14"/>
                  <w:color w:val="0000FF"/>
                </w:rPr>
                <w:t>Trust, Proprius, Inc. and the Company.</w:t>
              </w:r>
            </w:hyperlink>
          </w:p>
        </w:tc>
        <w:tc>
          <w:tcPr>
            <w:tcW w:w="60" w:type="dxa"/>
            <w:vAlign w:val="bottom"/>
            <w:gridSpan w:val="3"/>
          </w:tcPr>
          <w:p>
            <w:pPr>
              <w:spacing w:after="0"/>
              <w:rPr>
                <w:sz w:val="11"/>
                <w:szCs w:val="11"/>
                <w:color w:val="auto"/>
              </w:rPr>
            </w:pPr>
          </w:p>
        </w:tc>
        <w:tc>
          <w:tcPr>
            <w:tcW w:w="300" w:type="dxa"/>
            <w:vAlign w:val="bottom"/>
            <w:gridSpan w:val="14"/>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440" w:type="dxa"/>
            <w:vAlign w:val="bottom"/>
            <w:gridSpan w:val="16"/>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30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140" w:type="dxa"/>
            <w:vAlign w:val="bottom"/>
            <w:gridSpan w:val="43"/>
          </w:tcPr>
          <w:p>
            <w:pPr>
              <w:spacing w:after="0"/>
              <w:rPr>
                <w:rFonts w:ascii="Arial" w:cs="Arial" w:eastAsia="Arial" w:hAnsi="Arial"/>
                <w:sz w:val="14"/>
                <w:szCs w:val="14"/>
                <w:color w:val="0000FF"/>
              </w:rPr>
            </w:pPr>
            <w:hyperlink r:id="rId120">
              <w:r>
                <w:rPr>
                  <w:rFonts w:ascii="Arial" w:cs="Arial" w:eastAsia="Arial" w:hAnsi="Arial"/>
                  <w:sz w:val="14"/>
                  <w:szCs w:val="14"/>
                  <w:color w:val="0000FF"/>
                </w:rPr>
                <w:t>Amendment No. Five to Asset Purchase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56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Agreement, dated January 26, 2016, by</w:t>
              </w:r>
            </w:hyperlink>
          </w:p>
        </w:tc>
        <w:tc>
          <w:tcPr>
            <w:tcW w:w="580" w:type="dxa"/>
            <w:vAlign w:val="bottom"/>
            <w:gridSpan w:val="25"/>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10.11</w:t>
            </w:r>
          </w:p>
        </w:tc>
        <w:tc>
          <w:tcPr>
            <w:tcW w:w="284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20">
              <w:r>
                <w:rPr>
                  <w:rFonts w:ascii="Arial" w:cs="Arial" w:eastAsia="Arial" w:hAnsi="Arial"/>
                  <w:sz w:val="13"/>
                  <w:szCs w:val="13"/>
                  <w:color w:val="0000FF"/>
                </w:rPr>
                <w:t>between Royalty Pharma Collection Trust,</w:t>
              </w:r>
            </w:hyperlink>
          </w:p>
        </w:tc>
        <w:tc>
          <w:tcPr>
            <w:tcW w:w="300" w:type="dxa"/>
            <w:vAlign w:val="bottom"/>
            <w:gridSpan w:val="14"/>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10.16</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40" w:type="dxa"/>
            <w:vAlign w:val="bottom"/>
            <w:vMerge w:val="continue"/>
          </w:tcPr>
          <w:p>
            <w:pPr>
              <w:spacing w:after="0"/>
              <w:rPr>
                <w:sz w:val="11"/>
                <w:szCs w:val="11"/>
                <w:color w:val="auto"/>
              </w:rPr>
            </w:pPr>
          </w:p>
        </w:tc>
        <w:tc>
          <w:tcPr>
            <w:tcW w:w="20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20">
              <w:r>
                <w:rPr>
                  <w:rFonts w:ascii="Arial" w:cs="Arial" w:eastAsia="Arial" w:hAnsi="Arial"/>
                  <w:sz w:val="14"/>
                  <w:szCs w:val="14"/>
                  <w:color w:val="0000FF"/>
                </w:rPr>
                <w:t>Proprius, Inc. and the Company.</w:t>
              </w:r>
            </w:hyperlink>
          </w:p>
        </w:tc>
        <w:tc>
          <w:tcPr>
            <w:tcW w:w="640" w:type="dxa"/>
            <w:vAlign w:val="bottom"/>
            <w:tcBorders>
              <w:top w:val="single" w:sz="8" w:color="0000FF"/>
            </w:tcBorders>
            <w:gridSpan w:val="9"/>
          </w:tcPr>
          <w:p>
            <w:pPr>
              <w:spacing w:after="0"/>
              <w:rPr>
                <w:sz w:val="11"/>
                <w:szCs w:val="11"/>
                <w:color w:val="auto"/>
              </w:rPr>
            </w:pPr>
          </w:p>
        </w:tc>
        <w:tc>
          <w:tcPr>
            <w:tcW w:w="440" w:type="dxa"/>
            <w:vAlign w:val="bottom"/>
            <w:gridSpan w:val="21"/>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60"/>
          </w:cols>
          <w:pgMar w:left="1160" w:top="1133" w:right="11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480" w:type="dxa"/>
            <w:vAlign w:val="bottom"/>
            <w:tcBorders>
              <w:bottom w:val="single" w:sz="8" w:color="0000FF"/>
            </w:tcBorders>
            <w:gridSpan w:val="16"/>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Amendment No. Six to Asset Purchase</w:t>
              </w:r>
            </w:hyperlink>
          </w:p>
        </w:tc>
        <w:tc>
          <w:tcPr>
            <w:tcW w:w="780" w:type="dxa"/>
            <w:vAlign w:val="bottom"/>
            <w:gridSpan w:val="28"/>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4"/>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Agreement, dated February 16, 2017, by and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10.12†</w:t>
            </w:r>
          </w:p>
        </w:tc>
        <w:tc>
          <w:tcPr>
            <w:tcW w:w="2880" w:type="dxa"/>
            <w:vAlign w:val="bottom"/>
            <w:tcBorders>
              <w:top w:val="single" w:sz="8" w:color="0000FF"/>
            </w:tcBorders>
            <w:gridSpan w:val="29"/>
          </w:tcPr>
          <w:p>
            <w:pPr>
              <w:spacing w:after="0" w:line="115" w:lineRule="exact"/>
              <w:rPr>
                <w:rFonts w:ascii="Arial" w:cs="Arial" w:eastAsia="Arial" w:hAnsi="Arial"/>
                <w:sz w:val="13"/>
                <w:szCs w:val="13"/>
                <w:color w:val="0000FF"/>
              </w:rPr>
            </w:pPr>
            <w:hyperlink r:id="rId122">
              <w:r>
                <w:rPr>
                  <w:rFonts w:ascii="Arial" w:cs="Arial" w:eastAsia="Arial" w:hAnsi="Arial"/>
                  <w:sz w:val="13"/>
                  <w:szCs w:val="13"/>
                  <w:color w:val="0000FF"/>
                </w:rPr>
                <w:t>between Royalty Pharma Collection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10.17</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680" w:type="dxa"/>
            <w:vAlign w:val="bottom"/>
            <w:tcBorders>
              <w:top w:val="single" w:sz="8" w:color="0000FF"/>
            </w:tcBorders>
            <w:gridSpan w:val="20"/>
          </w:tcPr>
          <w:p>
            <w:pPr>
              <w:spacing w:after="0" w:line="129" w:lineRule="exact"/>
              <w:rPr>
                <w:rFonts w:ascii="Arial" w:cs="Arial" w:eastAsia="Arial" w:hAnsi="Arial"/>
                <w:sz w:val="14"/>
                <w:szCs w:val="14"/>
                <w:color w:val="0000FF"/>
              </w:rPr>
            </w:pPr>
            <w:hyperlink r:id="rId122">
              <w:r>
                <w:rPr>
                  <w:rFonts w:ascii="Arial" w:cs="Arial" w:eastAsia="Arial" w:hAnsi="Arial"/>
                  <w:sz w:val="14"/>
                  <w:szCs w:val="14"/>
                  <w:color w:val="0000FF"/>
                </w:rPr>
                <w:t>Proprius, Inc. and the Company.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23">
              <w:r>
                <w:rPr>
                  <w:rFonts w:ascii="Arial" w:cs="Arial" w:eastAsia="Arial" w:hAnsi="Arial"/>
                  <w:sz w:val="14"/>
                  <w:szCs w:val="14"/>
                  <w:color w:val="0000FF"/>
                </w:rPr>
                <w:t>Amended and Restated Exclusive License</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2700" w:type="dxa"/>
            <w:vAlign w:val="bottom"/>
            <w:tcBorders>
              <w:top w:val="single" w:sz="8" w:color="0000FF"/>
            </w:tcBorders>
            <w:gridSpan w:val="21"/>
          </w:tcPr>
          <w:p>
            <w:pPr>
              <w:spacing w:after="0" w:line="129" w:lineRule="exact"/>
              <w:rPr>
                <w:rFonts w:ascii="Arial" w:cs="Arial" w:eastAsia="Arial" w:hAnsi="Arial"/>
                <w:sz w:val="14"/>
                <w:szCs w:val="14"/>
                <w:color w:val="0000FF"/>
              </w:rPr>
            </w:pPr>
            <w:hyperlink r:id="rId123">
              <w:r>
                <w:rPr>
                  <w:rFonts w:ascii="Arial" w:cs="Arial" w:eastAsia="Arial" w:hAnsi="Arial"/>
                  <w:sz w:val="14"/>
                  <w:szCs w:val="14"/>
                  <w:color w:val="0000FF"/>
                </w:rPr>
                <w:t>Agreement, dated August 2, 2011,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Pr>
          <w:p>
            <w:pPr>
              <w:spacing w:after="0"/>
              <w:rPr>
                <w:sz w:val="10"/>
                <w:szCs w:val="10"/>
                <w:color w:val="auto"/>
              </w:rPr>
            </w:pPr>
          </w:p>
        </w:tc>
        <w:tc>
          <w:tcPr>
            <w:tcW w:w="3260" w:type="dxa"/>
            <w:vAlign w:val="bottom"/>
            <w:gridSpan w:val="44"/>
          </w:tcPr>
          <w:p>
            <w:pPr>
              <w:spacing w:after="0" w:line="115" w:lineRule="exact"/>
              <w:rPr>
                <w:rFonts w:ascii="Arial" w:cs="Arial" w:eastAsia="Arial" w:hAnsi="Arial"/>
                <w:sz w:val="13"/>
                <w:szCs w:val="13"/>
                <w:color w:val="0000FF"/>
              </w:rPr>
            </w:pPr>
            <w:hyperlink r:id="rId123">
              <w:r>
                <w:rPr>
                  <w:rFonts w:ascii="Arial" w:cs="Arial" w:eastAsia="Arial" w:hAnsi="Arial"/>
                  <w:sz w:val="13"/>
                  <w:szCs w:val="13"/>
                  <w:color w:val="0000FF"/>
                </w:rPr>
                <w:t>between the University of Pittsburgh-Of the</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10.13†</w:t>
            </w:r>
          </w:p>
        </w:tc>
        <w:tc>
          <w:tcPr>
            <w:tcW w:w="2740" w:type="dxa"/>
            <w:vAlign w:val="bottom"/>
            <w:tcBorders>
              <w:top w:val="single" w:sz="8" w:color="0000FF"/>
            </w:tcBorders>
            <w:gridSpan w:val="23"/>
          </w:tcPr>
          <w:p>
            <w:pPr>
              <w:spacing w:after="0" w:line="129" w:lineRule="exact"/>
              <w:rPr>
                <w:rFonts w:ascii="Arial" w:cs="Arial" w:eastAsia="Arial" w:hAnsi="Arial"/>
                <w:sz w:val="14"/>
                <w:szCs w:val="14"/>
                <w:color w:val="0000FF"/>
                <w:w w:val="99"/>
              </w:rPr>
            </w:pPr>
            <w:hyperlink r:id="rId123">
              <w:r>
                <w:rPr>
                  <w:rFonts w:ascii="Arial" w:cs="Arial" w:eastAsia="Arial" w:hAnsi="Arial"/>
                  <w:sz w:val="14"/>
                  <w:szCs w:val="14"/>
                  <w:color w:val="0000FF"/>
                  <w:w w:val="99"/>
                </w:rPr>
                <w:t>Commonwealth System of Higher Education</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16"/>
          </w:tcPr>
          <w:p>
            <w:pPr>
              <w:jc w:val="right"/>
              <w:ind w:right="160"/>
              <w:spacing w:after="0" w:line="129" w:lineRule="exact"/>
              <w:rPr>
                <w:rFonts w:ascii="Arial" w:cs="Arial" w:eastAsia="Arial" w:hAnsi="Arial"/>
                <w:sz w:val="14"/>
                <w:szCs w:val="14"/>
                <w:color w:val="0000FF"/>
                <w:w w:val="93"/>
              </w:rPr>
            </w:pPr>
            <w:hyperlink r:id="rId123">
              <w:r>
                <w:rPr>
                  <w:rFonts w:ascii="Arial" w:cs="Arial" w:eastAsia="Arial" w:hAnsi="Arial"/>
                  <w:sz w:val="14"/>
                  <w:szCs w:val="14"/>
                  <w:color w:val="0000FF"/>
                  <w:w w:val="93"/>
                </w:rPr>
                <w:t>and</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98"/>
              </w:rPr>
            </w:pPr>
            <w:hyperlink r:id="rId123">
              <w:r>
                <w:rPr>
                  <w:rFonts w:ascii="Arial" w:cs="Arial" w:eastAsia="Arial" w:hAnsi="Arial"/>
                  <w:sz w:val="14"/>
                  <w:szCs w:val="14"/>
                  <w:color w:val="0000FF"/>
                  <w:w w:val="98"/>
                </w:rPr>
                <w:t>the Company.</w:t>
              </w:r>
            </w:hyperlink>
          </w:p>
        </w:tc>
        <w:tc>
          <w:tcPr>
            <w:tcW w:w="2280" w:type="dxa"/>
            <w:vAlign w:val="bottom"/>
            <w:tcBorders>
              <w:top w:val="single" w:sz="8" w:color="0000FF"/>
            </w:tcBorders>
            <w:gridSpan w:val="42"/>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14"/>
                <w:szCs w:val="14"/>
                <w:color w:val="auto"/>
              </w:rPr>
            </w:pPr>
          </w:p>
        </w:tc>
        <w:tc>
          <w:tcPr>
            <w:tcW w:w="2820" w:type="dxa"/>
            <w:vAlign w:val="bottom"/>
            <w:tcBorders>
              <w:bottom w:val="single" w:sz="8" w:color="0000FF"/>
            </w:tcBorders>
            <w:gridSpan w:val="26"/>
          </w:tcPr>
          <w:p>
            <w:pPr>
              <w:spacing w:after="0"/>
              <w:rPr>
                <w:rFonts w:ascii="Arial" w:cs="Arial" w:eastAsia="Arial" w:hAnsi="Arial"/>
                <w:sz w:val="14"/>
                <w:szCs w:val="14"/>
                <w:color w:val="0000FF"/>
              </w:rPr>
            </w:pPr>
            <w:hyperlink r:id="rId124">
              <w:r>
                <w:rPr>
                  <w:rFonts w:ascii="Arial" w:cs="Arial" w:eastAsia="Arial" w:hAnsi="Arial"/>
                  <w:sz w:val="14"/>
                  <w:szCs w:val="14"/>
                  <w:color w:val="0000FF"/>
                </w:rPr>
                <w:t>First Amendment to Amended and Restated</w:t>
              </w:r>
            </w:hyperlink>
          </w:p>
        </w:tc>
        <w:tc>
          <w:tcPr>
            <w:tcW w:w="440" w:type="dxa"/>
            <w:vAlign w:val="bottom"/>
            <w:gridSpan w:val="18"/>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4"/>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Exclusive License Agreement, dated May 17,</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2012, by and between the University of</w:t>
              </w:r>
            </w:hyperlink>
          </w:p>
        </w:tc>
        <w:tc>
          <w:tcPr>
            <w:tcW w:w="42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10.14†</w:t>
            </w:r>
          </w:p>
        </w:tc>
        <w:tc>
          <w:tcPr>
            <w:tcW w:w="3260" w:type="dxa"/>
            <w:vAlign w:val="bottom"/>
            <w:gridSpan w:val="44"/>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4"/>
          </w:tcPr>
          <w:p>
            <w:pPr>
              <w:spacing w:after="0"/>
              <w:rPr>
                <w:rFonts w:ascii="Arial" w:cs="Arial" w:eastAsia="Arial" w:hAnsi="Arial"/>
                <w:sz w:val="14"/>
                <w:szCs w:val="14"/>
                <w:color w:val="0000FF"/>
              </w:rPr>
            </w:pPr>
            <w:hyperlink r:id="rId125">
              <w:r>
                <w:rPr>
                  <w:rFonts w:ascii="Arial" w:cs="Arial" w:eastAsia="Arial" w:hAnsi="Arial"/>
                  <w:sz w:val="14"/>
                  <w:szCs w:val="14"/>
                  <w:color w:val="0000FF"/>
                </w:rPr>
                <w:t>Second Amendment to Amended and Restated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35"/>
          </w:tcPr>
          <w:p>
            <w:pPr>
              <w:spacing w:after="0" w:line="129" w:lineRule="exact"/>
              <w:rPr>
                <w:rFonts w:ascii="Arial" w:cs="Arial" w:eastAsia="Arial" w:hAnsi="Arial"/>
                <w:sz w:val="14"/>
                <w:szCs w:val="14"/>
                <w:color w:val="0000FF"/>
                <w:w w:val="99"/>
              </w:rPr>
            </w:pPr>
            <w:hyperlink r:id="rId125">
              <w:r>
                <w:rPr>
                  <w:rFonts w:ascii="Arial" w:cs="Arial" w:eastAsia="Arial" w:hAnsi="Arial"/>
                  <w:sz w:val="14"/>
                  <w:szCs w:val="14"/>
                  <w:color w:val="0000FF"/>
                  <w:w w:val="99"/>
                </w:rPr>
                <w:t>Exclusive License Agreement, dated September</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720" w:type="dxa"/>
            <w:vAlign w:val="bottom"/>
            <w:tcBorders>
              <w:bottom w:val="single" w:sz="8" w:color="0000FF"/>
            </w:tcBorders>
            <w:gridSpan w:val="22"/>
          </w:tcPr>
          <w:p>
            <w:pPr>
              <w:spacing w:after="0" w:line="115" w:lineRule="exact"/>
              <w:rPr>
                <w:rFonts w:ascii="Arial" w:cs="Arial" w:eastAsia="Arial" w:hAnsi="Arial"/>
                <w:sz w:val="13"/>
                <w:szCs w:val="13"/>
                <w:color w:val="0000FF"/>
              </w:rPr>
            </w:pPr>
            <w:hyperlink r:id="rId125">
              <w:r>
                <w:rPr>
                  <w:rFonts w:ascii="Arial" w:cs="Arial" w:eastAsia="Arial" w:hAnsi="Arial"/>
                  <w:sz w:val="13"/>
                  <w:szCs w:val="13"/>
                  <w:color w:val="0000FF"/>
                </w:rPr>
                <w:t>30, 2013, by and between the University of</w:t>
              </w:r>
            </w:hyperlink>
          </w:p>
        </w:tc>
        <w:tc>
          <w:tcPr>
            <w:tcW w:w="340" w:type="dxa"/>
            <w:vAlign w:val="bottom"/>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10.15†</w:t>
            </w:r>
          </w:p>
        </w:tc>
        <w:tc>
          <w:tcPr>
            <w:tcW w:w="3260" w:type="dxa"/>
            <w:vAlign w:val="bottom"/>
            <w:gridSpan w:val="44"/>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10.20</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25">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60" w:type="dxa"/>
            <w:vAlign w:val="bottom"/>
            <w:tcBorders>
              <w:bottom w:val="single" w:sz="8" w:color="0000FF"/>
            </w:tcBorders>
            <w:gridSpan w:val="28"/>
          </w:tcPr>
          <w:p>
            <w:pPr>
              <w:spacing w:after="0"/>
              <w:rPr>
                <w:rFonts w:ascii="Arial" w:cs="Arial" w:eastAsia="Arial" w:hAnsi="Arial"/>
                <w:sz w:val="14"/>
                <w:szCs w:val="14"/>
                <w:color w:val="0000FF"/>
              </w:rPr>
            </w:pPr>
            <w:hyperlink r:id="rId126">
              <w:r>
                <w:rPr>
                  <w:rFonts w:ascii="Arial" w:cs="Arial" w:eastAsia="Arial" w:hAnsi="Arial"/>
                  <w:sz w:val="14"/>
                  <w:szCs w:val="14"/>
                  <w:color w:val="0000FF"/>
                </w:rPr>
                <w:t>Third Amendment to Amended and Restated</w:t>
              </w:r>
            </w:hyperlink>
          </w:p>
        </w:tc>
        <w:tc>
          <w:tcPr>
            <w:tcW w:w="400" w:type="dxa"/>
            <w:vAlign w:val="bottom"/>
            <w:gridSpan w:val="16"/>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4"/>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Exclusive License Agreement, dated June 24,</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rPr>
            </w:pPr>
            <w:hyperlink r:id="rId126">
              <w:r>
                <w:rPr>
                  <w:rFonts w:ascii="Arial" w:cs="Arial" w:eastAsia="Arial" w:hAnsi="Arial"/>
                  <w:sz w:val="13"/>
                  <w:szCs w:val="13"/>
                  <w:color w:val="0000FF"/>
                </w:rPr>
                <w:t>2016, by and between the University of</w:t>
              </w:r>
            </w:hyperlink>
          </w:p>
        </w:tc>
        <w:tc>
          <w:tcPr>
            <w:tcW w:w="44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10.16</w:t>
            </w:r>
          </w:p>
        </w:tc>
        <w:tc>
          <w:tcPr>
            <w:tcW w:w="3260" w:type="dxa"/>
            <w:vAlign w:val="bottom"/>
            <w:gridSpan w:val="44"/>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26">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44"/>
          </w:tcPr>
          <w:p>
            <w:pPr>
              <w:spacing w:after="0"/>
              <w:rPr>
                <w:rFonts w:ascii="Arial" w:cs="Arial" w:eastAsia="Arial" w:hAnsi="Arial"/>
                <w:sz w:val="14"/>
                <w:szCs w:val="14"/>
                <w:color w:val="0000FF"/>
              </w:rPr>
            </w:pPr>
            <w:hyperlink r:id="rId127">
              <w:r>
                <w:rPr>
                  <w:rFonts w:ascii="Arial" w:cs="Arial" w:eastAsia="Arial" w:hAnsi="Arial"/>
                  <w:sz w:val="14"/>
                  <w:szCs w:val="14"/>
                  <w:color w:val="0000FF"/>
                </w:rPr>
                <w:t>Exclusive License Agreement, dated September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720" w:type="dxa"/>
            <w:vAlign w:val="bottom"/>
            <w:tcBorders>
              <w:top w:val="single" w:sz="8" w:color="0000FF"/>
              <w:bottom w:val="single" w:sz="8" w:color="0000FF"/>
            </w:tcBorders>
            <w:gridSpan w:val="22"/>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30, 2013, by and between the University of</w:t>
              </w:r>
            </w:hyperlink>
          </w:p>
        </w:tc>
        <w:tc>
          <w:tcPr>
            <w:tcW w:w="34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10.17†</w:t>
            </w:r>
          </w:p>
        </w:tc>
        <w:tc>
          <w:tcPr>
            <w:tcW w:w="3260" w:type="dxa"/>
            <w:vAlign w:val="bottom"/>
            <w:gridSpan w:val="44"/>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Pittsburgh-Of the Commonwealth System of</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80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127">
              <w:r>
                <w:rPr>
                  <w:rFonts w:ascii="Arial" w:cs="Arial" w:eastAsia="Arial" w:hAnsi="Arial"/>
                  <w:sz w:val="14"/>
                  <w:szCs w:val="14"/>
                  <w:color w:val="0000FF"/>
                </w:rPr>
                <w:t>Higher Education and the Company.</w:t>
              </w:r>
            </w:hyperlink>
          </w:p>
        </w:tc>
        <w:tc>
          <w:tcPr>
            <w:tcW w:w="40" w:type="dxa"/>
            <w:vAlign w:val="bottom"/>
            <w:gridSpan w:val="2"/>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28">
              <w:r>
                <w:rPr>
                  <w:rFonts w:ascii="Arial" w:cs="Arial" w:eastAsia="Arial" w:hAnsi="Arial"/>
                  <w:sz w:val="14"/>
                  <w:szCs w:val="14"/>
                  <w:color w:val="0000FF"/>
                </w:rPr>
                <w:t>Exclusive License Agreement, dated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10.18†</w:t>
            </w:r>
          </w:p>
        </w:tc>
        <w:tc>
          <w:tcPr>
            <w:tcW w:w="3080" w:type="dxa"/>
            <w:vAlign w:val="bottom"/>
            <w:tcBorders>
              <w:top w:val="single" w:sz="8" w:color="0000FF"/>
              <w:bottom w:val="single" w:sz="8" w:color="0000FF"/>
            </w:tcBorders>
            <w:gridSpan w:val="39"/>
          </w:tcPr>
          <w:p>
            <w:pPr>
              <w:spacing w:after="0" w:line="129" w:lineRule="exact"/>
              <w:rPr>
                <w:rFonts w:ascii="Arial" w:cs="Arial" w:eastAsia="Arial" w:hAnsi="Arial"/>
                <w:sz w:val="14"/>
                <w:szCs w:val="14"/>
                <w:color w:val="0000FF"/>
              </w:rPr>
            </w:pPr>
            <w:hyperlink r:id="rId128">
              <w:r>
                <w:rPr>
                  <w:rFonts w:ascii="Arial" w:cs="Arial" w:eastAsia="Arial" w:hAnsi="Arial"/>
                  <w:sz w:val="14"/>
                  <w:szCs w:val="14"/>
                  <w:color w:val="0000FF"/>
                </w:rPr>
                <w:t>5, 2011, by and between Thierry Dervieux, Ph.D.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20" w:type="dxa"/>
            <w:vAlign w:val="bottom"/>
            <w:gridSpan w:val="2"/>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10.23</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180" w:type="dxa"/>
            <w:vAlign w:val="bottom"/>
            <w:tcBorders>
              <w:bottom w:val="single" w:sz="8" w:color="0000FF"/>
            </w:tcBorders>
            <w:gridSpan w:val="3"/>
          </w:tcPr>
          <w:p>
            <w:pPr>
              <w:spacing w:after="0" w:line="115" w:lineRule="exact"/>
              <w:rPr>
                <w:rFonts w:ascii="Arial" w:cs="Arial" w:eastAsia="Arial" w:hAnsi="Arial"/>
                <w:sz w:val="13"/>
                <w:szCs w:val="13"/>
                <w:color w:val="0000FF"/>
              </w:rPr>
            </w:pPr>
            <w:hyperlink r:id="rId128">
              <w:r>
                <w:rPr>
                  <w:rFonts w:ascii="Arial" w:cs="Arial" w:eastAsia="Arial" w:hAnsi="Arial"/>
                  <w:sz w:val="13"/>
                  <w:szCs w:val="13"/>
                  <w:color w:val="0000FF"/>
                </w:rPr>
                <w:t>and the Company.</w:t>
              </w:r>
            </w:hyperlink>
          </w:p>
        </w:tc>
        <w:tc>
          <w:tcPr>
            <w:tcW w:w="1960" w:type="dxa"/>
            <w:vAlign w:val="bottom"/>
            <w:gridSpan w:val="39"/>
          </w:tcPr>
          <w:p>
            <w:pPr>
              <w:spacing w:after="0"/>
              <w:rPr>
                <w:sz w:val="10"/>
                <w:szCs w:val="10"/>
                <w:color w:val="auto"/>
              </w:rPr>
            </w:pPr>
          </w:p>
        </w:tc>
        <w:tc>
          <w:tcPr>
            <w:tcW w:w="12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40" w:type="dxa"/>
            <w:vAlign w:val="bottom"/>
            <w:tcBorders>
              <w:bottom w:val="single" w:sz="8" w:color="0000FF"/>
            </w:tcBorders>
            <w:gridSpan w:val="27"/>
          </w:tcPr>
          <w:p>
            <w:pPr>
              <w:spacing w:after="0"/>
              <w:rPr>
                <w:rFonts w:ascii="Arial" w:cs="Arial" w:eastAsia="Arial" w:hAnsi="Arial"/>
                <w:sz w:val="14"/>
                <w:szCs w:val="14"/>
                <w:color w:val="0000FF"/>
              </w:rPr>
            </w:pPr>
            <w:hyperlink r:id="rId129">
              <w:r>
                <w:rPr>
                  <w:rFonts w:ascii="Arial" w:cs="Arial" w:eastAsia="Arial" w:hAnsi="Arial"/>
                  <w:sz w:val="14"/>
                  <w:szCs w:val="14"/>
                  <w:color w:val="0000FF"/>
                </w:rPr>
                <w:t>Standard Industrial/Commercial Multi-Tenant</w:t>
              </w:r>
            </w:hyperlink>
          </w:p>
        </w:tc>
        <w:tc>
          <w:tcPr>
            <w:tcW w:w="420" w:type="dxa"/>
            <w:vAlign w:val="bottom"/>
            <w:gridSpan w:val="17"/>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10.19</w:t>
            </w:r>
          </w:p>
        </w:tc>
        <w:tc>
          <w:tcPr>
            <w:tcW w:w="3260" w:type="dxa"/>
            <w:vAlign w:val="bottom"/>
            <w:gridSpan w:val="44"/>
          </w:tcPr>
          <w:p>
            <w:pPr>
              <w:spacing w:after="0" w:line="129" w:lineRule="exact"/>
              <w:rPr>
                <w:rFonts w:ascii="Arial" w:cs="Arial" w:eastAsia="Arial" w:hAnsi="Arial"/>
                <w:sz w:val="14"/>
                <w:szCs w:val="14"/>
                <w:color w:val="0000FF"/>
              </w:rPr>
            </w:pPr>
            <w:hyperlink r:id="rId129">
              <w:r>
                <w:rPr>
                  <w:rFonts w:ascii="Arial" w:cs="Arial" w:eastAsia="Arial" w:hAnsi="Arial"/>
                  <w:sz w:val="14"/>
                  <w:szCs w:val="14"/>
                  <w:color w:val="0000FF"/>
                </w:rPr>
                <w:t>Lease, dated January 13, 2012, by and between</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top w:val="single" w:sz="8" w:color="0000FF"/>
            </w:tcBorders>
            <w:gridSpan w:val="40"/>
          </w:tcPr>
          <w:p>
            <w:pPr>
              <w:spacing w:after="0" w:line="115" w:lineRule="exact"/>
              <w:rPr>
                <w:rFonts w:ascii="Arial" w:cs="Arial" w:eastAsia="Arial" w:hAnsi="Arial"/>
                <w:sz w:val="13"/>
                <w:szCs w:val="13"/>
                <w:color w:val="0000FF"/>
              </w:rPr>
            </w:pPr>
            <w:hyperlink r:id="rId129">
              <w:r>
                <w:rPr>
                  <w:rFonts w:ascii="Arial" w:cs="Arial" w:eastAsia="Arial" w:hAnsi="Arial"/>
                  <w:sz w:val="13"/>
                  <w:szCs w:val="13"/>
                  <w:color w:val="0000FF"/>
                </w:rPr>
                <w:t>RGS Properties and the Company.</w:t>
              </w:r>
            </w:hyperlink>
          </w:p>
        </w:tc>
        <w:tc>
          <w:tcPr>
            <w:tcW w:w="20" w:type="dxa"/>
            <w:vAlign w:val="bottom"/>
          </w:tcPr>
          <w:p>
            <w:pPr>
              <w:spacing w:after="0"/>
              <w:rPr>
                <w:sz w:val="10"/>
                <w:szCs w:val="10"/>
                <w:color w:val="auto"/>
              </w:rPr>
            </w:pPr>
          </w:p>
        </w:tc>
        <w:tc>
          <w:tcPr>
            <w:tcW w:w="140" w:type="dxa"/>
            <w:vAlign w:val="bottom"/>
            <w:gridSpan w:val="3"/>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3"/>
          </w:tcPr>
          <w:p>
            <w:pPr>
              <w:spacing w:after="0"/>
              <w:rPr>
                <w:rFonts w:ascii="Arial" w:cs="Arial" w:eastAsia="Arial" w:hAnsi="Arial"/>
                <w:sz w:val="14"/>
                <w:szCs w:val="14"/>
                <w:color w:val="0000FF"/>
              </w:rPr>
            </w:pPr>
            <w:hyperlink r:id="rId130">
              <w:r>
                <w:rPr>
                  <w:rFonts w:ascii="Arial" w:cs="Arial" w:eastAsia="Arial" w:hAnsi="Arial"/>
                  <w:sz w:val="14"/>
                  <w:szCs w:val="14"/>
                  <w:color w:val="0000FF"/>
                </w:rPr>
                <w:t>First Amendment to Standard</w:t>
              </w:r>
            </w:hyperlink>
          </w:p>
        </w:tc>
        <w:tc>
          <w:tcPr>
            <w:tcW w:w="1060" w:type="dxa"/>
            <w:vAlign w:val="bottom"/>
            <w:gridSpan w:val="3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Industrial/Commercial Multi-</w:t>
              </w:r>
            </w:hyperlink>
          </w:p>
        </w:tc>
        <w:tc>
          <w:tcPr>
            <w:tcW w:w="1380" w:type="dxa"/>
            <w:vAlign w:val="bottom"/>
            <w:gridSpan w:val="35"/>
          </w:tcPr>
          <w:p>
            <w:pPr>
              <w:jc w:val="right"/>
              <w:ind w:right="180"/>
              <w:spacing w:after="0" w:line="129" w:lineRule="exact"/>
              <w:rPr>
                <w:rFonts w:ascii="Arial" w:cs="Arial" w:eastAsia="Arial" w:hAnsi="Arial"/>
                <w:sz w:val="14"/>
                <w:szCs w:val="14"/>
                <w:color w:val="0000FF"/>
                <w:w w:val="91"/>
              </w:rPr>
            </w:pPr>
            <w:hyperlink r:id="rId130">
              <w:r>
                <w:rPr>
                  <w:rFonts w:ascii="Arial" w:cs="Arial" w:eastAsia="Arial" w:hAnsi="Arial"/>
                  <w:sz w:val="14"/>
                  <w:szCs w:val="14"/>
                  <w:color w:val="0000FF"/>
                  <w:w w:val="91"/>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10.20</w:t>
            </w:r>
          </w:p>
        </w:tc>
        <w:tc>
          <w:tcPr>
            <w:tcW w:w="31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December 1, 2013,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7/28/2020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8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30">
              <w:r>
                <w:rPr>
                  <w:rFonts w:ascii="Arial" w:cs="Arial" w:eastAsia="Arial" w:hAnsi="Arial"/>
                  <w:sz w:val="14"/>
                  <w:szCs w:val="14"/>
                  <w:color w:val="0000FF"/>
                </w:rPr>
                <w:t>Properties and the Company.</w:t>
              </w:r>
            </w:hyperlink>
          </w:p>
        </w:tc>
        <w:tc>
          <w:tcPr>
            <w:tcW w:w="760" w:type="dxa"/>
            <w:vAlign w:val="bottom"/>
            <w:tcBorders>
              <w:top w:val="single" w:sz="8" w:color="0000FF"/>
            </w:tcBorders>
            <w:gridSpan w:val="10"/>
          </w:tcPr>
          <w:p>
            <w:pPr>
              <w:spacing w:after="0"/>
              <w:rPr>
                <w:sz w:val="11"/>
                <w:szCs w:val="11"/>
                <w:color w:val="auto"/>
              </w:rPr>
            </w:pPr>
          </w:p>
        </w:tc>
        <w:tc>
          <w:tcPr>
            <w:tcW w:w="140" w:type="dxa"/>
            <w:vAlign w:val="bottom"/>
            <w:gridSpan w:val="5"/>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040" w:type="dxa"/>
            <w:vAlign w:val="bottom"/>
            <w:tcBorders>
              <w:bottom w:val="single" w:sz="8" w:color="0000FF"/>
            </w:tcBorders>
            <w:gridSpan w:val="12"/>
          </w:tcPr>
          <w:p>
            <w:pPr>
              <w:spacing w:after="0"/>
              <w:rPr>
                <w:rFonts w:ascii="Arial" w:cs="Arial" w:eastAsia="Arial" w:hAnsi="Arial"/>
                <w:sz w:val="14"/>
                <w:szCs w:val="14"/>
                <w:color w:val="0000FF"/>
              </w:rPr>
            </w:pPr>
            <w:hyperlink r:id="rId131">
              <w:r>
                <w:rPr>
                  <w:rFonts w:ascii="Arial" w:cs="Arial" w:eastAsia="Arial" w:hAnsi="Arial"/>
                  <w:sz w:val="14"/>
                  <w:szCs w:val="14"/>
                  <w:color w:val="0000FF"/>
                </w:rPr>
                <w:t>Second Addendum to Standard</w:t>
              </w:r>
            </w:hyperlink>
          </w:p>
        </w:tc>
        <w:tc>
          <w:tcPr>
            <w:tcW w:w="1220" w:type="dxa"/>
            <w:vAlign w:val="bottom"/>
            <w:gridSpan w:val="32"/>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260" w:type="dxa"/>
            <w:vAlign w:val="bottom"/>
            <w:gridSpan w:val="44"/>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10.21</w:t>
            </w:r>
          </w:p>
        </w:tc>
        <w:tc>
          <w:tcPr>
            <w:tcW w:w="31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April 29, 2016, by and between RGS Properties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10.27</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8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and the Company.</w:t>
              </w:r>
            </w:hyperlink>
          </w:p>
        </w:tc>
        <w:tc>
          <w:tcPr>
            <w:tcW w:w="184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2">
              <w:r>
                <w:rPr>
                  <w:rFonts w:ascii="Arial" w:cs="Arial" w:eastAsia="Arial" w:hAnsi="Arial"/>
                  <w:sz w:val="14"/>
                  <w:szCs w:val="14"/>
                  <w:color w:val="0000FF"/>
                </w:rPr>
                <w:t>Third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Industrial/Commercial Multi-</w:t>
              </w:r>
            </w:hyperlink>
          </w:p>
        </w:tc>
        <w:tc>
          <w:tcPr>
            <w:tcW w:w="1420" w:type="dxa"/>
            <w:vAlign w:val="bottom"/>
            <w:gridSpan w:val="37"/>
          </w:tcPr>
          <w:p>
            <w:pPr>
              <w:jc w:val="right"/>
              <w:ind w:right="180"/>
              <w:spacing w:after="0" w:line="129" w:lineRule="exact"/>
              <w:rPr>
                <w:rFonts w:ascii="Arial" w:cs="Arial" w:eastAsia="Arial" w:hAnsi="Arial"/>
                <w:sz w:val="14"/>
                <w:szCs w:val="14"/>
                <w:color w:val="0000FF"/>
                <w:w w:val="94"/>
              </w:rPr>
            </w:pPr>
            <w:hyperlink r:id="rId132">
              <w:r>
                <w:rPr>
                  <w:rFonts w:ascii="Arial" w:cs="Arial" w:eastAsia="Arial" w:hAnsi="Arial"/>
                  <w:sz w:val="14"/>
                  <w:szCs w:val="14"/>
                  <w:color w:val="0000FF"/>
                  <w:w w:val="94"/>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10.22</w:t>
            </w:r>
          </w:p>
        </w:tc>
        <w:tc>
          <w:tcPr>
            <w:tcW w:w="31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2">
              <w:r>
                <w:rPr>
                  <w:rFonts w:ascii="Arial" w:cs="Arial" w:eastAsia="Arial" w:hAnsi="Arial"/>
                  <w:sz w:val="13"/>
                  <w:szCs w:val="13"/>
                  <w:color w:val="0000FF"/>
                </w:rPr>
                <w:t>June 16, 2017, by and between RGS Properties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10.28</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1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9"/>
              </w:rPr>
            </w:pPr>
            <w:hyperlink r:id="rId132">
              <w:r>
                <w:rPr>
                  <w:rFonts w:ascii="Arial" w:cs="Arial" w:eastAsia="Arial" w:hAnsi="Arial"/>
                  <w:sz w:val="14"/>
                  <w:szCs w:val="14"/>
                  <w:color w:val="0000FF"/>
                  <w:w w:val="99"/>
                </w:rPr>
                <w:t>and the Company.</w:t>
              </w:r>
            </w:hyperlink>
          </w:p>
        </w:tc>
        <w:tc>
          <w:tcPr>
            <w:tcW w:w="1880" w:type="dxa"/>
            <w:vAlign w:val="bottom"/>
            <w:tcBorders>
              <w:top w:val="single" w:sz="8" w:color="0000FF"/>
            </w:tcBorders>
            <w:gridSpan w:val="35"/>
          </w:tcPr>
          <w:p>
            <w:pPr>
              <w:spacing w:after="0"/>
              <w:rPr>
                <w:sz w:val="11"/>
                <w:szCs w:val="11"/>
                <w:color w:val="auto"/>
              </w:rPr>
            </w:pPr>
          </w:p>
        </w:tc>
        <w:tc>
          <w:tcPr>
            <w:tcW w:w="220" w:type="dxa"/>
            <w:vAlign w:val="bottom"/>
            <w:gridSpan w:val="7"/>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3">
              <w:r>
                <w:rPr>
                  <w:rFonts w:ascii="Arial" w:cs="Arial" w:eastAsia="Arial" w:hAnsi="Arial"/>
                  <w:sz w:val="14"/>
                  <w:szCs w:val="14"/>
                  <w:color w:val="0000FF"/>
                </w:rPr>
                <w:t>Fourth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44"/>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Industrial/Commercial Multi-Tenant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10.23</w:t>
            </w:r>
          </w:p>
        </w:tc>
        <w:tc>
          <w:tcPr>
            <w:tcW w:w="31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3">
              <w:r>
                <w:rPr>
                  <w:rFonts w:ascii="Arial" w:cs="Arial" w:eastAsia="Arial" w:hAnsi="Arial"/>
                  <w:sz w:val="13"/>
                  <w:szCs w:val="13"/>
                  <w:color w:val="0000FF"/>
                </w:rPr>
                <w:t>March 16, 2020,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10.29</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33">
              <w:r>
                <w:rPr>
                  <w:rFonts w:ascii="Arial" w:cs="Arial" w:eastAsia="Arial" w:hAnsi="Arial"/>
                  <w:sz w:val="14"/>
                  <w:szCs w:val="14"/>
                  <w:color w:val="0000FF"/>
                </w:rPr>
                <w:t>Properties and the Company.</w:t>
              </w:r>
            </w:hyperlink>
          </w:p>
        </w:tc>
        <w:tc>
          <w:tcPr>
            <w:tcW w:w="580" w:type="dxa"/>
            <w:vAlign w:val="bottom"/>
            <w:tcBorders>
              <w:top w:val="single" w:sz="8" w:color="0000FF"/>
            </w:tcBorders>
            <w:gridSpan w:val="7"/>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4">
              <w:r>
                <w:rPr>
                  <w:rFonts w:ascii="Arial" w:cs="Arial" w:eastAsia="Arial" w:hAnsi="Arial"/>
                  <w:sz w:val="14"/>
                  <w:szCs w:val="14"/>
                  <w:color w:val="0000FF"/>
                </w:rPr>
                <w:t>Fifth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182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134">
              <w:r>
                <w:rPr>
                  <w:rFonts w:ascii="Arial" w:cs="Arial" w:eastAsia="Arial" w:hAnsi="Arial"/>
                  <w:sz w:val="14"/>
                  <w:szCs w:val="14"/>
                  <w:color w:val="0000FF"/>
                </w:rPr>
                <w:t>Industrial/Commercial Multi-</w:t>
              </w:r>
            </w:hyperlink>
          </w:p>
        </w:tc>
        <w:tc>
          <w:tcPr>
            <w:tcW w:w="1440" w:type="dxa"/>
            <w:vAlign w:val="bottom"/>
            <w:gridSpan w:val="38"/>
          </w:tcPr>
          <w:p>
            <w:pPr>
              <w:jc w:val="right"/>
              <w:ind w:right="180"/>
              <w:spacing w:after="0" w:line="129" w:lineRule="exact"/>
              <w:rPr>
                <w:rFonts w:ascii="Arial" w:cs="Arial" w:eastAsia="Arial" w:hAnsi="Arial"/>
                <w:sz w:val="14"/>
                <w:szCs w:val="14"/>
                <w:color w:val="0000FF"/>
                <w:w w:val="96"/>
              </w:rPr>
            </w:pPr>
            <w:hyperlink r:id="rId134">
              <w:r>
                <w:rPr>
                  <w:rFonts w:ascii="Arial" w:cs="Arial" w:eastAsia="Arial" w:hAnsi="Arial"/>
                  <w:sz w:val="14"/>
                  <w:szCs w:val="14"/>
                  <w:color w:val="0000FF"/>
                  <w:w w:val="96"/>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10.24</w:t>
            </w:r>
          </w:p>
        </w:tc>
        <w:tc>
          <w:tcPr>
            <w:tcW w:w="31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October 19, 2021, by and between RGS</w:t>
              </w:r>
            </w:hyperlink>
          </w:p>
        </w:tc>
        <w:tc>
          <w:tcPr>
            <w:tcW w:w="140" w:type="dxa"/>
            <w:vAlign w:val="bottom"/>
            <w:gridSpan w:val="3"/>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920" w:type="dxa"/>
            <w:vAlign w:val="bottom"/>
            <w:vMerge w:val="restart"/>
          </w:tcPr>
          <w:p>
            <w:pPr>
              <w:jc w:val="center"/>
              <w:ind w:left="148"/>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8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34">
              <w:r>
                <w:rPr>
                  <w:rFonts w:ascii="Arial" w:cs="Arial" w:eastAsia="Arial" w:hAnsi="Arial"/>
                  <w:sz w:val="14"/>
                  <w:szCs w:val="14"/>
                  <w:color w:val="0000FF"/>
                </w:rPr>
                <w:t>Properties and the Company.</w:t>
              </w:r>
            </w:hyperlink>
          </w:p>
        </w:tc>
        <w:tc>
          <w:tcPr>
            <w:tcW w:w="680" w:type="dxa"/>
            <w:vAlign w:val="bottom"/>
            <w:tcBorders>
              <w:top w:val="single" w:sz="8" w:color="0000FF"/>
            </w:tcBorders>
            <w:gridSpan w:val="8"/>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c>
          <w:tcPr>
            <w:tcW w:w="160" w:type="dxa"/>
            <w:vAlign w:val="bottom"/>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5">
              <w:r>
                <w:rPr>
                  <w:rFonts w:ascii="Arial" w:cs="Arial" w:eastAsia="Arial" w:hAnsi="Arial"/>
                  <w:sz w:val="14"/>
                  <w:szCs w:val="14"/>
                  <w:color w:val="0000FF"/>
                </w:rPr>
                <w:t>Standard Industrial/Commercial Single-Tenant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10.25</w:t>
            </w:r>
          </w:p>
        </w:tc>
        <w:tc>
          <w:tcPr>
            <w:tcW w:w="2940" w:type="dxa"/>
            <w:vAlign w:val="bottom"/>
            <w:tcBorders>
              <w:top w:val="single" w:sz="8" w:color="0000FF"/>
            </w:tcBorders>
            <w:gridSpan w:val="32"/>
          </w:tcPr>
          <w:p>
            <w:pPr>
              <w:spacing w:after="0" w:line="129" w:lineRule="exact"/>
              <w:rPr>
                <w:rFonts w:ascii="Arial" w:cs="Arial" w:eastAsia="Arial" w:hAnsi="Arial"/>
                <w:sz w:val="14"/>
                <w:szCs w:val="14"/>
                <w:color w:val="0000FF"/>
              </w:rPr>
            </w:pPr>
            <w:hyperlink r:id="rId135">
              <w:r>
                <w:rPr>
                  <w:rFonts w:ascii="Arial" w:cs="Arial" w:eastAsia="Arial" w:hAnsi="Arial"/>
                  <w:sz w:val="14"/>
                  <w:szCs w:val="14"/>
                  <w:color w:val="0000FF"/>
                </w:rPr>
                <w:t>Lease, dated September 4, 2014, by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10"/>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7"/>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bottom w:val="single" w:sz="8" w:color="0000FF"/>
            </w:tcBorders>
            <w:gridSpan w:val="34"/>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between Geiger Court, LLC and the Company.</w:t>
              </w:r>
            </w:hyperlink>
          </w:p>
        </w:tc>
        <w:tc>
          <w:tcPr>
            <w:tcW w:w="280" w:type="dxa"/>
            <w:vAlign w:val="bottom"/>
            <w:gridSpan w:val="10"/>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6">
              <w:r>
                <w:rPr>
                  <w:rFonts w:ascii="Arial" w:cs="Arial" w:eastAsia="Arial" w:hAnsi="Arial"/>
                  <w:sz w:val="14"/>
                  <w:szCs w:val="14"/>
                  <w:color w:val="0000FF"/>
                </w:rPr>
                <w:t>First Addendum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180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9"/>
              </w:rPr>
            </w:pPr>
            <w:hyperlink r:id="rId136">
              <w:r>
                <w:rPr>
                  <w:rFonts w:ascii="Arial" w:cs="Arial" w:eastAsia="Arial" w:hAnsi="Arial"/>
                  <w:sz w:val="14"/>
                  <w:szCs w:val="14"/>
                  <w:color w:val="0000FF"/>
                  <w:w w:val="99"/>
                </w:rPr>
                <w:t>Industrial/Commercial Single</w:t>
              </w:r>
            </w:hyperlink>
          </w:p>
        </w:tc>
        <w:tc>
          <w:tcPr>
            <w:tcW w:w="980" w:type="dxa"/>
            <w:vAlign w:val="bottom"/>
            <w:tcBorders>
              <w:bottom w:val="single" w:sz="8" w:color="0000FF"/>
            </w:tcBorders>
            <w:gridSpan w:val="19"/>
          </w:tcPr>
          <w:p>
            <w:pPr>
              <w:ind w:left="20"/>
              <w:spacing w:after="0" w:line="129" w:lineRule="exact"/>
              <w:rPr>
                <w:rFonts w:ascii="Arial" w:cs="Arial" w:eastAsia="Arial" w:hAnsi="Arial"/>
                <w:sz w:val="14"/>
                <w:szCs w:val="14"/>
                <w:color w:val="0000FF"/>
                <w:w w:val="99"/>
              </w:rPr>
            </w:pPr>
            <w:hyperlink r:id="rId136">
              <w:r>
                <w:rPr>
                  <w:rFonts w:ascii="Arial" w:cs="Arial" w:eastAsia="Arial" w:hAnsi="Arial"/>
                  <w:sz w:val="14"/>
                  <w:szCs w:val="14"/>
                  <w:color w:val="0000FF"/>
                  <w:w w:val="99"/>
                </w:rPr>
                <w:t>-Tenant Lease,</w:t>
              </w:r>
            </w:hyperlink>
          </w:p>
        </w:tc>
        <w:tc>
          <w:tcPr>
            <w:tcW w:w="480" w:type="dxa"/>
            <w:vAlign w:val="bottom"/>
            <w:gridSpan w:val="20"/>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10.26</w:t>
            </w:r>
          </w:p>
        </w:tc>
        <w:tc>
          <w:tcPr>
            <w:tcW w:w="3260" w:type="dxa"/>
            <w:vAlign w:val="bottom"/>
            <w:gridSpan w:val="44"/>
          </w:tcPr>
          <w:p>
            <w:pPr>
              <w:spacing w:after="0" w:line="115" w:lineRule="exact"/>
              <w:rPr>
                <w:rFonts w:ascii="Arial" w:cs="Arial" w:eastAsia="Arial" w:hAnsi="Arial"/>
                <w:sz w:val="13"/>
                <w:szCs w:val="13"/>
                <w:color w:val="0000FF"/>
              </w:rPr>
            </w:pPr>
            <w:hyperlink r:id="rId136">
              <w:r>
                <w:rPr>
                  <w:rFonts w:ascii="Arial" w:cs="Arial" w:eastAsia="Arial" w:hAnsi="Arial"/>
                  <w:sz w:val="13"/>
                  <w:szCs w:val="13"/>
                  <w:color w:val="0000FF"/>
                </w:rPr>
                <w:t>dated August 2, 2017, by and between Geiger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10.31</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92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36">
              <w:r>
                <w:rPr>
                  <w:rFonts w:ascii="Arial" w:cs="Arial" w:eastAsia="Arial" w:hAnsi="Arial"/>
                  <w:sz w:val="14"/>
                  <w:szCs w:val="14"/>
                  <w:color w:val="0000FF"/>
                </w:rPr>
                <w:t>Court, LLC and the Company.</w:t>
              </w:r>
            </w:hyperlink>
          </w:p>
        </w:tc>
        <w:tc>
          <w:tcPr>
            <w:tcW w:w="1040" w:type="dxa"/>
            <w:vAlign w:val="bottom"/>
            <w:tcBorders>
              <w:top w:val="single" w:sz="8" w:color="0000FF"/>
            </w:tcBorders>
            <w:gridSpan w:val="23"/>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44"/>
          </w:tcPr>
          <w:p>
            <w:pPr>
              <w:spacing w:after="0"/>
              <w:rPr>
                <w:rFonts w:ascii="Arial" w:cs="Arial" w:eastAsia="Arial" w:hAnsi="Arial"/>
                <w:sz w:val="14"/>
                <w:szCs w:val="14"/>
                <w:color w:val="0000FF"/>
              </w:rPr>
            </w:pPr>
            <w:hyperlink r:id="rId137">
              <w:r>
                <w:rPr>
                  <w:rFonts w:ascii="Arial" w:cs="Arial" w:eastAsia="Arial" w:hAnsi="Arial"/>
                  <w:sz w:val="14"/>
                  <w:szCs w:val="14"/>
                  <w:color w:val="0000FF"/>
                </w:rPr>
                <w:t>Extension of Lease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780" w:type="dxa"/>
            <w:vAlign w:val="bottom"/>
            <w:gridSpan w:val="13"/>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2780" w:type="dxa"/>
            <w:vAlign w:val="bottom"/>
            <w:tcBorders>
              <w:bottom w:val="single" w:sz="8" w:color="0000FF"/>
            </w:tcBorders>
            <w:gridSpan w:val="24"/>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Industrial/Commercial Single-Tenant Lease,</w:t>
              </w:r>
            </w:hyperlink>
          </w:p>
        </w:tc>
        <w:tc>
          <w:tcPr>
            <w:tcW w:w="480" w:type="dxa"/>
            <w:vAlign w:val="bottom"/>
            <w:gridSpan w:val="20"/>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10.27</w:t>
            </w:r>
          </w:p>
        </w:tc>
        <w:tc>
          <w:tcPr>
            <w:tcW w:w="3260" w:type="dxa"/>
            <w:vAlign w:val="bottom"/>
            <w:gridSpan w:val="44"/>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dated March 12, 2020,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920" w:type="dxa"/>
            <w:vAlign w:val="bottom"/>
            <w:vMerge w:val="restart"/>
          </w:tcPr>
          <w:p>
            <w:pPr>
              <w:jc w:val="center"/>
              <w:ind w:left="168"/>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rPr>
            </w:pPr>
            <w:hyperlink r:id="rId137">
              <w:r>
                <w:rPr>
                  <w:rFonts w:ascii="Arial" w:cs="Arial" w:eastAsia="Arial" w:hAnsi="Arial"/>
                  <w:sz w:val="14"/>
                  <w:szCs w:val="14"/>
                  <w:color w:val="0000FF"/>
                </w:rPr>
                <w:t>Vista and the Company.</w:t>
              </w:r>
            </w:hyperlink>
          </w:p>
        </w:tc>
        <w:tc>
          <w:tcPr>
            <w:tcW w:w="1460" w:type="dxa"/>
            <w:vAlign w:val="bottom"/>
            <w:tcBorders>
              <w:top w:val="single" w:sz="8" w:color="0000FF"/>
            </w:tcBorders>
            <w:gridSpan w:val="30"/>
          </w:tcPr>
          <w:p>
            <w:pPr>
              <w:spacing w:after="0"/>
              <w:rPr>
                <w:sz w:val="11"/>
                <w:szCs w:val="11"/>
                <w:color w:val="auto"/>
              </w:rPr>
            </w:pPr>
          </w:p>
        </w:tc>
        <w:tc>
          <w:tcPr>
            <w:tcW w:w="280" w:type="dxa"/>
            <w:vAlign w:val="bottom"/>
            <w:gridSpan w:val="10"/>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60" w:type="dxa"/>
            <w:vAlign w:val="bottom"/>
            <w:gridSpan w:val="53"/>
          </w:tcPr>
          <w:p>
            <w:pPr>
              <w:spacing w:after="0"/>
              <w:rPr>
                <w:rFonts w:ascii="Arial" w:cs="Arial" w:eastAsia="Arial" w:hAnsi="Arial"/>
                <w:sz w:val="14"/>
                <w:szCs w:val="14"/>
                <w:color w:val="0000FF"/>
              </w:rPr>
            </w:pPr>
            <w:hyperlink r:id="rId139">
              <w:r>
                <w:rPr>
                  <w:rFonts w:ascii="Arial" w:cs="Arial" w:eastAsia="Arial" w:hAnsi="Arial"/>
                  <w:sz w:val="14"/>
                  <w:szCs w:val="14"/>
                  <w:color w:val="0000FF"/>
                </w:rPr>
                <w:t>First Amendment to Standard</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8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3"/>
          </w:tcPr>
          <w:p>
            <w:pPr>
              <w:spacing w:after="0" w:line="129" w:lineRule="exact"/>
              <w:rPr>
                <w:rFonts w:ascii="Arial" w:cs="Arial" w:eastAsia="Arial" w:hAnsi="Arial"/>
                <w:sz w:val="14"/>
                <w:szCs w:val="14"/>
                <w:color w:val="0000FF"/>
                <w:w w:val="98"/>
              </w:rPr>
            </w:pPr>
            <w:hyperlink r:id="rId139">
              <w:r>
                <w:rPr>
                  <w:rFonts w:ascii="Arial" w:cs="Arial" w:eastAsia="Arial" w:hAnsi="Arial"/>
                  <w:sz w:val="14"/>
                  <w:szCs w:val="14"/>
                  <w:color w:val="0000FF"/>
                  <w:w w:val="98"/>
                </w:rPr>
                <w:t>Tenant Lease,</w:t>
              </w:r>
            </w:hyperlink>
          </w:p>
        </w:tc>
        <w:tc>
          <w:tcPr>
            <w:tcW w:w="480" w:type="dxa"/>
            <w:vAlign w:val="bottom"/>
            <w:gridSpan w:val="2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10.28</w:t>
            </w:r>
          </w:p>
        </w:tc>
        <w:tc>
          <w:tcPr>
            <w:tcW w:w="3260" w:type="dxa"/>
            <w:vAlign w:val="bottom"/>
            <w:gridSpan w:val="53"/>
          </w:tcPr>
          <w:p>
            <w:pPr>
              <w:spacing w:after="0" w:line="115" w:lineRule="exact"/>
              <w:rPr>
                <w:rFonts w:ascii="Arial" w:cs="Arial" w:eastAsia="Arial" w:hAnsi="Arial"/>
                <w:sz w:val="13"/>
                <w:szCs w:val="13"/>
                <w:color w:val="0000FF"/>
              </w:rPr>
            </w:pPr>
            <w:hyperlink r:id="rId139">
              <w:r>
                <w:rPr>
                  <w:rFonts w:ascii="Arial" w:cs="Arial" w:eastAsia="Arial" w:hAnsi="Arial"/>
                  <w:sz w:val="13"/>
                  <w:szCs w:val="13"/>
                  <w:color w:val="0000FF"/>
                </w:rPr>
                <w:t>dated January 6, 2021, by and between Liberty</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10.34</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3/16/2021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54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39">
              <w:r>
                <w:rPr>
                  <w:rFonts w:ascii="Arial" w:cs="Arial" w:eastAsia="Arial" w:hAnsi="Arial"/>
                  <w:sz w:val="14"/>
                  <w:szCs w:val="14"/>
                  <w:color w:val="0000FF"/>
                </w:rPr>
                <w:t>Vista and the Company.</w:t>
              </w:r>
            </w:hyperlink>
          </w:p>
        </w:tc>
        <w:tc>
          <w:tcPr>
            <w:tcW w:w="1460" w:type="dxa"/>
            <w:vAlign w:val="bottom"/>
            <w:tcBorders>
              <w:top w:val="single" w:sz="8" w:color="0000FF"/>
            </w:tcBorders>
            <w:gridSpan w:val="3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0">
              <w:r>
                <w:rPr>
                  <w:rFonts w:ascii="Arial" w:cs="Arial" w:eastAsia="Arial" w:hAnsi="Arial"/>
                  <w:sz w:val="14"/>
                  <w:szCs w:val="14"/>
                  <w:color w:val="0000FF"/>
                </w:rPr>
                <w:t>Second Amendment to Standard</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2780" w:type="dxa"/>
            <w:vAlign w:val="bottom"/>
            <w:tcBorders>
              <w:bottom w:val="single" w:sz="8" w:color="0000FF"/>
            </w:tcBorders>
            <w:gridSpan w:val="27"/>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Industrial/Commercial Single-Tenant Lease,</w:t>
              </w:r>
            </w:hyperlink>
          </w:p>
        </w:tc>
        <w:tc>
          <w:tcPr>
            <w:tcW w:w="480" w:type="dxa"/>
            <w:vAlign w:val="bottom"/>
            <w:gridSpan w:val="26"/>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10.29</w:t>
            </w:r>
          </w:p>
        </w:tc>
        <w:tc>
          <w:tcPr>
            <w:tcW w:w="3260" w:type="dxa"/>
            <w:vAlign w:val="bottom"/>
            <w:gridSpan w:val="53"/>
          </w:tcPr>
          <w:p>
            <w:pPr>
              <w:spacing w:after="0" w:line="115" w:lineRule="exact"/>
              <w:rPr>
                <w:rFonts w:ascii="Arial" w:cs="Arial" w:eastAsia="Arial" w:hAnsi="Arial"/>
                <w:sz w:val="13"/>
                <w:szCs w:val="13"/>
                <w:color w:val="0000FF"/>
              </w:rPr>
            </w:pPr>
            <w:hyperlink r:id="rId140">
              <w:r>
                <w:rPr>
                  <w:rFonts w:ascii="Arial" w:cs="Arial" w:eastAsia="Arial" w:hAnsi="Arial"/>
                  <w:sz w:val="13"/>
                  <w:szCs w:val="13"/>
                  <w:color w:val="0000FF"/>
                </w:rPr>
                <w:t>dated October 11, 2021, by and between Liberty</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40" w:type="dxa"/>
            <w:vAlign w:val="bottom"/>
            <w:vMerge w:val="restart"/>
          </w:tcPr>
          <w:p>
            <w:pPr>
              <w:jc w:val="center"/>
              <w:ind w:right="630"/>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4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rPr>
            </w:pPr>
            <w:hyperlink r:id="rId140">
              <w:r>
                <w:rPr>
                  <w:rFonts w:ascii="Arial" w:cs="Arial" w:eastAsia="Arial" w:hAnsi="Arial"/>
                  <w:sz w:val="14"/>
                  <w:szCs w:val="14"/>
                  <w:color w:val="0000FF"/>
                </w:rPr>
                <w:t>Vista and the Company.</w:t>
              </w:r>
            </w:hyperlink>
          </w:p>
        </w:tc>
        <w:tc>
          <w:tcPr>
            <w:tcW w:w="1520" w:type="dxa"/>
            <w:vAlign w:val="bottom"/>
            <w:tcBorders>
              <w:top w:val="single" w:sz="8" w:color="0000FF"/>
            </w:tcBorders>
            <w:gridSpan w:val="3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1">
              <w:r>
                <w:rPr>
                  <w:rFonts w:ascii="Arial" w:cs="Arial" w:eastAsia="Arial" w:hAnsi="Arial"/>
                  <w:sz w:val="14"/>
                  <w:szCs w:val="14"/>
                  <w:color w:val="0000FF"/>
                </w:rPr>
                <w:t>Standard Industrial/Commercial Multi-Tenant</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10.30</w:t>
            </w:r>
          </w:p>
        </w:tc>
        <w:tc>
          <w:tcPr>
            <w:tcW w:w="2880" w:type="dxa"/>
            <w:vAlign w:val="bottom"/>
            <w:tcBorders>
              <w:top w:val="single" w:sz="8" w:color="0000FF"/>
              <w:bottom w:val="single" w:sz="8" w:color="0000FF"/>
            </w:tcBorders>
            <w:gridSpan w:val="31"/>
          </w:tcPr>
          <w:p>
            <w:pPr>
              <w:spacing w:after="0" w:line="129" w:lineRule="exact"/>
              <w:rPr>
                <w:rFonts w:ascii="Arial" w:cs="Arial" w:eastAsia="Arial" w:hAnsi="Arial"/>
                <w:sz w:val="14"/>
                <w:szCs w:val="14"/>
                <w:color w:val="0000FF"/>
              </w:rPr>
            </w:pPr>
            <w:hyperlink r:id="rId141">
              <w:r>
                <w:rPr>
                  <w:rFonts w:ascii="Arial" w:cs="Arial" w:eastAsia="Arial" w:hAnsi="Arial"/>
                  <w:sz w:val="14"/>
                  <w:szCs w:val="14"/>
                  <w:color w:val="0000FF"/>
                </w:rPr>
                <w:t>Lease, dated March 17, 2020 by and between</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10.33</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3/25/2020</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00" w:type="dxa"/>
            <w:vAlign w:val="bottom"/>
            <w:gridSpan w:val="37"/>
          </w:tcPr>
          <w:p>
            <w:pPr>
              <w:spacing w:after="0" w:line="115" w:lineRule="exact"/>
              <w:rPr>
                <w:rFonts w:ascii="Arial" w:cs="Arial" w:eastAsia="Arial" w:hAnsi="Arial"/>
                <w:sz w:val="13"/>
                <w:szCs w:val="13"/>
                <w:color w:val="0000FF"/>
              </w:rPr>
            </w:pPr>
            <w:hyperlink r:id="rId141">
              <w:r>
                <w:rPr>
                  <w:rFonts w:ascii="Arial" w:cs="Arial" w:eastAsia="Arial" w:hAnsi="Arial"/>
                  <w:sz w:val="13"/>
                  <w:szCs w:val="13"/>
                  <w:color w:val="0000FF"/>
                </w:rPr>
                <w:t>RGS Properties and the Company.</w:t>
              </w:r>
            </w:hyperlink>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200" w:type="dxa"/>
            <w:vAlign w:val="bottom"/>
            <w:tcBorders>
              <w:top w:val="single" w:sz="8" w:color="0000FF"/>
            </w:tcBorders>
            <w:gridSpan w:val="17"/>
          </w:tcPr>
          <w:p>
            <w:pPr>
              <w:spacing w:after="0"/>
              <w:rPr>
                <w:rFonts w:ascii="Arial" w:cs="Arial" w:eastAsia="Arial" w:hAnsi="Arial"/>
                <w:sz w:val="14"/>
                <w:szCs w:val="14"/>
                <w:color w:val="0000FF"/>
              </w:rPr>
            </w:pPr>
            <w:hyperlink r:id="rId142">
              <w:r>
                <w:rPr>
                  <w:rFonts w:ascii="Arial" w:cs="Arial" w:eastAsia="Arial" w:hAnsi="Arial"/>
                  <w:sz w:val="14"/>
                  <w:szCs w:val="14"/>
                  <w:color w:val="0000FF"/>
                </w:rPr>
                <w:t>First Addendum to Standard</w:t>
              </w:r>
            </w:hyperlink>
          </w:p>
        </w:tc>
        <w:tc>
          <w:tcPr>
            <w:tcW w:w="1060" w:type="dxa"/>
            <w:vAlign w:val="bottom"/>
            <w:gridSpan w:val="36"/>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180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Industrial/Commercial Multi-</w:t>
              </w:r>
            </w:hyperlink>
          </w:p>
        </w:tc>
        <w:tc>
          <w:tcPr>
            <w:tcW w:w="1460" w:type="dxa"/>
            <w:vAlign w:val="bottom"/>
            <w:gridSpan w:val="42"/>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Tenant Lease, dated</w:t>
              </w:r>
            </w:hyperlink>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10.31</w:t>
            </w:r>
          </w:p>
        </w:tc>
        <w:tc>
          <w:tcPr>
            <w:tcW w:w="3140" w:type="dxa"/>
            <w:vAlign w:val="bottom"/>
            <w:tcBorders>
              <w:top w:val="single" w:sz="8" w:color="0000FF"/>
            </w:tcBorders>
            <w:gridSpan w:val="48"/>
          </w:tcPr>
          <w:p>
            <w:pPr>
              <w:spacing w:after="0" w:line="115" w:lineRule="exact"/>
              <w:rPr>
                <w:rFonts w:ascii="Arial" w:cs="Arial" w:eastAsia="Arial" w:hAnsi="Arial"/>
                <w:sz w:val="13"/>
                <w:szCs w:val="13"/>
                <w:color w:val="0000FF"/>
              </w:rPr>
            </w:pPr>
            <w:hyperlink r:id="rId142">
              <w:r>
                <w:rPr>
                  <w:rFonts w:ascii="Arial" w:cs="Arial" w:eastAsia="Arial" w:hAnsi="Arial"/>
                  <w:sz w:val="13"/>
                  <w:szCs w:val="13"/>
                  <w:color w:val="0000FF"/>
                </w:rPr>
                <w:t>October 19, 2021, by and between RGS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10.4</w:t>
            </w:r>
          </w:p>
        </w:tc>
        <w:tc>
          <w:tcPr>
            <w:tcW w:w="1840" w:type="dxa"/>
            <w:vAlign w:val="bottom"/>
            <w:vMerge w:val="restart"/>
          </w:tcPr>
          <w:p>
            <w:pPr>
              <w:jc w:val="center"/>
              <w:ind w:right="630"/>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60" w:type="dxa"/>
            <w:vAlign w:val="bottom"/>
            <w:tcBorders>
              <w:top w:val="single" w:sz="8" w:color="0000FF"/>
              <w:bottom w:val="single" w:sz="8" w:color="0000FF"/>
            </w:tcBorders>
            <w:gridSpan w:val="13"/>
          </w:tcPr>
          <w:p>
            <w:pPr>
              <w:spacing w:after="0" w:line="129" w:lineRule="exact"/>
              <w:rPr>
                <w:rFonts w:ascii="Arial" w:cs="Arial" w:eastAsia="Arial" w:hAnsi="Arial"/>
                <w:sz w:val="14"/>
                <w:szCs w:val="14"/>
                <w:color w:val="0000FF"/>
              </w:rPr>
            </w:pPr>
            <w:hyperlink r:id="rId142">
              <w:r>
                <w:rPr>
                  <w:rFonts w:ascii="Arial" w:cs="Arial" w:eastAsia="Arial" w:hAnsi="Arial"/>
                  <w:sz w:val="14"/>
                  <w:szCs w:val="14"/>
                  <w:color w:val="0000FF"/>
                </w:rPr>
                <w:t>Properties and the Company.</w:t>
              </w:r>
            </w:hyperlink>
          </w:p>
        </w:tc>
        <w:tc>
          <w:tcPr>
            <w:tcW w:w="70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Sublease Agreement, dated August 19, 2021, by</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10.32†</w:t>
            </w:r>
          </w:p>
        </w:tc>
        <w:tc>
          <w:tcPr>
            <w:tcW w:w="3180" w:type="dxa"/>
            <w:vAlign w:val="bottom"/>
            <w:tcBorders>
              <w:top w:val="single" w:sz="8" w:color="0000FF"/>
            </w:tcBorders>
            <w:gridSpan w:val="50"/>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and between Plum Healthcare Group, LLC and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30"/>
              <w:spacing w:after="0"/>
              <w:rPr>
                <w:sz w:val="20"/>
                <w:szCs w:val="20"/>
                <w:color w:val="auto"/>
              </w:rPr>
            </w:pPr>
            <w:r>
              <w:rPr>
                <w:rFonts w:ascii="Arial" w:cs="Arial" w:eastAsia="Arial" w:hAnsi="Arial"/>
                <w:sz w:val="14"/>
                <w:szCs w:val="14"/>
                <w:color w:val="auto"/>
                <w:w w:val="99"/>
              </w:rPr>
              <w:t>11/10/2021</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rPr>
            </w:pPr>
            <w:hyperlink r:id="rId143">
              <w:r>
                <w:rPr>
                  <w:rFonts w:ascii="Arial" w:cs="Arial" w:eastAsia="Arial" w:hAnsi="Arial"/>
                  <w:sz w:val="13"/>
                  <w:szCs w:val="13"/>
                  <w:color w:val="0000FF"/>
                </w:rPr>
                <w:t>the Company.</w:t>
              </w:r>
            </w:hyperlink>
          </w:p>
        </w:tc>
        <w:tc>
          <w:tcPr>
            <w:tcW w:w="2100" w:type="dxa"/>
            <w:vAlign w:val="bottom"/>
            <w:tcBorders>
              <w:top w:val="single" w:sz="8" w:color="0000FF"/>
            </w:tcBorders>
            <w:gridSpan w:val="3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4">
              <w:r>
                <w:rPr>
                  <w:rFonts w:ascii="Arial" w:cs="Arial" w:eastAsia="Arial" w:hAnsi="Arial"/>
                  <w:sz w:val="14"/>
                  <w:szCs w:val="14"/>
                  <w:color w:val="0000FF"/>
                </w:rPr>
                <w:t>Master Lease Agreement, dated February 1,</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620" w:type="dxa"/>
            <w:vAlign w:val="bottom"/>
            <w:tcBorders>
              <w:top w:val="single" w:sz="8" w:color="0000FF"/>
              <w:bottom w:val="single" w:sz="8" w:color="0000FF"/>
            </w:tcBorders>
            <w:gridSpan w:val="24"/>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2018, by and between Celtic Commercial</w:t>
              </w:r>
            </w:hyperlink>
          </w:p>
        </w:tc>
        <w:tc>
          <w:tcPr>
            <w:tcW w:w="22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77"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10.33</w:t>
            </w:r>
          </w:p>
        </w:tc>
        <w:tc>
          <w:tcPr>
            <w:tcW w:w="3260" w:type="dxa"/>
            <w:vAlign w:val="bottom"/>
            <w:gridSpan w:val="53"/>
          </w:tcPr>
          <w:p>
            <w:pPr>
              <w:spacing w:after="0" w:line="115" w:lineRule="exact"/>
              <w:rPr>
                <w:rFonts w:ascii="Arial" w:cs="Arial" w:eastAsia="Arial" w:hAnsi="Arial"/>
                <w:sz w:val="13"/>
                <w:szCs w:val="13"/>
                <w:color w:val="0000FF"/>
              </w:rPr>
            </w:pPr>
            <w:hyperlink r:id="rId144">
              <w:r>
                <w:rPr>
                  <w:rFonts w:ascii="Arial" w:cs="Arial" w:eastAsia="Arial" w:hAnsi="Arial"/>
                  <w:sz w:val="13"/>
                  <w:szCs w:val="13"/>
                  <w:color w:val="0000FF"/>
                </w:rPr>
                <w:t>Finance, a division of MB Equipment Finance,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10.32</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98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144">
              <w:r>
                <w:rPr>
                  <w:rFonts w:ascii="Arial" w:cs="Arial" w:eastAsia="Arial" w:hAnsi="Arial"/>
                  <w:sz w:val="14"/>
                  <w:szCs w:val="14"/>
                  <w:color w:val="0000FF"/>
                </w:rPr>
                <w:t>LLC and the Company.</w:t>
              </w:r>
            </w:hyperlink>
          </w:p>
        </w:tc>
        <w:tc>
          <w:tcPr>
            <w:tcW w:w="4294967277"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10.34</w:t>
            </w:r>
          </w:p>
        </w:tc>
        <w:tc>
          <w:tcPr>
            <w:tcW w:w="3260" w:type="dxa"/>
            <w:vAlign w:val="bottom"/>
            <w:gridSpan w:val="53"/>
          </w:tcPr>
          <w:p>
            <w:pPr>
              <w:spacing w:after="0"/>
              <w:rPr>
                <w:rFonts w:ascii="Arial" w:cs="Arial" w:eastAsia="Arial" w:hAnsi="Arial"/>
                <w:sz w:val="14"/>
                <w:szCs w:val="14"/>
                <w:color w:val="0000FF"/>
              </w:rPr>
            </w:pPr>
            <w:hyperlink r:id="rId145">
              <w:r>
                <w:rPr>
                  <w:rFonts w:ascii="Arial" w:cs="Arial" w:eastAsia="Arial" w:hAnsi="Arial"/>
                  <w:sz w:val="14"/>
                  <w:szCs w:val="14"/>
                  <w:color w:val="0000FF"/>
                </w:rPr>
                <w:t>Form of Indemnification Agreement for Directors</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10.35</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8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and Officers.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10.35#</w:t>
            </w:r>
          </w:p>
        </w:tc>
        <w:tc>
          <w:tcPr>
            <w:tcW w:w="3260" w:type="dxa"/>
            <w:vAlign w:val="bottom"/>
            <w:gridSpan w:val="53"/>
          </w:tcPr>
          <w:p>
            <w:pPr>
              <w:spacing w:after="0"/>
              <w:rPr>
                <w:rFonts w:ascii="Arial" w:cs="Arial" w:eastAsia="Arial" w:hAnsi="Arial"/>
                <w:sz w:val="14"/>
                <w:szCs w:val="14"/>
                <w:color w:val="0000FF"/>
              </w:rPr>
            </w:pPr>
            <w:hyperlink r:id="rId146">
              <w:r>
                <w:rPr>
                  <w:rFonts w:ascii="Arial" w:cs="Arial" w:eastAsia="Arial" w:hAnsi="Arial"/>
                  <w:sz w:val="14"/>
                  <w:szCs w:val="14"/>
                  <w:color w:val="0000FF"/>
                </w:rPr>
                <w:t>Amended &amp; Restated Non-Employee Director</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7/17/2025</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52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Compensation Program</w:t>
              </w:r>
            </w:hyperlink>
          </w:p>
        </w:tc>
        <w:tc>
          <w:tcPr>
            <w:tcW w:w="1440" w:type="dxa"/>
            <w:vAlign w:val="bottom"/>
            <w:tcBorders>
              <w:top w:val="single" w:sz="8" w:color="0000FF"/>
            </w:tcBorders>
            <w:gridSpan w:val="26"/>
          </w:tcPr>
          <w:p>
            <w:pPr>
              <w:spacing w:after="0"/>
              <w:rPr>
                <w:sz w:val="11"/>
                <w:szCs w:val="11"/>
                <w:color w:val="auto"/>
              </w:rPr>
            </w:pPr>
          </w:p>
        </w:tc>
        <w:tc>
          <w:tcPr>
            <w:tcW w:w="0" w:type="dxa"/>
            <w:vAlign w:val="bottom"/>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vMerge w:val="restart"/>
          </w:tcPr>
          <w:p>
            <w:pPr>
              <w:spacing w:after="0"/>
              <w:rPr>
                <w:sz w:val="20"/>
                <w:szCs w:val="20"/>
                <w:color w:val="auto"/>
              </w:rPr>
            </w:pPr>
            <w:r>
              <w:rPr>
                <w:rFonts w:ascii="Arial" w:cs="Arial" w:eastAsia="Arial" w:hAnsi="Arial"/>
                <w:sz w:val="14"/>
                <w:szCs w:val="14"/>
                <w:color w:val="auto"/>
              </w:rPr>
              <w:t>10.36#</w:t>
            </w:r>
          </w:p>
        </w:tc>
        <w:tc>
          <w:tcPr>
            <w:tcW w:w="3260" w:type="dxa"/>
            <w:vAlign w:val="bottom"/>
            <w:gridSpan w:val="53"/>
          </w:tcPr>
          <w:p>
            <w:pPr>
              <w:spacing w:after="0"/>
              <w:rPr>
                <w:rFonts w:ascii="Arial" w:cs="Arial" w:eastAsia="Arial" w:hAnsi="Arial"/>
                <w:sz w:val="14"/>
                <w:szCs w:val="14"/>
                <w:color w:val="0000FF"/>
              </w:rPr>
            </w:pPr>
            <w:hyperlink r:id="rId147">
              <w:r>
                <w:rPr>
                  <w:rFonts w:ascii="Arial" w:cs="Arial" w:eastAsia="Arial" w:hAnsi="Arial"/>
                  <w:sz w:val="14"/>
                  <w:szCs w:val="14"/>
                  <w:color w:val="0000FF"/>
                </w:rPr>
                <w:t>Exagen Inc. Amended and Restated Executive</w:t>
              </w:r>
            </w:hyperlink>
          </w:p>
        </w:tc>
        <w:tc>
          <w:tcPr>
            <w:tcW w:w="800" w:type="dxa"/>
            <w:vAlign w:val="bottom"/>
            <w:vMerge w:val="restart"/>
          </w:tcPr>
          <w:p>
            <w:pPr>
              <w:jc w:val="center"/>
              <w:ind w:right="48"/>
              <w:spacing w:after="0"/>
              <w:rPr>
                <w:sz w:val="20"/>
                <w:szCs w:val="20"/>
                <w:color w:val="auto"/>
              </w:rPr>
            </w:pPr>
            <w:r>
              <w:rPr>
                <w:rFonts w:ascii="Arial" w:cs="Arial" w:eastAsia="Arial" w:hAnsi="Arial"/>
                <w:sz w:val="14"/>
                <w:szCs w:val="14"/>
                <w:color w:val="auto"/>
              </w:rPr>
              <w:t>10-Q</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10.3</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8/5/2024</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96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147">
              <w:r>
                <w:rPr>
                  <w:rFonts w:ascii="Arial" w:cs="Arial" w:eastAsia="Arial" w:hAnsi="Arial"/>
                  <w:sz w:val="14"/>
                  <w:szCs w:val="14"/>
                  <w:color w:val="0000FF"/>
                </w:rPr>
                <w:t>Change in Control and Severance Plan.</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60" w:type="dxa"/>
            <w:vAlign w:val="bottom"/>
            <w:gridSpan w:val="53"/>
          </w:tcPr>
          <w:p>
            <w:pPr>
              <w:spacing w:after="0"/>
              <w:rPr>
                <w:rFonts w:ascii="Arial" w:cs="Arial" w:eastAsia="Arial" w:hAnsi="Arial"/>
                <w:sz w:val="14"/>
                <w:szCs w:val="14"/>
                <w:color w:val="0000FF"/>
              </w:rPr>
            </w:pPr>
            <w:hyperlink r:id="rId148">
              <w:r>
                <w:rPr>
                  <w:rFonts w:ascii="Arial" w:cs="Arial" w:eastAsia="Arial" w:hAnsi="Arial"/>
                  <w:sz w:val="14"/>
                  <w:szCs w:val="14"/>
                  <w:color w:val="0000FF"/>
                </w:rPr>
                <w:t>Employment Agreement, dated as of October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10.37#</w:t>
            </w:r>
          </w:p>
        </w:tc>
        <w:tc>
          <w:tcPr>
            <w:tcW w:w="2940" w:type="dxa"/>
            <w:vAlign w:val="bottom"/>
            <w:tcBorders>
              <w:top w:val="single" w:sz="8" w:color="0000FF"/>
            </w:tcBorders>
            <w:gridSpan w:val="34"/>
          </w:tcPr>
          <w:p>
            <w:pPr>
              <w:spacing w:after="0" w:line="129" w:lineRule="exact"/>
              <w:rPr>
                <w:rFonts w:ascii="Arial" w:cs="Arial" w:eastAsia="Arial" w:hAnsi="Arial"/>
                <w:sz w:val="14"/>
                <w:szCs w:val="14"/>
                <w:color w:val="0000FF"/>
              </w:rPr>
            </w:pPr>
            <w:hyperlink r:id="rId148">
              <w:r>
                <w:rPr>
                  <w:rFonts w:ascii="Arial" w:cs="Arial" w:eastAsia="Arial" w:hAnsi="Arial"/>
                  <w:sz w:val="14"/>
                  <w:szCs w:val="14"/>
                  <w:color w:val="0000FF"/>
                </w:rPr>
                <w:t>16, 2022, by and between the Company and</w:t>
              </w:r>
            </w:hyperlink>
          </w:p>
        </w:tc>
        <w:tc>
          <w:tcPr>
            <w:tcW w:w="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10/16/2022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76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148">
              <w:r>
                <w:rPr>
                  <w:rFonts w:ascii="Arial" w:cs="Arial" w:eastAsia="Arial" w:hAnsi="Arial"/>
                  <w:sz w:val="13"/>
                  <w:szCs w:val="13"/>
                  <w:color w:val="0000FF"/>
                </w:rPr>
                <w:t>John Aballi</w:t>
              </w:r>
            </w:hyperlink>
          </w:p>
        </w:tc>
        <w:tc>
          <w:tcPr>
            <w:tcW w:w="2100" w:type="dxa"/>
            <w:vAlign w:val="bottom"/>
            <w:tcBorders>
              <w:top w:val="single" w:sz="8" w:color="0000FF"/>
            </w:tcBorders>
            <w:gridSpan w:val="2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49">
              <w:r>
                <w:rPr>
                  <w:rFonts w:ascii="Arial" w:cs="Arial" w:eastAsia="Arial" w:hAnsi="Arial"/>
                  <w:sz w:val="14"/>
                  <w:szCs w:val="14"/>
                  <w:color w:val="0000FF"/>
                </w:rPr>
                <w:t>Employment Agreement, dated as of September</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10.38#</w:t>
            </w:r>
          </w:p>
        </w:tc>
        <w:tc>
          <w:tcPr>
            <w:tcW w:w="3100" w:type="dxa"/>
            <w:vAlign w:val="bottom"/>
            <w:tcBorders>
              <w:top w:val="single" w:sz="8" w:color="0000FF"/>
            </w:tcBorders>
            <w:gridSpan w:val="46"/>
          </w:tcPr>
          <w:p>
            <w:pPr>
              <w:spacing w:after="0" w:line="129" w:lineRule="exact"/>
              <w:rPr>
                <w:rFonts w:ascii="Arial" w:cs="Arial" w:eastAsia="Arial" w:hAnsi="Arial"/>
                <w:sz w:val="14"/>
                <w:szCs w:val="14"/>
                <w:color w:val="0000FF"/>
              </w:rPr>
            </w:pPr>
            <w:hyperlink r:id="rId149">
              <w:r>
                <w:rPr>
                  <w:rFonts w:ascii="Arial" w:cs="Arial" w:eastAsia="Arial" w:hAnsi="Arial"/>
                  <w:sz w:val="14"/>
                  <w:szCs w:val="14"/>
                  <w:color w:val="0000FF"/>
                </w:rPr>
                <w:t>1, 2024, by and between the Company and Jeff</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8/2/2024</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149">
              <w:r>
                <w:rPr>
                  <w:rFonts w:ascii="Arial" w:cs="Arial" w:eastAsia="Arial" w:hAnsi="Arial"/>
                  <w:sz w:val="13"/>
                  <w:szCs w:val="13"/>
                  <w:color w:val="0000FF"/>
                </w:rPr>
                <w:t>Black.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0">
              <w:r>
                <w:rPr>
                  <w:rFonts w:ascii="Arial" w:cs="Arial" w:eastAsia="Arial" w:hAnsi="Arial"/>
                  <w:sz w:val="14"/>
                  <w:szCs w:val="14"/>
                  <w:color w:val="0000FF"/>
                </w:rPr>
                <w:t>Sales Agreement, dated as of September 15,</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10.39</w:t>
            </w:r>
          </w:p>
        </w:tc>
        <w:tc>
          <w:tcPr>
            <w:tcW w:w="2920" w:type="dxa"/>
            <w:vAlign w:val="bottom"/>
            <w:tcBorders>
              <w:top w:val="single" w:sz="8" w:color="0000FF"/>
            </w:tcBorders>
            <w:gridSpan w:val="33"/>
          </w:tcPr>
          <w:p>
            <w:pPr>
              <w:spacing w:after="0" w:line="129" w:lineRule="exact"/>
              <w:rPr>
                <w:rFonts w:ascii="Arial" w:cs="Arial" w:eastAsia="Arial" w:hAnsi="Arial"/>
                <w:sz w:val="14"/>
                <w:szCs w:val="14"/>
                <w:color w:val="0000FF"/>
              </w:rPr>
            </w:pPr>
            <w:hyperlink r:id="rId150">
              <w:r>
                <w:rPr>
                  <w:rFonts w:ascii="Arial" w:cs="Arial" w:eastAsia="Arial" w:hAnsi="Arial"/>
                  <w:sz w:val="14"/>
                  <w:szCs w:val="14"/>
                  <w:color w:val="0000FF"/>
                </w:rPr>
                <w:t>2022, by and between the Company and TD</w:t>
              </w:r>
            </w:hyperlink>
          </w:p>
        </w:tc>
        <w:tc>
          <w:tcPr>
            <w:tcW w:w="4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9/15/2022</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36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150">
              <w:r>
                <w:rPr>
                  <w:rFonts w:ascii="Arial" w:cs="Arial" w:eastAsia="Arial" w:hAnsi="Arial"/>
                  <w:sz w:val="13"/>
                  <w:szCs w:val="13"/>
                  <w:color w:val="0000FF"/>
                </w:rPr>
                <w:t>Securities (USA) LLC</w:t>
              </w:r>
            </w:hyperlink>
          </w:p>
        </w:tc>
        <w:tc>
          <w:tcPr>
            <w:tcW w:w="1460" w:type="dxa"/>
            <w:vAlign w:val="bottom"/>
            <w:tcBorders>
              <w:top w:val="single" w:sz="8" w:color="0000FF"/>
            </w:tcBorders>
            <w:gridSpan w:val="21"/>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6"/>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1">
              <w:r>
                <w:rPr>
                  <w:rFonts w:ascii="Arial" w:cs="Arial" w:eastAsia="Arial" w:hAnsi="Arial"/>
                  <w:sz w:val="14"/>
                  <w:szCs w:val="14"/>
                  <w:color w:val="0000FF"/>
                </w:rPr>
                <w:t>Amendment No. 1, dated November 17, 2023, to</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tcPr>
          <w:p>
            <w:pPr>
              <w:spacing w:after="0"/>
              <w:rPr>
                <w:sz w:val="11"/>
                <w:szCs w:val="11"/>
                <w:color w:val="auto"/>
              </w:rPr>
            </w:pPr>
          </w:p>
        </w:tc>
        <w:tc>
          <w:tcPr>
            <w:tcW w:w="3160" w:type="dxa"/>
            <w:vAlign w:val="bottom"/>
            <w:tcBorders>
              <w:top w:val="single" w:sz="8" w:color="0000FF"/>
              <w:bottom w:val="single" w:sz="8" w:color="0000FF"/>
            </w:tcBorders>
            <w:gridSpan w:val="49"/>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the Sales Agreement, dated as of September 15,</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10.40</w:t>
            </w:r>
          </w:p>
        </w:tc>
        <w:tc>
          <w:tcPr>
            <w:tcW w:w="3220" w:type="dxa"/>
            <w:vAlign w:val="bottom"/>
            <w:gridSpan w:val="52"/>
          </w:tcPr>
          <w:p>
            <w:pPr>
              <w:spacing w:after="0" w:line="115" w:lineRule="exact"/>
              <w:rPr>
                <w:rFonts w:ascii="Arial" w:cs="Arial" w:eastAsia="Arial" w:hAnsi="Arial"/>
                <w:sz w:val="13"/>
                <w:szCs w:val="13"/>
                <w:color w:val="0000FF"/>
              </w:rPr>
            </w:pPr>
            <w:hyperlink r:id="rId151">
              <w:r>
                <w:rPr>
                  <w:rFonts w:ascii="Arial" w:cs="Arial" w:eastAsia="Arial" w:hAnsi="Arial"/>
                  <w:sz w:val="13"/>
                  <w:szCs w:val="13"/>
                  <w:color w:val="0000FF"/>
                </w:rPr>
                <w:t>2022, by and between Exagen Inc. and TD</w:t>
              </w:r>
            </w:hyperlink>
          </w:p>
        </w:tc>
        <w:tc>
          <w:tcPr>
            <w:tcW w:w="40" w:type="dxa"/>
            <w:vAlign w:val="bottom"/>
          </w:tcPr>
          <w:p>
            <w:pPr>
              <w:spacing w:after="0"/>
              <w:rPr>
                <w:sz w:val="10"/>
                <w:szCs w:val="10"/>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1.1</w:t>
            </w:r>
          </w:p>
        </w:tc>
        <w:tc>
          <w:tcPr>
            <w:tcW w:w="1840" w:type="dxa"/>
            <w:vAlign w:val="bottom"/>
            <w:vMerge w:val="restart"/>
          </w:tcPr>
          <w:p>
            <w:pPr>
              <w:jc w:val="center"/>
              <w:ind w:right="630"/>
              <w:spacing w:after="0"/>
              <w:rPr>
                <w:sz w:val="20"/>
                <w:szCs w:val="20"/>
                <w:color w:val="auto"/>
              </w:rPr>
            </w:pPr>
            <w:r>
              <w:rPr>
                <w:rFonts w:ascii="Arial" w:cs="Arial" w:eastAsia="Arial" w:hAnsi="Arial"/>
                <w:sz w:val="14"/>
                <w:szCs w:val="14"/>
                <w:color w:val="auto"/>
                <w:w w:val="99"/>
              </w:rPr>
              <w:t>11/17/2023</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46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151">
              <w:r>
                <w:rPr>
                  <w:rFonts w:ascii="Arial" w:cs="Arial" w:eastAsia="Arial" w:hAnsi="Arial"/>
                  <w:sz w:val="14"/>
                  <w:szCs w:val="14"/>
                  <w:color w:val="0000FF"/>
                </w:rPr>
                <w:t>Securities (USA) LLC.</w:t>
              </w:r>
            </w:hyperlink>
          </w:p>
        </w:tc>
        <w:tc>
          <w:tcPr>
            <w:tcW w:w="1260" w:type="dxa"/>
            <w:vAlign w:val="bottom"/>
            <w:tcBorders>
              <w:top w:val="single" w:sz="8" w:color="0000FF"/>
            </w:tcBorders>
            <w:gridSpan w:val="18"/>
          </w:tcPr>
          <w:p>
            <w:pPr>
              <w:spacing w:after="0"/>
              <w:rPr>
                <w:sz w:val="11"/>
                <w:szCs w:val="11"/>
                <w:color w:val="auto"/>
              </w:rPr>
            </w:pPr>
          </w:p>
        </w:tc>
        <w:tc>
          <w:tcPr>
            <w:tcW w:w="180" w:type="dxa"/>
            <w:vAlign w:val="bottom"/>
            <w:gridSpan w:val="6"/>
          </w:tcPr>
          <w:p>
            <w:pPr>
              <w:spacing w:after="0"/>
              <w:rPr>
                <w:sz w:val="11"/>
                <w:szCs w:val="11"/>
                <w:color w:val="auto"/>
              </w:rPr>
            </w:pPr>
          </w:p>
        </w:tc>
        <w:tc>
          <w:tcPr>
            <w:tcW w:w="60" w:type="dxa"/>
            <w:vAlign w:val="bottom"/>
            <w:gridSpan w:val="6"/>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8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rFonts w:ascii="Arial" w:cs="Arial" w:eastAsia="Arial" w:hAnsi="Arial"/>
                <w:sz w:val="14"/>
                <w:szCs w:val="14"/>
                <w:color w:val="0000FF"/>
              </w:rPr>
            </w:pPr>
            <w:hyperlink r:id="rId152">
              <w:r>
                <w:rPr>
                  <w:rFonts w:ascii="Arial" w:cs="Arial" w:eastAsia="Arial" w:hAnsi="Arial"/>
                  <w:sz w:val="14"/>
                  <w:szCs w:val="14"/>
                  <w:color w:val="0000FF"/>
                </w:rPr>
                <w:t>Credit Agreement and Guaranty, dated April 25,</w:t>
              </w:r>
            </w:hyperlink>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10.41^†</w:t>
            </w:r>
          </w:p>
        </w:tc>
        <w:tc>
          <w:tcPr>
            <w:tcW w:w="3040" w:type="dxa"/>
            <w:vAlign w:val="bottom"/>
            <w:tcBorders>
              <w:top w:val="single" w:sz="8" w:color="0000FF"/>
            </w:tcBorders>
            <w:gridSpan w:val="42"/>
          </w:tcPr>
          <w:p>
            <w:pPr>
              <w:spacing w:after="0" w:line="129" w:lineRule="exact"/>
              <w:rPr>
                <w:rFonts w:ascii="Arial" w:cs="Arial" w:eastAsia="Arial" w:hAnsi="Arial"/>
                <w:sz w:val="14"/>
                <w:szCs w:val="14"/>
                <w:color w:val="0000FF"/>
              </w:rPr>
            </w:pPr>
            <w:hyperlink r:id="rId152">
              <w:r>
                <w:rPr>
                  <w:rFonts w:ascii="Arial" w:cs="Arial" w:eastAsia="Arial" w:hAnsi="Arial"/>
                  <w:sz w:val="14"/>
                  <w:szCs w:val="14"/>
                  <w:color w:val="0000FF"/>
                </w:rPr>
                <w:t>2025, by and among the Company and</w:t>
              </w:r>
            </w:hyperlink>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10.1</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4/28/2025</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140" w:type="dxa"/>
            <w:vAlign w:val="bottom"/>
            <w:tcBorders>
              <w:top w:val="single" w:sz="8" w:color="0000FF"/>
              <w:bottom w:val="single" w:sz="8" w:color="0000FF"/>
            </w:tcBorders>
            <w:gridSpan w:val="16"/>
          </w:tcPr>
          <w:p>
            <w:pPr>
              <w:spacing w:after="0" w:line="115" w:lineRule="exact"/>
              <w:rPr>
                <w:rFonts w:ascii="Arial" w:cs="Arial" w:eastAsia="Arial" w:hAnsi="Arial"/>
                <w:sz w:val="13"/>
                <w:szCs w:val="13"/>
                <w:color w:val="0000FF"/>
              </w:rPr>
            </w:pPr>
            <w:hyperlink r:id="rId152">
              <w:r>
                <w:rPr>
                  <w:rFonts w:ascii="Arial" w:cs="Arial" w:eastAsia="Arial" w:hAnsi="Arial"/>
                  <w:sz w:val="13"/>
                  <w:szCs w:val="13"/>
                  <w:color w:val="0000FF"/>
                </w:rPr>
                <w:t>Perceptive Credit Holdings IV, LP.</w:t>
              </w:r>
            </w:hyperlink>
          </w:p>
        </w:tc>
        <w:tc>
          <w:tcPr>
            <w:tcW w:w="38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200" w:type="dxa"/>
            <w:vAlign w:val="bottom"/>
            <w:gridSpan w:val="7"/>
          </w:tcPr>
          <w:p>
            <w:pPr>
              <w:spacing w:after="0"/>
              <w:rPr>
                <w:sz w:val="10"/>
                <w:szCs w:val="10"/>
                <w:color w:val="auto"/>
              </w:rPr>
            </w:pPr>
          </w:p>
        </w:tc>
        <w:tc>
          <w:tcPr>
            <w:tcW w:w="6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900" w:type="dxa"/>
            <w:vAlign w:val="bottom"/>
            <w:tcBorders>
              <w:bottom w:val="single" w:sz="8" w:color="0000FF"/>
            </w:tcBorders>
            <w:gridSpan w:val="32"/>
          </w:tcPr>
          <w:p>
            <w:pPr>
              <w:spacing w:after="0"/>
              <w:rPr>
                <w:rFonts w:ascii="Arial" w:cs="Arial" w:eastAsia="Arial" w:hAnsi="Arial"/>
                <w:sz w:val="14"/>
                <w:szCs w:val="14"/>
                <w:color w:val="0000FF"/>
              </w:rPr>
            </w:pPr>
            <w:hyperlink r:id="rId153">
              <w:r>
                <w:rPr>
                  <w:rFonts w:ascii="Arial" w:cs="Arial" w:eastAsia="Arial" w:hAnsi="Arial"/>
                  <w:sz w:val="14"/>
                  <w:szCs w:val="14"/>
                  <w:color w:val="0000FF"/>
                </w:rPr>
                <w:t>Security Agreement, dated April 25, 2025, by</w:t>
              </w:r>
            </w:hyperlink>
          </w:p>
        </w:tc>
        <w:tc>
          <w:tcPr>
            <w:tcW w:w="360" w:type="dxa"/>
            <w:vAlign w:val="bottom"/>
            <w:gridSpan w:val="21"/>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10.42^</w:t>
            </w:r>
          </w:p>
        </w:tc>
        <w:tc>
          <w:tcPr>
            <w:tcW w:w="3260" w:type="dxa"/>
            <w:vAlign w:val="bottom"/>
            <w:gridSpan w:val="53"/>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and among the Company and Perceptive Credit</w:t>
              </w:r>
            </w:hyperlink>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10.2</w:t>
            </w:r>
          </w:p>
        </w:tc>
        <w:tc>
          <w:tcPr>
            <w:tcW w:w="1840" w:type="dxa"/>
            <w:vAlign w:val="bottom"/>
            <w:vMerge w:val="restart"/>
          </w:tcPr>
          <w:p>
            <w:pPr>
              <w:jc w:val="center"/>
              <w:ind w:right="610"/>
              <w:spacing w:after="0"/>
              <w:rPr>
                <w:sz w:val="20"/>
                <w:szCs w:val="20"/>
                <w:color w:val="auto"/>
              </w:rPr>
            </w:pPr>
            <w:r>
              <w:rPr>
                <w:rFonts w:ascii="Arial" w:cs="Arial" w:eastAsia="Arial" w:hAnsi="Arial"/>
                <w:sz w:val="14"/>
                <w:szCs w:val="14"/>
                <w:color w:val="auto"/>
              </w:rPr>
              <w:t>4/28/2025</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100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153">
              <w:r>
                <w:rPr>
                  <w:rFonts w:ascii="Arial" w:cs="Arial" w:eastAsia="Arial" w:hAnsi="Arial"/>
                  <w:sz w:val="13"/>
                  <w:szCs w:val="13"/>
                  <w:color w:val="0000FF"/>
                </w:rPr>
                <w:t>Holdings IV, LP.</w:t>
              </w:r>
            </w:hyperlink>
          </w:p>
        </w:tc>
        <w:tc>
          <w:tcPr>
            <w:tcW w:w="2060" w:type="dxa"/>
            <w:vAlign w:val="bottom"/>
            <w:tcBorders>
              <w:top w:val="single" w:sz="8" w:color="0000FF"/>
            </w:tcBorders>
            <w:gridSpan w:val="38"/>
          </w:tcPr>
          <w:p>
            <w:pPr>
              <w:spacing w:after="0"/>
              <w:rPr>
                <w:sz w:val="10"/>
                <w:szCs w:val="10"/>
                <w:color w:val="auto"/>
              </w:rPr>
            </w:pPr>
          </w:p>
        </w:tc>
        <w:tc>
          <w:tcPr>
            <w:tcW w:w="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700" w:type="dxa"/>
            <w:vAlign w:val="bottom"/>
            <w:tcBorders>
              <w:bottom w:val="single" w:sz="8" w:color="0000FF"/>
            </w:tcBorders>
            <w:gridSpan w:val="25"/>
          </w:tcPr>
          <w:p>
            <w:pPr>
              <w:spacing w:after="0"/>
              <w:rPr>
                <w:sz w:val="20"/>
                <w:szCs w:val="20"/>
                <w:color w:val="auto"/>
              </w:rPr>
            </w:pPr>
            <w:r>
              <w:rPr>
                <w:rFonts w:ascii="Arial" w:cs="Arial" w:eastAsia="Arial" w:hAnsi="Arial"/>
                <w:sz w:val="14"/>
                <w:szCs w:val="14"/>
                <w:color w:val="0000FF"/>
              </w:rPr>
              <w:t>First Amendment to Credit Agreement and</w:t>
            </w:r>
          </w:p>
        </w:tc>
        <w:tc>
          <w:tcPr>
            <w:tcW w:w="560" w:type="dxa"/>
            <w:vAlign w:val="bottom"/>
            <w:gridSpan w:val="28"/>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260" w:type="dxa"/>
            <w:vAlign w:val="bottom"/>
            <w:gridSpan w:val="53"/>
          </w:tcPr>
          <w:p>
            <w:pPr>
              <w:spacing w:after="0" w:line="129" w:lineRule="exact"/>
              <w:rPr>
                <w:sz w:val="20"/>
                <w:szCs w:val="20"/>
                <w:color w:val="auto"/>
              </w:rPr>
            </w:pPr>
            <w:r>
              <w:rPr>
                <w:rFonts w:ascii="Arial" w:cs="Arial" w:eastAsia="Arial" w:hAnsi="Arial"/>
                <w:sz w:val="14"/>
                <w:szCs w:val="14"/>
                <w:color w:val="0000FF"/>
              </w:rPr>
              <w:t>Guaranty, dated March 6, 2026, by and among</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13"/>
            <w:shd w:val="clear" w:color="auto" w:fill="0000FF"/>
          </w:tcPr>
          <w:p>
            <w:pPr>
              <w:spacing w:after="0" w:line="20" w:lineRule="exact"/>
              <w:rPr>
                <w:sz w:val="1"/>
                <w:szCs w:val="1"/>
                <w:color w:val="auto"/>
              </w:rPr>
            </w:pPr>
          </w:p>
        </w:tc>
        <w:tc>
          <w:tcPr>
            <w:tcW w:w="10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10.43^†</w:t>
            </w:r>
          </w:p>
        </w:tc>
        <w:tc>
          <w:tcPr>
            <w:tcW w:w="3260" w:type="dxa"/>
            <w:vAlign w:val="bottom"/>
            <w:gridSpan w:val="53"/>
          </w:tcPr>
          <w:p>
            <w:pPr>
              <w:spacing w:after="0" w:line="115" w:lineRule="exact"/>
              <w:rPr>
                <w:sz w:val="20"/>
                <w:szCs w:val="20"/>
                <w:color w:val="auto"/>
              </w:rPr>
            </w:pPr>
            <w:r>
              <w:rPr>
                <w:rFonts w:ascii="Arial" w:cs="Arial" w:eastAsia="Arial" w:hAnsi="Arial"/>
                <w:sz w:val="13"/>
                <w:szCs w:val="13"/>
                <w:color w:val="0000FF"/>
              </w:rPr>
              <w:t>the Company and Perceptive Credit Holdings IV,</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0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85"/>
              </w:rPr>
              <w:t>LP.</w:t>
            </w:r>
          </w:p>
        </w:tc>
        <w:tc>
          <w:tcPr>
            <w:tcW w:w="2920" w:type="dxa"/>
            <w:vAlign w:val="bottom"/>
            <w:tcBorders>
              <w:top w:val="single" w:sz="8" w:color="0000FF"/>
            </w:tcBorders>
            <w:gridSpan w:val="46"/>
          </w:tcPr>
          <w:p>
            <w:pPr>
              <w:spacing w:after="0"/>
              <w:rPr>
                <w:sz w:val="11"/>
                <w:szCs w:val="11"/>
                <w:color w:val="auto"/>
              </w:rPr>
            </w:pPr>
          </w:p>
        </w:tc>
        <w:tc>
          <w:tcPr>
            <w:tcW w:w="80" w:type="dxa"/>
            <w:vAlign w:val="bottom"/>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19</w:t>
            </w:r>
          </w:p>
        </w:tc>
        <w:tc>
          <w:tcPr>
            <w:tcW w:w="2600" w:type="dxa"/>
            <w:vAlign w:val="bottom"/>
            <w:tcBorders>
              <w:bottom w:val="single" w:sz="8" w:color="0000FF"/>
            </w:tcBorders>
            <w:gridSpan w:val="23"/>
          </w:tcPr>
          <w:p>
            <w:pPr>
              <w:spacing w:after="0"/>
              <w:rPr>
                <w:rFonts w:ascii="Arial" w:cs="Arial" w:eastAsia="Arial" w:hAnsi="Arial"/>
                <w:sz w:val="14"/>
                <w:szCs w:val="14"/>
                <w:color w:val="0000FF"/>
              </w:rPr>
            </w:pPr>
            <w:hyperlink r:id="rId154">
              <w:r>
                <w:rPr>
                  <w:rFonts w:ascii="Arial" w:cs="Arial" w:eastAsia="Arial" w:hAnsi="Arial"/>
                  <w:sz w:val="14"/>
                  <w:szCs w:val="14"/>
                  <w:color w:val="0000FF"/>
                </w:rPr>
                <w:t>Insider Trading Policies and Procedures.</w:t>
              </w:r>
            </w:hyperlink>
          </w:p>
        </w:tc>
        <w:tc>
          <w:tcPr>
            <w:tcW w:w="660" w:type="dxa"/>
            <w:vAlign w:val="bottom"/>
            <w:gridSpan w:val="30"/>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60" w:type="dxa"/>
            <w:vAlign w:val="bottom"/>
          </w:tcPr>
          <w:p>
            <w:pPr>
              <w:jc w:val="center"/>
              <w:spacing w:after="0"/>
              <w:rPr>
                <w:sz w:val="20"/>
                <w:szCs w:val="20"/>
                <w:color w:val="auto"/>
              </w:rPr>
            </w:pPr>
            <w:r>
              <w:rPr>
                <w:rFonts w:ascii="Arial" w:cs="Arial" w:eastAsia="Arial" w:hAnsi="Arial"/>
                <w:sz w:val="14"/>
                <w:szCs w:val="14"/>
                <w:color w:val="auto"/>
              </w:rPr>
              <w:t>19</w:t>
            </w:r>
          </w:p>
        </w:tc>
        <w:tc>
          <w:tcPr>
            <w:tcW w:w="1840" w:type="dxa"/>
            <w:vAlign w:val="bottom"/>
          </w:tcPr>
          <w:p>
            <w:pPr>
              <w:jc w:val="center"/>
              <w:ind w:right="630"/>
              <w:spacing w:after="0"/>
              <w:rPr>
                <w:sz w:val="20"/>
                <w:szCs w:val="20"/>
                <w:color w:val="auto"/>
              </w:rPr>
            </w:pPr>
            <w:r>
              <w:rPr>
                <w:rFonts w:ascii="Arial" w:cs="Arial" w:eastAsia="Arial" w:hAnsi="Arial"/>
                <w:sz w:val="14"/>
                <w:szCs w:val="14"/>
                <w:color w:val="auto"/>
                <w:w w:val="99"/>
              </w:rPr>
              <w:t>3/11/2025</w:t>
            </w: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23.1</w:t>
            </w:r>
          </w:p>
        </w:tc>
        <w:tc>
          <w:tcPr>
            <w:tcW w:w="3260" w:type="dxa"/>
            <w:vAlign w:val="bottom"/>
            <w:gridSpan w:val="53"/>
          </w:tcPr>
          <w:p>
            <w:pPr>
              <w:spacing w:after="0"/>
              <w:rPr>
                <w:sz w:val="20"/>
                <w:szCs w:val="20"/>
                <w:color w:val="auto"/>
              </w:rPr>
            </w:pPr>
            <w:r>
              <w:rPr>
                <w:rFonts w:ascii="Arial" w:cs="Arial" w:eastAsia="Arial" w:hAnsi="Arial"/>
                <w:sz w:val="14"/>
                <w:szCs w:val="14"/>
                <w:color w:val="0000FF"/>
              </w:rPr>
              <w:t>Consent of Independent Registered Public</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08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Accounting Firm.</w:t>
            </w:r>
          </w:p>
        </w:tc>
        <w:tc>
          <w:tcPr>
            <w:tcW w:w="1620" w:type="dxa"/>
            <w:vAlign w:val="bottom"/>
            <w:tcBorders>
              <w:top w:val="single" w:sz="8" w:color="0000FF"/>
            </w:tcBorders>
            <w:gridSpan w:val="19"/>
          </w:tcPr>
          <w:p>
            <w:pPr>
              <w:spacing w:after="0"/>
              <w:rPr>
                <w:sz w:val="11"/>
                <w:szCs w:val="11"/>
                <w:color w:val="auto"/>
              </w:rPr>
            </w:pPr>
          </w:p>
        </w:tc>
        <w:tc>
          <w:tcPr>
            <w:tcW w:w="360" w:type="dxa"/>
            <w:vAlign w:val="bottom"/>
            <w:gridSpan w:val="19"/>
          </w:tcPr>
          <w:p>
            <w:pPr>
              <w:spacing w:after="0"/>
              <w:rPr>
                <w:sz w:val="11"/>
                <w:szCs w:val="11"/>
                <w:color w:val="auto"/>
              </w:rPr>
            </w:pPr>
          </w:p>
        </w:tc>
        <w:tc>
          <w:tcPr>
            <w:tcW w:w="140" w:type="dxa"/>
            <w:vAlign w:val="bottom"/>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24.1</w:t>
            </w:r>
          </w:p>
        </w:tc>
        <w:tc>
          <w:tcPr>
            <w:tcW w:w="3060" w:type="dxa"/>
            <w:vAlign w:val="bottom"/>
            <w:tcBorders>
              <w:bottom w:val="single" w:sz="8" w:color="0000FF"/>
            </w:tcBorders>
            <w:gridSpan w:val="44"/>
          </w:tcPr>
          <w:p>
            <w:pPr>
              <w:spacing w:after="0"/>
              <w:rPr>
                <w:sz w:val="20"/>
                <w:szCs w:val="20"/>
                <w:color w:val="auto"/>
              </w:rPr>
            </w:pPr>
            <w:r>
              <w:rPr>
                <w:rFonts w:ascii="Arial" w:cs="Arial" w:eastAsia="Arial" w:hAnsi="Arial"/>
                <w:sz w:val="14"/>
                <w:szCs w:val="14"/>
                <w:color w:val="0000FF"/>
              </w:rPr>
              <w:t>Power of Attorney (included on signature page).</w:t>
            </w:r>
          </w:p>
        </w:tc>
        <w:tc>
          <w:tcPr>
            <w:tcW w:w="200" w:type="dxa"/>
            <w:vAlign w:val="bottom"/>
            <w:gridSpan w:val="9"/>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sz w:val="20"/>
                <w:szCs w:val="20"/>
                <w:color w:val="auto"/>
              </w:rPr>
            </w:pPr>
            <w:r>
              <w:rPr>
                <w:rFonts w:ascii="Arial" w:cs="Arial" w:eastAsia="Arial" w:hAnsi="Arial"/>
                <w:sz w:val="14"/>
                <w:szCs w:val="14"/>
                <w:color w:val="0000FF"/>
              </w:rPr>
              <w:t>Certificate of Principal Executive Officer,</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tcBorders>
            <w:gridSpan w:val="9"/>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260" w:type="dxa"/>
            <w:vAlign w:val="bottom"/>
            <w:gridSpan w:val="53"/>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23"/>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600" w:type="dxa"/>
            <w:vAlign w:val="bottom"/>
            <w:gridSpan w:val="28"/>
          </w:tcPr>
          <w:p>
            <w:pPr>
              <w:spacing w:after="0"/>
              <w:rPr>
                <w:sz w:val="10"/>
                <w:szCs w:val="10"/>
                <w:color w:val="auto"/>
              </w:rPr>
            </w:pPr>
          </w:p>
        </w:tc>
        <w:tc>
          <w:tcPr>
            <w:tcW w:w="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12"/>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40" w:type="dxa"/>
            <w:vAlign w:val="bottom"/>
            <w:tcBorders>
              <w:top w:val="single" w:sz="8" w:color="0000FF"/>
            </w:tcBorders>
            <w:gridSpan w:val="6"/>
          </w:tcPr>
          <w:p>
            <w:pPr>
              <w:spacing w:after="0"/>
              <w:rPr>
                <w:sz w:val="11"/>
                <w:szCs w:val="11"/>
                <w:color w:val="auto"/>
              </w:rPr>
            </w:pPr>
          </w:p>
        </w:tc>
        <w:tc>
          <w:tcPr>
            <w:tcW w:w="100" w:type="dxa"/>
            <w:vAlign w:val="bottom"/>
            <w:gridSpan w:val="4"/>
          </w:tcPr>
          <w:p>
            <w:pPr>
              <w:spacing w:after="0"/>
              <w:rPr>
                <w:sz w:val="11"/>
                <w:szCs w:val="11"/>
                <w:color w:val="auto"/>
              </w:rPr>
            </w:pPr>
          </w:p>
        </w:tc>
        <w:tc>
          <w:tcPr>
            <w:tcW w:w="620" w:type="dxa"/>
            <w:vAlign w:val="bottom"/>
            <w:gridSpan w:val="29"/>
          </w:tcPr>
          <w:p>
            <w:pPr>
              <w:spacing w:after="0"/>
              <w:rPr>
                <w:sz w:val="11"/>
                <w:szCs w:val="11"/>
                <w:color w:val="auto"/>
              </w:rPr>
            </w:pPr>
          </w:p>
        </w:tc>
        <w:tc>
          <w:tcPr>
            <w:tcW w:w="6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260" w:type="dxa"/>
            <w:vAlign w:val="bottom"/>
            <w:gridSpan w:val="53"/>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200" w:type="dxa"/>
            <w:vAlign w:val="bottom"/>
            <w:tcBorders>
              <w:top w:val="single" w:sz="8" w:color="0000FF"/>
            </w:tcBorders>
            <w:gridSpan w:val="51"/>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80" w:type="dxa"/>
            <w:vAlign w:val="bottom"/>
            <w:tcBorders>
              <w:top w:val="single" w:sz="8" w:color="0000FF"/>
            </w:tcBorders>
            <w:gridSpan w:val="22"/>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680" w:type="dxa"/>
            <w:vAlign w:val="bottom"/>
            <w:gridSpan w:val="31"/>
          </w:tcPr>
          <w:p>
            <w:pPr>
              <w:spacing w:after="0" w:line="122" w:lineRule="exact"/>
              <w:rPr>
                <w:sz w:val="20"/>
                <w:szCs w:val="20"/>
                <w:color w:val="auto"/>
              </w:rPr>
            </w:pPr>
            <w:r>
              <w:rPr>
                <w:rFonts w:ascii="Arial" w:cs="Arial" w:eastAsia="Arial" w:hAnsi="Arial"/>
                <w:sz w:val="14"/>
                <w:szCs w:val="14"/>
                <w:color w:val="0000FF"/>
              </w:rPr>
              <w:t>-Oxley</w:t>
            </w: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40" w:type="dxa"/>
            <w:vAlign w:val="bottom"/>
            <w:vMerge w:val="restart"/>
          </w:tcPr>
          <w:p>
            <w:pPr>
              <w:ind w:left="176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980" w:type="dxa"/>
            <w:vAlign w:val="bottom"/>
            <w:tcBorders>
              <w:top w:val="single" w:sz="8" w:color="0000FF"/>
            </w:tcBorders>
            <w:gridSpan w:val="39"/>
          </w:tcPr>
          <w:p>
            <w:pPr>
              <w:spacing w:after="0" w:line="129" w:lineRule="exact"/>
              <w:rPr>
                <w:sz w:val="20"/>
                <w:szCs w:val="20"/>
                <w:color w:val="auto"/>
              </w:rPr>
            </w:pPr>
            <w:r>
              <w:rPr>
                <w:rFonts w:ascii="Arial" w:cs="Arial" w:eastAsia="Arial" w:hAnsi="Arial"/>
                <w:sz w:val="14"/>
                <w:szCs w:val="14"/>
                <w:color w:val="0000FF"/>
              </w:rPr>
              <w:t>Act of 2002.</w:t>
            </w:r>
          </w:p>
        </w:tc>
        <w:tc>
          <w:tcPr>
            <w:tcW w:w="280" w:type="dxa"/>
            <w:vAlign w:val="bottom"/>
            <w:gridSpan w:val="14"/>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FF"/>
            </w:tcBorders>
            <w:gridSpan w:val="4"/>
          </w:tcPr>
          <w:p>
            <w:pPr>
              <w:spacing w:after="0" w:line="20" w:lineRule="exact"/>
              <w:rPr>
                <w:sz w:val="1"/>
                <w:szCs w:val="1"/>
                <w:color w:val="auto"/>
              </w:rPr>
            </w:pPr>
          </w:p>
        </w:tc>
        <w:tc>
          <w:tcPr>
            <w:tcW w:w="7320" w:type="dxa"/>
            <w:vAlign w:val="bottom"/>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37" w:right="1440" w:bottom="1440" w:gutter="0" w:footer="0" w:header="0"/>
        </w:sectPr>
      </w:pPr>
    </w:p>
    <w:bookmarkStart w:id="90" w:name="page91"/>
    <w:bookmarkEnd w:id="90"/>
    <w:tbl>
      <w:tblPr>
        <w:tblLayout w:type="fixed"/>
        <w:tblInd w:w="123"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0000FF"/>
              </w:rPr>
              <w:t>Certifications Pursuant to U.S.C. Section 1350,</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2980" w:type="dxa"/>
            <w:vAlign w:val="bottom"/>
            <w:tcBorders>
              <w:top w:val="single" w:sz="8" w:color="0000FF"/>
            </w:tcBorders>
            <w:gridSpan w:val="5"/>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4"/>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5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700" w:type="dxa"/>
            <w:vAlign w:val="bottom"/>
            <w:gridSpan w:val="3"/>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97.1#</w:t>
            </w:r>
          </w:p>
        </w:tc>
        <w:tc>
          <w:tcPr>
            <w:tcW w:w="2000" w:type="dxa"/>
            <w:vAlign w:val="bottom"/>
            <w:tcBorders>
              <w:top w:val="single" w:sz="8" w:color="0000FF"/>
            </w:tcBorders>
            <w:gridSpan w:val="2"/>
          </w:tcPr>
          <w:p>
            <w:pPr>
              <w:spacing w:after="0"/>
              <w:rPr>
                <w:rFonts w:ascii="Arial" w:cs="Arial" w:eastAsia="Arial" w:hAnsi="Arial"/>
                <w:sz w:val="14"/>
                <w:szCs w:val="14"/>
                <w:color w:val="0000FF"/>
              </w:rPr>
            </w:pPr>
            <w:hyperlink r:id="rId156">
              <w:r>
                <w:rPr>
                  <w:rFonts w:ascii="Arial" w:cs="Arial" w:eastAsia="Arial" w:hAnsi="Arial"/>
                  <w:sz w:val="14"/>
                  <w:szCs w:val="14"/>
                  <w:color w:val="0000FF"/>
                </w:rPr>
                <w:t>Exagen Inc. Clawback Policy.</w:t>
              </w:r>
            </w:hyperlink>
          </w:p>
        </w:tc>
        <w:tc>
          <w:tcPr>
            <w:tcW w:w="1280" w:type="dxa"/>
            <w:vAlign w:val="bottom"/>
            <w:gridSpan w:val="4"/>
          </w:tcPr>
          <w:p>
            <w:pPr>
              <w:spacing w:after="0"/>
              <w:rPr>
                <w:sz w:val="15"/>
                <w:szCs w:val="15"/>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auto"/>
              </w:rPr>
              <w:t>10-Q</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001-39049</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10.2</w:t>
            </w:r>
          </w:p>
        </w:tc>
        <w:tc>
          <w:tcPr>
            <w:tcW w:w="1860" w:type="dxa"/>
            <w:vAlign w:val="bottom"/>
          </w:tcPr>
          <w:p>
            <w:pPr>
              <w:ind w:left="240"/>
              <w:spacing w:after="0"/>
              <w:rPr>
                <w:sz w:val="20"/>
                <w:szCs w:val="20"/>
                <w:color w:val="auto"/>
              </w:rPr>
            </w:pPr>
            <w:r>
              <w:rPr>
                <w:rFonts w:ascii="Arial" w:cs="Arial" w:eastAsia="Arial" w:hAnsi="Arial"/>
                <w:sz w:val="14"/>
                <w:szCs w:val="14"/>
                <w:color w:val="auto"/>
              </w:rPr>
              <w:t>11/13/2023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80" w:type="dxa"/>
            <w:vAlign w:val="bottom"/>
            <w:gridSpan w:val="6"/>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60" w:type="dxa"/>
            <w:vAlign w:val="bottom"/>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280" w:type="dxa"/>
            <w:vAlign w:val="bottom"/>
            <w:gridSpan w:val="6"/>
          </w:tcPr>
          <w:p>
            <w:pPr>
              <w:spacing w:after="0"/>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280" w:type="dxa"/>
            <w:vAlign w:val="bottom"/>
            <w:gridSpan w:val="6"/>
          </w:tcPr>
          <w:p>
            <w:pPr>
              <w:spacing w:after="0" w:line="149"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280" w:type="dxa"/>
            <w:vAlign w:val="bottom"/>
            <w:gridSpan w:val="6"/>
          </w:tcPr>
          <w:p>
            <w:pPr>
              <w:spacing w:after="0" w:line="149"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280" w:type="dxa"/>
            <w:vAlign w:val="bottom"/>
            <w:gridSpan w:val="6"/>
          </w:tcPr>
          <w:p>
            <w:pPr>
              <w:spacing w:after="0" w:line="149"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280" w:type="dxa"/>
            <w:vAlign w:val="bottom"/>
            <w:gridSpan w:val="6"/>
          </w:tcPr>
          <w:p>
            <w:pPr>
              <w:spacing w:after="0" w:line="149" w:lineRule="exact"/>
              <w:rPr>
                <w:sz w:val="20"/>
                <w:szCs w:val="20"/>
                <w:color w:val="auto"/>
              </w:rPr>
            </w:pPr>
            <w:r>
              <w:rPr>
                <w:rFonts w:ascii="Arial" w:cs="Arial" w:eastAsia="Arial" w:hAnsi="Arial"/>
                <w:sz w:val="14"/>
                <w:szCs w:val="14"/>
                <w:color w:val="auto"/>
              </w:rPr>
              <w:t>The cover page from the Company's Annual</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280" w:type="dxa"/>
            <w:vAlign w:val="bottom"/>
            <w:gridSpan w:val="6"/>
          </w:tcPr>
          <w:p>
            <w:pPr>
              <w:spacing w:after="0" w:line="145" w:lineRule="exact"/>
              <w:rPr>
                <w:sz w:val="20"/>
                <w:szCs w:val="20"/>
                <w:color w:val="auto"/>
              </w:rPr>
            </w:pPr>
            <w:r>
              <w:rPr>
                <w:rFonts w:ascii="Arial" w:cs="Arial" w:eastAsia="Arial" w:hAnsi="Arial"/>
                <w:sz w:val="14"/>
                <w:szCs w:val="14"/>
                <w:color w:val="auto"/>
              </w:rPr>
              <w:t>Report on Form 10-K for the year ended</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280" w:type="dxa"/>
            <w:vAlign w:val="bottom"/>
            <w:gridSpan w:val="6"/>
          </w:tcPr>
          <w:p>
            <w:pPr>
              <w:spacing w:after="0" w:line="139" w:lineRule="exact"/>
              <w:rPr>
                <w:sz w:val="20"/>
                <w:szCs w:val="20"/>
                <w:color w:val="auto"/>
              </w:rPr>
            </w:pPr>
            <w:r>
              <w:rPr>
                <w:rFonts w:ascii="Arial" w:cs="Arial" w:eastAsia="Arial" w:hAnsi="Arial"/>
                <w:sz w:val="14"/>
                <w:szCs w:val="14"/>
                <w:color w:val="auto"/>
              </w:rPr>
              <w:t>December 31, 2021, has been formatted in Inline</w:t>
            </w: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vMerge w:val="restart"/>
          </w:tcPr>
          <w:p>
            <w:pPr>
              <w:ind w:left="1780"/>
              <w:spacing w:after="0"/>
              <w:rPr>
                <w:sz w:val="20"/>
                <w:szCs w:val="20"/>
                <w:color w:val="auto"/>
              </w:rPr>
            </w:pPr>
            <w:r>
              <w:rPr>
                <w:rFonts w:ascii="Arial" w:cs="Arial" w:eastAsia="Arial" w:hAnsi="Arial"/>
                <w:sz w:val="12"/>
                <w:szCs w:val="12"/>
                <w:color w:val="auto"/>
                <w:w w:val="74"/>
              </w:rPr>
              <w:t>X</w:t>
            </w: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280" w:type="dxa"/>
            <w:vAlign w:val="bottom"/>
            <w:gridSpan w:val="6"/>
          </w:tcPr>
          <w:p>
            <w:pPr>
              <w:spacing w:after="0"/>
              <w:rPr>
                <w:sz w:val="20"/>
                <w:szCs w:val="20"/>
                <w:color w:val="auto"/>
              </w:rPr>
            </w:pPr>
            <w:r>
              <w:rPr>
                <w:rFonts w:ascii="Arial" w:cs="Arial" w:eastAsia="Arial" w:hAnsi="Arial"/>
                <w:sz w:val="14"/>
                <w:szCs w:val="14"/>
                <w:color w:val="auto"/>
              </w:rPr>
              <w:t>XBRL.</w:t>
            </w:r>
          </w:p>
        </w:tc>
        <w:tc>
          <w:tcPr>
            <w:tcW w:w="8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323" w:hanging="323"/>
        <w:spacing w:after="0"/>
        <w:tabs>
          <w:tab w:leader="none" w:pos="323"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w:t>
      </w:r>
    </w:p>
    <w:p>
      <w:pPr>
        <w:spacing w:after="0" w:line="39" w:lineRule="exact"/>
        <w:rPr>
          <w:sz w:val="20"/>
          <w:szCs w:val="20"/>
          <w:color w:val="auto"/>
        </w:rPr>
      </w:pPr>
    </w:p>
    <w:p>
      <w:pPr>
        <w:ind w:left="643"/>
        <w:spacing w:after="0"/>
        <w:rPr>
          <w:sz w:val="20"/>
          <w:szCs w:val="20"/>
          <w:color w:val="auto"/>
        </w:rPr>
      </w:pPr>
      <w:r>
        <w:rPr>
          <w:rFonts w:ascii="Arial" w:cs="Arial" w:eastAsia="Arial" w:hAnsi="Arial"/>
          <w:sz w:val="18"/>
          <w:szCs w:val="18"/>
          <w:color w:val="auto"/>
        </w:rPr>
        <w:t>section, nor shall it be deemed incorporated by reference into any filing under the Securities Act or the Exchange Act.</w:t>
      </w:r>
    </w:p>
    <w:p>
      <w:pPr>
        <w:spacing w:after="0" w:line="9" w:lineRule="exact"/>
        <w:rPr>
          <w:sz w:val="20"/>
          <w:szCs w:val="20"/>
          <w:color w:val="auto"/>
        </w:rPr>
      </w:pPr>
    </w:p>
    <w:p>
      <w:pPr>
        <w:ind w:left="303" w:hanging="303"/>
        <w:spacing w:after="0"/>
        <w:tabs>
          <w:tab w:leader="none" w:pos="3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 w:lineRule="exact"/>
        <w:rPr>
          <w:sz w:val="20"/>
          <w:szCs w:val="20"/>
          <w:color w:val="auto"/>
        </w:rPr>
      </w:pPr>
    </w:p>
    <w:p>
      <w:pPr>
        <w:ind w:left="303" w:hanging="303"/>
        <w:spacing w:after="0"/>
        <w:tabs>
          <w:tab w:leader="none" w:pos="303"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for confidentiality purposes.</w:t>
      </w:r>
    </w:p>
    <w:p>
      <w:pPr>
        <w:ind w:left="643" w:right="420" w:hanging="643"/>
        <w:spacing w:after="0" w:line="250" w:lineRule="auto"/>
        <w:tabs>
          <w:tab w:leader="none" w:pos="279"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601(a)(5) of Regulation S-K. Copies of the omitted schedules will be furnished to the SEC upon request.</w:t>
      </w:r>
    </w:p>
    <w:p>
      <w:pPr>
        <w:spacing w:after="0" w:line="200" w:lineRule="exact"/>
        <w:rPr>
          <w:sz w:val="20"/>
          <w:szCs w:val="20"/>
          <w:color w:val="auto"/>
        </w:rPr>
      </w:pPr>
    </w:p>
    <w:p>
      <w:pPr>
        <w:spacing w:after="0" w:line="323" w:lineRule="exact"/>
        <w:rPr>
          <w:sz w:val="20"/>
          <w:szCs w:val="20"/>
          <w:color w:val="auto"/>
        </w:rPr>
      </w:pPr>
    </w:p>
    <w:p>
      <w:pPr>
        <w:jc w:val="center"/>
        <w:ind w:right="397"/>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3"/>
          </w:cols>
          <w:pgMar w:left="1057" w:top="937" w:right="6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ind w:left="688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6220" w:val="left"/>
          <w:tab w:leader="none" w:pos="6860" w:val="left"/>
        </w:tabs>
        <w:rPr>
          <w:sz w:val="20"/>
          <w:szCs w:val="20"/>
          <w:color w:val="auto"/>
        </w:rPr>
      </w:pPr>
      <w:r>
        <w:rPr>
          <w:rFonts w:ascii="Arial" w:cs="Arial" w:eastAsia="Arial" w:hAnsi="Arial"/>
          <w:sz w:val="18"/>
          <w:szCs w:val="18"/>
          <w:color w:val="auto"/>
        </w:rPr>
        <w:t>Date: March 10,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17780</wp:posOffset>
            </wp:positionV>
            <wp:extent cx="24771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Aballi</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Aballi and Jeffrey G. Black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1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8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Aballi</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President, Chief Executive Officer and 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John Aballi</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Executive Officer)</w:t>
            </w:r>
          </w:p>
        </w:tc>
        <w:tc>
          <w:tcPr>
            <w:tcW w:w="2160" w:type="dxa"/>
            <w:vAlign w:val="bottom"/>
          </w:tcPr>
          <w:p>
            <w:pPr>
              <w:spacing w:after="0"/>
              <w:rPr>
                <w:sz w:val="18"/>
                <w:szCs w:val="18"/>
                <w:color w:val="auto"/>
              </w:rPr>
            </w:pPr>
          </w:p>
        </w:tc>
      </w:tr>
      <w:tr>
        <w:trPr>
          <w:trHeight w:val="377"/>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Jeffrey G. Black</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Chief Financial Officer and Corporate Secretary</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10"/>
        </w:trPr>
        <w:tc>
          <w:tcPr>
            <w:tcW w:w="2780" w:type="dxa"/>
            <w:vAlign w:val="bottom"/>
          </w:tcPr>
          <w:p>
            <w:pPr>
              <w:jc w:val="center"/>
              <w:spacing w:after="0"/>
              <w:rPr>
                <w:sz w:val="20"/>
                <w:szCs w:val="20"/>
                <w:color w:val="auto"/>
              </w:rPr>
            </w:pPr>
            <w:r>
              <w:rPr>
                <w:rFonts w:ascii="Arial" w:cs="Arial" w:eastAsia="Arial" w:hAnsi="Arial"/>
                <w:sz w:val="16"/>
                <w:szCs w:val="16"/>
                <w:color w:val="auto"/>
              </w:rPr>
              <w:t>Jeffrey G. Black</w:t>
            </w:r>
          </w:p>
        </w:tc>
        <w:tc>
          <w:tcPr>
            <w:tcW w:w="100" w:type="dxa"/>
            <w:vAlign w:val="bottom"/>
          </w:tcPr>
          <w:p>
            <w:pPr>
              <w:spacing w:after="0"/>
              <w:rPr>
                <w:sz w:val="18"/>
                <w:szCs w:val="18"/>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(Principal Financial and Accounting Officer)</w:t>
            </w: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Tina S. Nova,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Executive Chairman of the Board</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Tina S. Nova,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Ana Hooker</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Ana Hooker</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Scott Kahn,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Scott Kahn,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Paul Kim</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w w:val="99"/>
              </w:rPr>
              <w:t>Paul Kim</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Bruce C. Robertson, Ph.D.</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Bruce C. Robertson, Ph.D.</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Frank Stokes</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Frank Stokes</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78"/>
        </w:trPr>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Chas McKhann</w:t>
            </w:r>
          </w:p>
        </w:tc>
        <w:tc>
          <w:tcPr>
            <w:tcW w:w="100" w:type="dxa"/>
            <w:vAlign w:val="bottom"/>
          </w:tcPr>
          <w:p>
            <w:pPr>
              <w:spacing w:after="0"/>
              <w:rPr>
                <w:sz w:val="24"/>
                <w:szCs w:val="24"/>
                <w:color w:val="auto"/>
              </w:rPr>
            </w:pPr>
          </w:p>
        </w:tc>
        <w:tc>
          <w:tcPr>
            <w:tcW w:w="4140" w:type="dxa"/>
            <w:vAlign w:val="bottom"/>
            <w:gridSpan w:val="2"/>
          </w:tcPr>
          <w:p>
            <w:pPr>
              <w:jc w:val="center"/>
              <w:ind w:right="120"/>
              <w:spacing w:after="0"/>
              <w:rPr>
                <w:sz w:val="20"/>
                <w:szCs w:val="20"/>
                <w:color w:val="auto"/>
              </w:rPr>
            </w:pPr>
            <w:r>
              <w:rPr>
                <w:rFonts w:ascii="Arial" w:cs="Arial" w:eastAsia="Arial" w:hAnsi="Arial"/>
                <w:sz w:val="16"/>
                <w:szCs w:val="16"/>
                <w:color w:val="auto"/>
              </w:rPr>
              <w:t>Director</w:t>
            </w:r>
          </w:p>
        </w:tc>
        <w:tc>
          <w:tcPr>
            <w:tcW w:w="2160" w:type="dxa"/>
            <w:vAlign w:val="bottom"/>
          </w:tcPr>
          <w:p>
            <w:pPr>
              <w:jc w:val="center"/>
              <w:spacing w:after="0"/>
              <w:rPr>
                <w:sz w:val="20"/>
                <w:szCs w:val="20"/>
                <w:color w:val="auto"/>
              </w:rPr>
            </w:pPr>
            <w:r>
              <w:rPr>
                <w:rFonts w:ascii="Arial" w:cs="Arial" w:eastAsia="Arial" w:hAnsi="Arial"/>
                <w:sz w:val="16"/>
                <w:szCs w:val="16"/>
                <w:color w:val="auto"/>
              </w:rPr>
              <w:t>March 10, 2026</w:t>
            </w:r>
          </w:p>
        </w:tc>
      </w:tr>
      <w:tr>
        <w:trPr>
          <w:trHeight w:val="209"/>
        </w:trPr>
        <w:tc>
          <w:tcPr>
            <w:tcW w:w="2780" w:type="dxa"/>
            <w:vAlign w:val="bottom"/>
          </w:tcPr>
          <w:p>
            <w:pPr>
              <w:jc w:val="center"/>
              <w:spacing w:after="0"/>
              <w:rPr>
                <w:sz w:val="20"/>
                <w:szCs w:val="20"/>
                <w:color w:val="auto"/>
              </w:rPr>
            </w:pPr>
            <w:r>
              <w:rPr>
                <w:rFonts w:ascii="Arial" w:cs="Arial" w:eastAsia="Arial" w:hAnsi="Arial"/>
                <w:sz w:val="16"/>
                <w:szCs w:val="16"/>
                <w:color w:val="auto"/>
              </w:rPr>
              <w:t>Chas McKhann</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80"/>
          </w:cols>
          <w:pgMar w:left="1360" w:top="935" w:right="1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7"/>
        </w:trPr>
        <w:tc>
          <w:tcPr>
            <w:tcW w:w="24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80" w:type="dxa"/>
            <w:vAlign w:val="bottom"/>
            <w:gridSpan w:val="4"/>
          </w:tcPr>
          <w:p>
            <w:pPr>
              <w:jc w:val="center"/>
              <w:ind w:right="2380"/>
              <w:spacing w:after="0"/>
              <w:rPr>
                <w:sz w:val="20"/>
                <w:szCs w:val="20"/>
                <w:color w:val="auto"/>
              </w:rPr>
            </w:pPr>
            <w:r>
              <w:rPr>
                <w:rFonts w:ascii="Arial" w:cs="Arial" w:eastAsia="Arial" w:hAnsi="Arial"/>
                <w:sz w:val="18"/>
                <w:szCs w:val="18"/>
                <w:b w:val="1"/>
                <w:bCs w:val="1"/>
                <w:color w:val="auto"/>
                <w:w w:val="99"/>
              </w:rPr>
              <w:t>Exagen Inc.</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4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84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Index to Financial Statements</w:t>
            </w:r>
          </w:p>
        </w:tc>
        <w:tc>
          <w:tcPr>
            <w:tcW w:w="22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898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243)</w:t>
            </w:r>
          </w:p>
        </w:tc>
        <w:tc>
          <w:tcPr>
            <w:tcW w:w="224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980" w:type="dxa"/>
            <w:vAlign w:val="bottom"/>
            <w:gridSpan w:val="7"/>
            <w:vMerge w:val="continue"/>
          </w:tcPr>
          <w:p>
            <w:pPr>
              <w:spacing w:after="0"/>
              <w:rPr>
                <w:sz w:val="15"/>
                <w:szCs w:val="15"/>
                <w:color w:val="auto"/>
              </w:rPr>
            </w:pPr>
          </w:p>
        </w:tc>
        <w:tc>
          <w:tcPr>
            <w:tcW w:w="2240" w:type="dxa"/>
            <w:vAlign w:val="bottom"/>
            <w:gridSpan w:val="3"/>
          </w:tcPr>
          <w:p>
            <w:pPr>
              <w:jc w:val="center"/>
              <w:spacing w:after="0" w:line="182" w:lineRule="exact"/>
              <w:rPr>
                <w:sz w:val="20"/>
                <w:szCs w:val="20"/>
                <w:color w:val="auto"/>
              </w:rPr>
            </w:pPr>
            <w:r>
              <w:rPr>
                <w:rFonts w:ascii="Arial" w:cs="Arial" w:eastAsia="Arial" w:hAnsi="Arial"/>
                <w:sz w:val="18"/>
                <w:szCs w:val="18"/>
                <w:color w:val="3051F2"/>
              </w:rPr>
              <w:t>F-2</w:t>
            </w:r>
          </w:p>
        </w:tc>
        <w:tc>
          <w:tcPr>
            <w:tcW w:w="0" w:type="dxa"/>
            <w:vAlign w:val="bottom"/>
          </w:tcPr>
          <w:p>
            <w:pPr>
              <w:spacing w:after="0"/>
              <w:rPr>
                <w:sz w:val="1"/>
                <w:szCs w:val="1"/>
                <w:color w:val="auto"/>
              </w:rPr>
            </w:pPr>
          </w:p>
        </w:tc>
      </w:tr>
      <w:tr>
        <w:trPr>
          <w:trHeight w:val="209"/>
        </w:trPr>
        <w:tc>
          <w:tcPr>
            <w:tcW w:w="41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9"/>
              </w:rPr>
              <w:t>Balance Sheets as of December 31, 2025 and 2024</w:t>
            </w:r>
          </w:p>
        </w:tc>
        <w:tc>
          <w:tcPr>
            <w:tcW w:w="460" w:type="dxa"/>
            <w:vAlign w:val="bottom"/>
            <w:tcBorders>
              <w:top w:val="single" w:sz="8" w:color="0000FF"/>
            </w:tcBorders>
          </w:tcPr>
          <w:p>
            <w:pPr>
              <w:spacing w:after="0"/>
              <w:rPr>
                <w:sz w:val="18"/>
                <w:szCs w:val="18"/>
                <w:color w:val="auto"/>
              </w:rPr>
            </w:pPr>
          </w:p>
        </w:tc>
        <w:tc>
          <w:tcPr>
            <w:tcW w:w="4380" w:type="dxa"/>
            <w:vAlign w:val="bottom"/>
            <w:gridSpan w:val="4"/>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top w:val="single" w:sz="8" w:color="3051F2"/>
              <w:bottom w:val="single" w:sz="8" w:color="3051F2"/>
            </w:tcBorders>
          </w:tcPr>
          <w:p>
            <w:pPr>
              <w:jc w:val="center"/>
              <w:spacing w:after="0"/>
              <w:rPr>
                <w:sz w:val="20"/>
                <w:szCs w:val="20"/>
                <w:color w:val="auto"/>
              </w:rPr>
            </w:pPr>
            <w:r>
              <w:rPr>
                <w:rFonts w:ascii="Arial" w:cs="Arial" w:eastAsia="Arial" w:hAnsi="Arial"/>
                <w:sz w:val="18"/>
                <w:szCs w:val="18"/>
                <w:color w:val="3051F2"/>
              </w:rPr>
              <w:t>F-4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Statements of Operations for the Years Ended December 31, 2025 and 2024</w:t>
            </w:r>
          </w:p>
        </w:tc>
        <w:tc>
          <w:tcPr>
            <w:tcW w:w="286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Statements of Stockholders' Equity for the Years Ended December 31, 2025 and 2024</w:t>
            </w:r>
          </w:p>
        </w:tc>
        <w:tc>
          <w:tcPr>
            <w:tcW w:w="2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Statements of Cash Flows for the Years Ended December 31, 2025 and 2024</w:t>
            </w:r>
          </w:p>
        </w:tc>
        <w:tc>
          <w:tcPr>
            <w:tcW w:w="28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Borders>
              <w:bottom w:val="single" w:sz="8" w:color="3051F2"/>
            </w:tcBorders>
          </w:tcPr>
          <w:p>
            <w:pPr>
              <w:jc w:val="center"/>
              <w:spacing w:after="0"/>
              <w:rPr>
                <w:sz w:val="20"/>
                <w:szCs w:val="20"/>
                <w:color w:val="auto"/>
              </w:rPr>
            </w:pPr>
            <w:r>
              <w:rPr>
                <w:rFonts w:ascii="Arial" w:cs="Arial" w:eastAsia="Arial" w:hAnsi="Arial"/>
                <w:sz w:val="18"/>
                <w:szCs w:val="18"/>
                <w:color w:val="3051F2"/>
              </w:rPr>
              <w:t>F-7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7"/>
          </w:tcPr>
          <w:p>
            <w:pPr>
              <w:spacing w:after="0"/>
              <w:rPr>
                <w:sz w:val="20"/>
                <w:szCs w:val="20"/>
                <w:color w:val="auto"/>
              </w:rPr>
            </w:pPr>
            <w:r>
              <w:rPr>
                <w:rFonts w:ascii="Arial" w:cs="Arial" w:eastAsia="Arial" w:hAnsi="Arial"/>
                <w:sz w:val="18"/>
                <w:szCs w:val="18"/>
                <w:color w:val="0000FF"/>
              </w:rPr>
              <w:t>Notes to Financial Statements</w:t>
            </w:r>
          </w:p>
        </w:tc>
        <w:tc>
          <w:tcPr>
            <w:tcW w:w="2240" w:type="dxa"/>
            <w:vAlign w:val="bottom"/>
            <w:gridSpan w:val="3"/>
          </w:tcPr>
          <w:p>
            <w:pPr>
              <w:jc w:val="center"/>
              <w:spacing w:after="0"/>
              <w:rPr>
                <w:sz w:val="20"/>
                <w:szCs w:val="20"/>
                <w:color w:val="auto"/>
              </w:rPr>
            </w:pPr>
            <w:r>
              <w:rPr>
                <w:rFonts w:ascii="Arial" w:cs="Arial" w:eastAsia="Arial" w:hAnsi="Arial"/>
                <w:sz w:val="18"/>
                <w:szCs w:val="18"/>
                <w:color w:val="3051F2"/>
              </w:rPr>
              <w:t>F-8</w:t>
            </w:r>
          </w:p>
        </w:tc>
        <w:tc>
          <w:tcPr>
            <w:tcW w:w="0" w:type="dxa"/>
            <w:vAlign w:val="bottom"/>
          </w:tcPr>
          <w:p>
            <w:pPr>
              <w:spacing w:after="0"/>
              <w:rPr>
                <w:sz w:val="1"/>
                <w:szCs w:val="1"/>
                <w:color w:val="auto"/>
              </w:rPr>
            </w:pPr>
          </w:p>
        </w:tc>
      </w:tr>
      <w:tr>
        <w:trPr>
          <w:trHeight w:val="20"/>
        </w:trPr>
        <w:tc>
          <w:tcPr>
            <w:tcW w:w="2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0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Exagen Inc.</w:t>
      </w:r>
    </w:p>
    <w:p>
      <w:pPr>
        <w:spacing w:after="0"/>
        <w:rPr>
          <w:sz w:val="20"/>
          <w:szCs w:val="20"/>
          <w:color w:val="auto"/>
        </w:rPr>
      </w:pPr>
      <w:r>
        <w:rPr>
          <w:rFonts w:ascii="Arial" w:cs="Arial" w:eastAsia="Arial" w:hAnsi="Arial"/>
          <w:sz w:val="18"/>
          <w:szCs w:val="18"/>
          <w:color w:val="auto"/>
        </w:rPr>
        <w:t>Vista, California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balance sheets of Exagen Inc. (the “Company”) as of December 31, 2025 and 2024, the related</w:t>
      </w:r>
    </w:p>
    <w:p>
      <w:pPr>
        <w:ind w:right="80"/>
        <w:spacing w:after="0"/>
        <w:rPr>
          <w:sz w:val="20"/>
          <w:szCs w:val="20"/>
          <w:color w:val="auto"/>
        </w:rPr>
      </w:pPr>
      <w:r>
        <w:rPr>
          <w:rFonts w:ascii="Arial" w:cs="Arial" w:eastAsia="Arial" w:hAnsi="Arial"/>
          <w:sz w:val="17"/>
          <w:szCs w:val="17"/>
          <w:color w:val="auto"/>
        </w:rPr>
        <w:t>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December 31, 2025 and 2024, and the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Estimation of Transaction Price</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described in Note 2 to the financial statements, the Company’s revenue was $66.6 million for the year ended December 31, 2025, substantially all of which has been derived from sales of its testing products. Net revenues recognized consist of amounts billed net of allowances for differences between amounts billed and the estimated consideration the Company expects to receive from payors. The process for estimating revenues involves significant judgment and estimation. The Company considers historical denial and collection experience and insurance reimbursement policies and other factors, to estimate allowances and implicit price concessions. The transaction price is estimated using an expected value method on a portfolio basis. The Company's portfolios are grouped per payor (i.e., each individual commercial payor, Medicare, Medicaid, client payors, patient self-pay, etc.) and per test.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identified the estimation of the transaction price using an expected value method for certain portfolios as a critical audit matter. Significant judgment is used in considering historical denial and collection experience and insurance reimbursement policies to determine the estimated consideration the Company expects to receive.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95" w:name="page96"/>
    <w:bookmarkEnd w:id="95"/>
    <w:p>
      <w:pPr>
        <w:spacing w:after="0" w:line="271" w:lineRule="auto"/>
        <w:rPr>
          <w:sz w:val="20"/>
          <w:szCs w:val="20"/>
          <w:color w:val="auto"/>
        </w:rPr>
      </w:pPr>
      <w:r>
        <w:rPr>
          <w:rFonts w:ascii="Arial" w:cs="Arial" w:eastAsia="Arial" w:hAnsi="Arial"/>
          <w:sz w:val="18"/>
          <w:szCs w:val="18"/>
          <w:color w:val="auto"/>
        </w:rPr>
        <w:t>Auditing these elements involved especially subjective auditor judgment due to the nature and extent of audit effort required to address these matters.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primary procedures we performed to address this critical audit matter included testing the Company’s process to estimate transaction price using an expected value method for certain portfolios by:</w:t>
      </w:r>
    </w:p>
    <w:p>
      <w:pPr>
        <w:spacing w:after="0" w:line="100" w:lineRule="exact"/>
        <w:rPr>
          <w:sz w:val="20"/>
          <w:szCs w:val="20"/>
          <w:color w:val="auto"/>
        </w:rPr>
      </w:pPr>
    </w:p>
    <w:p>
      <w:pPr>
        <w:jc w:val="both"/>
        <w:ind w:left="660" w:hanging="328"/>
        <w:spacing w:after="0" w:line="241"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reasonableness of the estimated transaction price for certain portfolios and the assumptions regarding historical denial, collection experience, and insurance reimbursement policies through (i) developing an expectation of the estimated transaction price using historical data inputs supporting those assumptions and (ii) recalculating revenue recognized for comparison to the Company’s estimate.</w:t>
      </w:r>
    </w:p>
    <w:p>
      <w:pPr>
        <w:spacing w:after="0" w:line="127" w:lineRule="exact"/>
        <w:rPr>
          <w:rFonts w:ascii="Arial" w:cs="Arial" w:eastAsia="Arial" w:hAnsi="Arial"/>
          <w:sz w:val="18"/>
          <w:szCs w:val="18"/>
          <w:color w:val="auto"/>
        </w:rPr>
      </w:pPr>
    </w:p>
    <w:p>
      <w:pPr>
        <w:jc w:val="both"/>
        <w:ind w:left="660" w:hanging="328"/>
        <w:spacing w:after="0" w:line="24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Testing the completeness and accuracy of a sample of tests used by management as the historical data inputs supporting the Company’s assumptions regarding historical denial, collection experience, and insurance reimbursement policies for developing the estimated transaction price by comparing the data to physician test requisition forms, evidence of test delivery, and cash collection activity.</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96" w:name="page97"/>
    <w:bookmarkEnd w:id="96"/>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10,855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48,893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199"/>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6,327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199"/>
        </w:trPr>
        <w:tc>
          <w:tcPr>
            <w:tcW w:w="8680" w:type="dxa"/>
            <w:vAlign w:val="bottom"/>
          </w:tcPr>
          <w:p>
            <w:pPr>
              <w:ind w:left="360"/>
              <w:spacing w:after="0"/>
              <w:rPr>
                <w:sz w:val="20"/>
                <w:szCs w:val="20"/>
                <w:color w:val="auto"/>
              </w:rPr>
            </w:pPr>
            <w:r>
              <w:rPr>
                <w:rFonts w:ascii="Arial" w:cs="Arial" w:eastAsia="Arial" w:hAnsi="Arial"/>
                <w:sz w:val="14"/>
                <w:szCs w:val="14"/>
                <w:color w:val="auto"/>
              </w:rPr>
              <w:t>Finance lease liabilities, current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 current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 current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22,264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40,573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6)</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per share; 10,000,000 shares authorized, no shares issued or outstanding at December 31,</w:t>
            </w:r>
          </w:p>
        </w:tc>
        <w:tc>
          <w:tcPr>
            <w:tcW w:w="2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2025 and December 31, 2024</w:t>
            </w:r>
          </w:p>
        </w:tc>
        <w:tc>
          <w:tcPr>
            <w:tcW w:w="2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per share; 200,000,000 shares authorized at December 31, 2025 and December 31, 2024;</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22,911,575 and 17,640,328 shares issued and outstanding at December 31, 2025 and December 31, 2024, respectively</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331,708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(314,282)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58,022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7" w:name="page98"/>
    <w:bookmarkEnd w:id="9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0" w:type="dxa"/>
            <w:vAlign w:val="bottom"/>
          </w:tcPr>
          <w:p>
            <w:pPr>
              <w:spacing w:after="0"/>
              <w:rPr>
                <w:sz w:val="1"/>
                <w:szCs w:val="1"/>
                <w:color w:val="auto"/>
              </w:rPr>
            </w:pP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41,373</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46,748</w:t>
            </w:r>
          </w:p>
        </w:tc>
        <w:tc>
          <w:tcPr>
            <w:tcW w:w="0" w:type="dxa"/>
            <w:vAlign w:val="bottom"/>
          </w:tcPr>
          <w:p>
            <w:pPr>
              <w:spacing w:after="0"/>
              <w:rPr>
                <w:sz w:val="1"/>
                <w:szCs w:val="1"/>
                <w:color w:val="auto"/>
              </w:rPr>
            </w:pP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(13,636)</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(15,103)</w:t>
            </w:r>
          </w:p>
        </w:tc>
        <w:tc>
          <w:tcPr>
            <w:tcW w:w="0" w:type="dxa"/>
            <w:vAlign w:val="bottom"/>
          </w:tcPr>
          <w:p>
            <w:pPr>
              <w:spacing w:after="0"/>
              <w:rPr>
                <w:sz w:val="1"/>
                <w:szCs w:val="1"/>
                <w:color w:val="auto"/>
              </w:rPr>
            </w:pP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21,558,245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18,203,044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94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Common Stock</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3"/>
                <w:szCs w:val="13"/>
                <w:color w:val="auto"/>
              </w:rPr>
            </w:pPr>
          </w:p>
        </w:tc>
        <w:tc>
          <w:tcPr>
            <w:tcW w:w="128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5"/>
        </w:trPr>
        <w:tc>
          <w:tcPr>
            <w:tcW w:w="382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gridSpan w:val="2"/>
            <w:vMerge w:val="restart"/>
          </w:tcPr>
          <w:p>
            <w:pPr>
              <w:jc w:val="center"/>
              <w:ind w:right="380"/>
              <w:spacing w:after="0" w:line="126" w:lineRule="exact"/>
              <w:rPr>
                <w:sz w:val="20"/>
                <w:szCs w:val="20"/>
                <w:color w:val="auto"/>
              </w:rPr>
            </w:pPr>
            <w:r>
              <w:rPr>
                <w:rFonts w:ascii="Arial" w:cs="Arial" w:eastAsia="Arial" w:hAnsi="Arial"/>
                <w:sz w:val="13"/>
                <w:szCs w:val="13"/>
                <w:b w:val="1"/>
                <w:bCs w:val="1"/>
                <w:color w:val="auto"/>
                <w:w w:val="96"/>
              </w:rPr>
              <w:t>Paid-In</w:t>
            </w: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vMerge w:val="restart"/>
          </w:tcPr>
          <w:p>
            <w:pPr>
              <w:jc w:val="center"/>
              <w:ind w:right="149"/>
              <w:spacing w:after="0" w:line="12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61"/>
        </w:trPr>
        <w:tc>
          <w:tcPr>
            <w:tcW w:w="3820" w:type="dxa"/>
            <w:vAlign w:val="bottom"/>
          </w:tcPr>
          <w:p>
            <w:pPr>
              <w:spacing w:after="0"/>
              <w:rPr>
                <w:sz w:val="5"/>
                <w:szCs w:val="5"/>
                <w:color w:val="auto"/>
              </w:rPr>
            </w:pPr>
          </w:p>
        </w:tc>
        <w:tc>
          <w:tcPr>
            <w:tcW w:w="1720" w:type="dxa"/>
            <w:vAlign w:val="bottom"/>
            <w:gridSpan w:val="2"/>
            <w:vMerge w:val="restart"/>
          </w:tcPr>
          <w:p>
            <w:pPr>
              <w:ind w:left="60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5"/>
                <w:szCs w:val="5"/>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8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Capital</w:t>
            </w:r>
          </w:p>
        </w:tc>
        <w:tc>
          <w:tcPr>
            <w:tcW w:w="18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5"/>
                <w:szCs w:val="15"/>
                <w:color w:val="auto"/>
              </w:rPr>
            </w:pPr>
          </w:p>
        </w:tc>
        <w:tc>
          <w:tcPr>
            <w:tcW w:w="128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8"/>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2023</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17,045,954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301,893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413,202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85,124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96,048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20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2024</w:t>
            </w:r>
          </w:p>
        </w:tc>
        <w:tc>
          <w:tcPr>
            <w:tcW w:w="16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17,640,328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303,853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53"/>
        </w:trPr>
        <w:tc>
          <w:tcPr>
            <w:tcW w:w="382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from public offering, net of</w:t>
            </w:r>
          </w:p>
        </w:tc>
        <w:tc>
          <w:tcPr>
            <w:tcW w:w="1620" w:type="dxa"/>
            <w:vAlign w:val="bottom"/>
            <w:vMerge w:val="restart"/>
          </w:tcPr>
          <w:p>
            <w:pPr>
              <w:jc w:val="right"/>
              <w:ind w:right="9"/>
              <w:spacing w:after="0"/>
              <w:rPr>
                <w:sz w:val="20"/>
                <w:szCs w:val="20"/>
                <w:color w:val="auto"/>
              </w:rPr>
            </w:pPr>
            <w:r>
              <w:rPr>
                <w:rFonts w:ascii="Arial" w:cs="Arial" w:eastAsia="Arial" w:hAnsi="Arial"/>
                <w:sz w:val="14"/>
                <w:szCs w:val="14"/>
                <w:color w:val="auto"/>
              </w:rPr>
              <w:t>3,852,500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18,623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185"/>
        </w:trPr>
        <w:tc>
          <w:tcPr>
            <w:tcW w:w="3820" w:type="dxa"/>
            <w:vAlign w:val="bottom"/>
          </w:tcPr>
          <w:p>
            <w:pPr>
              <w:ind w:left="360"/>
              <w:spacing w:after="0"/>
              <w:rPr>
                <w:sz w:val="20"/>
                <w:szCs w:val="20"/>
                <w:color w:val="auto"/>
              </w:rPr>
            </w:pPr>
            <w:r>
              <w:rPr>
                <w:rFonts w:ascii="Arial" w:cs="Arial" w:eastAsia="Arial" w:hAnsi="Arial"/>
                <w:sz w:val="14"/>
                <w:szCs w:val="14"/>
                <w:color w:val="auto"/>
              </w:rPr>
              <w:t>issuance costs of $1,598</w:t>
            </w: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2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ATM, net of issuance costs</w:t>
            </w:r>
          </w:p>
        </w:tc>
        <w:tc>
          <w:tcPr>
            <w:tcW w:w="1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360,554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3,398</w:t>
            </w:r>
          </w:p>
        </w:tc>
        <w:tc>
          <w:tcPr>
            <w:tcW w:w="0" w:type="dxa"/>
            <w:vAlign w:val="bottom"/>
          </w:tcPr>
          <w:p>
            <w:pPr>
              <w:spacing w:after="0"/>
              <w:rPr>
                <w:sz w:val="1"/>
                <w:szCs w:val="1"/>
                <w:color w:val="auto"/>
              </w:rPr>
            </w:pPr>
          </w:p>
        </w:tc>
      </w:tr>
      <w:tr>
        <w:trPr>
          <w:trHeight w:val="185"/>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of $145</w:t>
            </w: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360"/>
              <w:spacing w:after="0"/>
              <w:rPr>
                <w:sz w:val="20"/>
                <w:szCs w:val="20"/>
                <w:color w:val="auto"/>
              </w:rPr>
            </w:pPr>
            <w:r>
              <w:rPr>
                <w:rFonts w:ascii="Arial" w:cs="Arial" w:eastAsia="Arial" w:hAnsi="Arial"/>
                <w:sz w:val="14"/>
                <w:szCs w:val="14"/>
                <w:color w:val="auto"/>
              </w:rPr>
              <w:t>Issuance of stock from cashless warrant exercises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403,372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of stock from vested restricted stock units</w:t>
            </w: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497,374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82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under Employee Stock Purchase</w:t>
            </w:r>
          </w:p>
        </w:tc>
        <w:tc>
          <w:tcPr>
            <w:tcW w:w="1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157,339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85"/>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2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(19,951)</w:t>
            </w:r>
          </w:p>
        </w:tc>
        <w:tc>
          <w:tcPr>
            <w:tcW w:w="0" w:type="dxa"/>
            <w:vAlign w:val="bottom"/>
          </w:tcPr>
          <w:p>
            <w:pPr>
              <w:spacing w:after="0"/>
              <w:rPr>
                <w:sz w:val="1"/>
                <w:szCs w:val="1"/>
                <w:color w:val="auto"/>
              </w:rPr>
            </w:pPr>
          </w:p>
        </w:tc>
      </w:tr>
      <w:tr>
        <w:trPr>
          <w:trHeight w:val="192"/>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Balances at December 31, 2025</w:t>
            </w:r>
          </w:p>
        </w:tc>
        <w:tc>
          <w:tcPr>
            <w:tcW w:w="16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22,911,575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331,708</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(314,282)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17,449</w:t>
            </w: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ind w:left="49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83"/>
        </w:trPr>
        <w:tc>
          <w:tcPr>
            <w:tcW w:w="8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(19,951)</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(15,115)</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Amortization of loan commitment fees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Non-cash operating lease expense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1,763</w:t>
            </w:r>
          </w:p>
        </w:tc>
      </w:tr>
      <w:tr>
        <w:trPr>
          <w:trHeight w:val="207"/>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r>
      <w:tr>
        <w:trPr>
          <w:trHeight w:val="198"/>
        </w:trPr>
        <w:tc>
          <w:tcPr>
            <w:tcW w:w="8420" w:type="dxa"/>
            <w:vAlign w:val="bottom"/>
          </w:tcPr>
          <w:p>
            <w:pPr>
              <w:ind w:left="340"/>
              <w:spacing w:after="0"/>
              <w:rPr>
                <w:sz w:val="20"/>
                <w:szCs w:val="20"/>
                <w:color w:val="auto"/>
              </w:rPr>
            </w:pPr>
            <w:r>
              <w:rPr>
                <w:rFonts w:ascii="Arial" w:cs="Arial" w:eastAsia="Arial" w:hAnsi="Arial"/>
                <w:sz w:val="14"/>
                <w:szCs w:val="14"/>
                <w:color w:val="auto"/>
              </w:rPr>
              <w:t>Changes in assets and liabilities: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(1,787)</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Other 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Operating lease liabilities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(976)</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198"/>
        </w:trPr>
        <w:tc>
          <w:tcPr>
            <w:tcW w:w="8420" w:type="dxa"/>
            <w:vAlign w:val="bottom"/>
          </w:tcPr>
          <w:p>
            <w:pPr>
              <w:ind w:left="66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733</w:t>
            </w:r>
          </w:p>
        </w:tc>
      </w:tr>
      <w:tr>
        <w:trPr>
          <w:trHeight w:val="207"/>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(13,279)</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disposal of property and equipment</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r>
      <w:tr>
        <w:trPr>
          <w:trHeight w:val="18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common stock issued in public offering, net of issuance costs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ATM, net of issuance costs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Principal payment on finance lease obligations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206"/>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note payable obligations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Proceeds from issuance of debt and warrants, net of discounts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23,672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to extinguish debt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debt issuance costs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10,184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(14,457)</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year</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36,693</w:t>
            </w:r>
          </w:p>
        </w:tc>
      </w:tr>
      <w:tr>
        <w:trPr>
          <w:trHeight w:val="192"/>
        </w:trPr>
        <w:tc>
          <w:tcPr>
            <w:tcW w:w="84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32,420</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22,236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2,987</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1,719</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taxes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2"/>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Unpaid equipment settled under financing arrangement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finance lease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3,231</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Recognition of warrant liability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auto"/>
              </w:rPr>
              <w:t>Cashless exercise of warrants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Equipment purchased under notes payable obligations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r>
      <w:tr>
        <w:trPr>
          <w:trHeight w:val="194"/>
        </w:trPr>
        <w:tc>
          <w:tcPr>
            <w:tcW w:w="8420" w:type="dxa"/>
            <w:vAlign w:val="bottom"/>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717</w:t>
            </w:r>
          </w:p>
        </w:tc>
      </w:tr>
    </w:tbl>
    <w:p>
      <w:pPr>
        <w:spacing w:after="0" w:line="325" w:lineRule="exact"/>
        <w:rPr>
          <w:sz w:val="20"/>
          <w:szCs w:val="20"/>
          <w:color w:val="auto"/>
        </w:rPr>
      </w:pPr>
    </w:p>
    <w:p>
      <w:pPr>
        <w:jc w:val="center"/>
        <w:ind w:right="6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80" w:top="566" w:right="4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56"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Exagen Inc. (the Company) is a medical technology company primarily focused on the design, development and commercialization of a next-generation portfolio of testing products under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which allow for the differential diagnosis, prognosis and monitoring of complex rheumatic, autoimmune and autoimmune-related disease including, among others, systemic lupus erythematosus (SLE) and rheumatoid arthritis (RA).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 future periods. As of December 31, 2025, the Company had cash and cash equivalents of $32.2 million and had an accumulated deficit of $ 314.3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April 25, 2025, the Company and Perceptive Credit Holdings IV, LP (Perceptive) entered into the Guaranty and Credit Agreement which was subsequently amended on March 6, 2026 (as amended, the Credit Agreement). As amended, the Credit Agreement provides for an initial term loan of which $25.0 million was previously funded. Out of these initial proceeds, the Company used $ 19.7 million to repay the 2017 Term Loan (as defined below), and received $3.0 million in proceeds, net of issuance costs and repayment of the 2017 Term Loan. As amended, the term loan facility allows the Company to draw up to an aggregate additional principal amount of $40.0 million in two tranches, subject to specified milestone and revenue requirements. Additionally, pursuant to the Credit Agreement, the Company also issued a warrant certificate to purchase up to 1,150,000 shares of common stock (the Warrant Certificate), 400,000 of which vested and became exercisable upon issuance (the Tranche A Warrant Shares) and up to 600,000 of which will vest and become exercisable if and when the remaining additional debt tranches are drawn by the Company. See “Note 4. </w:t>
      </w:r>
      <w:r>
        <w:rPr>
          <w:rFonts w:ascii="Arial" w:cs="Arial" w:eastAsia="Arial" w:hAnsi="Arial"/>
          <w:sz w:val="18"/>
          <w:szCs w:val="18"/>
          <w:i w:val="1"/>
          <w:iCs w:val="1"/>
          <w:color w:val="auto"/>
        </w:rPr>
        <w:t>Borrowings—Perceptive Term Loan Facility</w:t>
      </w:r>
      <w:r>
        <w:rPr>
          <w:rFonts w:ascii="Arial" w:cs="Arial" w:eastAsia="Arial" w:hAnsi="Arial"/>
          <w:sz w:val="18"/>
          <w:szCs w:val="18"/>
          <w:color w:val="auto"/>
        </w:rPr>
        <w:t>” and "Note 13</w:t>
      </w:r>
      <w:r>
        <w:rPr>
          <w:rFonts w:ascii="Arial" w:cs="Arial" w:eastAsia="Arial" w:hAnsi="Arial"/>
          <w:sz w:val="18"/>
          <w:szCs w:val="18"/>
          <w:i w:val="1"/>
          <w:iCs w:val="1"/>
          <w:color w:val="auto"/>
        </w:rPr>
        <w:t>. 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Events" </w:t>
      </w:r>
      <w:r>
        <w:rPr>
          <w:rFonts w:ascii="Arial" w:cs="Arial" w:eastAsia="Arial" w:hAnsi="Arial"/>
          <w:sz w:val="18"/>
          <w:szCs w:val="18"/>
          <w:color w:val="auto"/>
        </w:rPr>
        <w:t>for more information.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On May 9, 2025, the Company issued and sold an aggregate of 3,852,500 shares of its common stock at a public offering price of $5.25 per share, for aggregate net proceeds of $18.6 million after deducting underwriting discounts and commissions and other offering expenses. See “Note 8. </w:t>
      </w:r>
      <w:r>
        <w:rPr>
          <w:rFonts w:ascii="Arial" w:cs="Arial" w:eastAsia="Arial" w:hAnsi="Arial"/>
          <w:sz w:val="18"/>
          <w:szCs w:val="18"/>
          <w:i w:val="1"/>
          <w:iCs w:val="1"/>
          <w:color w:val="auto"/>
        </w:rPr>
        <w:t>Stockholders' Equity—2025 Public Offering</w:t>
      </w:r>
      <w:r>
        <w:rPr>
          <w:rFonts w:ascii="Arial" w:cs="Arial" w:eastAsia="Arial" w:hAnsi="Arial"/>
          <w:sz w:val="18"/>
          <w:szCs w:val="18"/>
          <w:color w:val="auto"/>
        </w:rPr>
        <w:t>” for more information.</w:t>
      </w:r>
    </w:p>
    <w:p>
      <w:pPr>
        <w:spacing w:after="0" w:line="10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may need to finance its operations through the sale of its common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Although management believes the Company's existing capital resources are adequate to fund operations for the next twelve months, if the Company is unable to obtain additional funding in the future,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Certain reclassifications have been made to prior period amounts to conform to the current presentation. The preparation of the accompanying financial statements requires management to make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101" w:name="page102"/>
    <w:bookmarkEnd w:id="101"/>
    <w:p>
      <w:pPr>
        <w:jc w:val="both"/>
        <w:spacing w:after="0" w:line="261" w:lineRule="auto"/>
        <w:rPr>
          <w:sz w:val="20"/>
          <w:szCs w:val="20"/>
          <w:color w:val="auto"/>
        </w:rPr>
      </w:pPr>
      <w:r>
        <w:rPr>
          <w:rFonts w:ascii="Arial" w:cs="Arial" w:eastAsia="Arial" w:hAnsi="Arial"/>
          <w:sz w:val="18"/>
          <w:szCs w:val="18"/>
          <w:color w:val="auto"/>
        </w:rPr>
        <w:t>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the warrant liability, the estimated incremental borrowing rate for the determination of the Company's operating and finance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158"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23495</wp:posOffset>
            </wp:positionV>
            <wp:extent cx="20231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60" w:type="dxa"/>
            <w:vAlign w:val="bottom"/>
          </w:tcPr>
          <w:p>
            <w:pPr>
              <w:spacing w:after="0"/>
              <w:rPr>
                <w:sz w:val="17"/>
                <w:szCs w:val="17"/>
                <w:color w:val="auto"/>
              </w:rPr>
            </w:pPr>
          </w:p>
        </w:tc>
        <w:tc>
          <w:tcPr>
            <w:tcW w:w="1020" w:type="dxa"/>
            <w:vAlign w:val="bottom"/>
            <w:tcBorders>
              <w:top w:val="single" w:sz="8" w:color="auto"/>
            </w:tcBorders>
          </w:tcPr>
          <w:p>
            <w:pPr>
              <w:ind w:left="600"/>
              <w:spacing w:after="0"/>
              <w:rPr>
                <w:sz w:val="20"/>
                <w:szCs w:val="20"/>
                <w:color w:val="auto"/>
              </w:rPr>
            </w:pPr>
            <w:r>
              <w:rPr>
                <w:rFonts w:ascii="Arial" w:cs="Arial" w:eastAsia="Arial" w:hAnsi="Arial"/>
                <w:sz w:val="14"/>
                <w:szCs w:val="14"/>
                <w:b w:val="1"/>
                <w:bCs w:val="1"/>
                <w:color w:val="auto"/>
              </w:rPr>
              <w:t>2025</w:t>
            </w:r>
          </w:p>
        </w:tc>
        <w:tc>
          <w:tcPr>
            <w:tcW w:w="168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top w:val="single" w:sz="8" w:color="auto"/>
            </w:tcBorders>
          </w:tcPr>
          <w:p>
            <w:pPr>
              <w:spacing w:after="0"/>
              <w:rPr>
                <w:sz w:val="17"/>
                <w:szCs w:val="17"/>
                <w:color w:val="auto"/>
              </w:rPr>
            </w:pPr>
          </w:p>
        </w:tc>
      </w:tr>
      <w:tr>
        <w:trPr>
          <w:trHeight w:val="19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98"/>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520" w:type="dxa"/>
            <w:vAlign w:val="bottom"/>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07"/>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Customer D</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493"/>
        </w:trPr>
        <w:tc>
          <w:tcPr>
            <w:tcW w:w="806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Accounts Receivable</w:t>
            </w:r>
          </w:p>
        </w:tc>
        <w:tc>
          <w:tcPr>
            <w:tcW w:w="480" w:type="dxa"/>
            <w:vAlign w:val="bottom"/>
            <w:tcBorders>
              <w:bottom w:val="single" w:sz="8" w:color="auto"/>
            </w:tcBorders>
          </w:tcPr>
          <w:p>
            <w:pPr>
              <w:spacing w:after="0"/>
              <w:rPr>
                <w:sz w:val="24"/>
                <w:szCs w:val="24"/>
                <w:color w:val="auto"/>
              </w:rPr>
            </w:pPr>
          </w:p>
        </w:tc>
      </w:tr>
      <w:tr>
        <w:trPr>
          <w:trHeight w:val="196"/>
        </w:trPr>
        <w:tc>
          <w:tcPr>
            <w:tcW w:w="80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7"/>
                <w:szCs w:val="17"/>
                <w:color w:val="auto"/>
              </w:rPr>
            </w:pPr>
          </w:p>
        </w:tc>
      </w:tr>
      <w:tr>
        <w:trPr>
          <w:trHeight w:val="196"/>
        </w:trPr>
        <w:tc>
          <w:tcPr>
            <w:tcW w:w="9080" w:type="dxa"/>
            <w:vAlign w:val="bottom"/>
            <w:gridSpan w:val="2"/>
          </w:tcPr>
          <w:p>
            <w:pPr>
              <w:ind w:left="8660"/>
              <w:spacing w:after="0"/>
              <w:rPr>
                <w:sz w:val="20"/>
                <w:szCs w:val="20"/>
                <w:color w:val="auto"/>
              </w:rPr>
            </w:pPr>
            <w:r>
              <w:rPr>
                <w:rFonts w:ascii="Arial" w:cs="Arial" w:eastAsia="Arial" w:hAnsi="Arial"/>
                <w:sz w:val="14"/>
                <w:szCs w:val="14"/>
                <w:b w:val="1"/>
                <w:bCs w:val="1"/>
                <w:color w:val="auto"/>
              </w:rPr>
              <w:t>2025</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480" w:type="dxa"/>
            <w:vAlign w:val="bottom"/>
          </w:tcPr>
          <w:p>
            <w:pPr>
              <w:spacing w:after="0"/>
              <w:rPr>
                <w:sz w:val="17"/>
                <w:szCs w:val="17"/>
                <w:color w:val="auto"/>
              </w:rPr>
            </w:pPr>
          </w:p>
        </w:tc>
      </w:tr>
      <w:tr>
        <w:trPr>
          <w:trHeight w:val="197"/>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98"/>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5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07"/>
        </w:trPr>
        <w:tc>
          <w:tcPr>
            <w:tcW w:w="9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C</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9080" w:type="dxa"/>
            <w:vAlign w:val="bottom"/>
            <w:gridSpan w:val="2"/>
          </w:tcPr>
          <w:p>
            <w:pPr>
              <w:ind w:left="20"/>
              <w:spacing w:after="0"/>
              <w:rPr>
                <w:sz w:val="20"/>
                <w:szCs w:val="20"/>
                <w:color w:val="auto"/>
              </w:rPr>
            </w:pPr>
            <w:r>
              <w:rPr>
                <w:rFonts w:ascii="Arial" w:cs="Arial" w:eastAsia="Arial" w:hAnsi="Arial"/>
                <w:sz w:val="14"/>
                <w:szCs w:val="14"/>
                <w:color w:val="auto"/>
              </w:rPr>
              <w:t>Customer D</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54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020" w:hanging="994"/>
        <w:spacing w:after="0"/>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26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For each of the years ended December 31, 2025 and 2024, approximately 91%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dependent on key suppliers for certain laboratory materials, consisting primarily of reagents and biomarkers used in our diagnostic tests. For the year ended December 31, 2025, approximately 49% and 40% of the Company's diagnostic testing supplies were purchased from two suppliers. For the year ended December 31, 2024, approximately 71% and 26% of the Company's diagnostic testing supplies were purchased from two suppliers. An interruption in the supply of these materials would impact the Company's ability to perform testing services.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35,764</w:t>
            </w:r>
          </w:p>
        </w:tc>
        <w:tc>
          <w:tcPr>
            <w:tcW w:w="120" w:type="dxa"/>
            <w:vAlign w:val="bottom"/>
          </w:tcPr>
          <w:p>
            <w:pPr>
              <w:spacing w:after="0"/>
              <w:rPr>
                <w:sz w:val="17"/>
                <w:szCs w:val="17"/>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29,600</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14,323</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Client direct bill(1)</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14,644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11,360</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192"/>
        </w:trPr>
        <w:tc>
          <w:tcPr>
            <w:tcW w:w="824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66,575</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55,641</w:t>
            </w:r>
          </w:p>
        </w:tc>
      </w:tr>
      <w:tr>
        <w:trPr>
          <w:trHeight w:val="24"/>
        </w:trPr>
        <w:tc>
          <w:tcPr>
            <w:tcW w:w="8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560" w:hanging="309"/>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8" w:lineRule="exact"/>
        <w:rPr>
          <w:rFonts w:ascii="Arial" w:cs="Arial" w:eastAsia="Arial" w:hAnsi="Arial"/>
          <w:sz w:val="14"/>
          <w:szCs w:val="14"/>
          <w:color w:val="auto"/>
        </w:rPr>
      </w:pPr>
    </w:p>
    <w:p>
      <w:pPr>
        <w:ind w:left="560" w:hanging="309"/>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patient self-pay.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of three months or less upon acquisition to be cash equivalents. These investments are stated at cost, which approximates fair value.</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Credit Card Program).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presented in the accompanying statements of cash flows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22,036</w:t>
            </w:r>
          </w:p>
        </w:tc>
      </w:tr>
      <w:tr>
        <w:trPr>
          <w:trHeight w:val="19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32,420</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operating expenses in the statements of operations in the period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03" w:name="page104"/>
    <w:bookmarkEnd w:id="103"/>
    <w:p>
      <w:pPr>
        <w:jc w:val="both"/>
        <w:spacing w:after="0" w:line="261" w:lineRule="auto"/>
        <w:rPr>
          <w:sz w:val="20"/>
          <w:szCs w:val="20"/>
          <w:color w:val="auto"/>
        </w:rPr>
      </w:pPr>
      <w:r>
        <w:rPr>
          <w:rFonts w:ascii="Arial" w:cs="Arial" w:eastAsia="Arial" w:hAnsi="Arial"/>
          <w:sz w:val="18"/>
          <w:szCs w:val="18"/>
          <w:color w:val="auto"/>
        </w:rPr>
        <w:t>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categorizes leases at their commencement as either operating or finance leases.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The incremental borrowing rate is the rate of interest the Company would have to pay to borrow, on a collateralized basis over a similar term and in a similar economic environment, an amount equal to the total lease payments. The Company primarily considers industry data, its credit rating and the lease term to determine its incremental borrowing rate.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based on estimated progress of services performed, including actual level of subjects enrolled and progress of the clinical studies. Payments made prior to the completion of clinical study services are capitalized as a prepaid expense. The prepaid amounts are expensed as the related goods are delivered or the services are performed, or when it is no longer expected that the goods will be delivered or the services rendered. Expenses associated with clinical study activities are recorded in research and development expenses in the accompanying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(hospitals, other laboratories, etc.) and patient self-pay.</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The Company recognizes revenue in accordance with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and follows a five-step process to determine the amount and timing of revenue recognized: (1)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years ended December 31, 2025 and 2024 were net revenue increases of $0.9 million and $6.6 million, respectively, associated with changes in estimated variable consideration related to performance obligations satisfied in previous periods. The transaction price is estimated using an expected value method on a portfolio basis.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4" w:name="page105"/>
    <w:bookmarkEnd w:id="104"/>
    <w:p>
      <w:pPr>
        <w:jc w:val="both"/>
        <w:spacing w:after="0" w:line="244" w:lineRule="auto"/>
        <w:rPr>
          <w:sz w:val="20"/>
          <w:szCs w:val="20"/>
          <w:color w:val="auto"/>
        </w:rPr>
      </w:pPr>
      <w:r>
        <w:rPr>
          <w:rFonts w:ascii="Arial" w:cs="Arial" w:eastAsia="Arial" w:hAnsi="Arial"/>
          <w:sz w:val="18"/>
          <w:szCs w:val="18"/>
          <w:color w:val="auto"/>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statements of operations as an element of variable consideration. The estimated expected refunds are accrued as a liability on the Company’s balance sheets.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the Company's billed tests may vary by payor and other circumstances. Contracts do not contain significant financing components based on the typical period of time between performance of services and collection of consideration.</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Amounts received prior to satisfying the above revenue recognition criteria are recognized as deferred revenue until all applicable revenue recognition criteria are met. Deferred revenue represents the portion of payments received that have not been earned. During the fourth quarter of 2024 and the year ended December 31, 2025, the Company entered into various work orders to perform diagnostic testing services including identifying and evaluating biomarkers, and received nonrefundable, upfront payments for these services. The Company had deferred revenue related to these contracts of $0.7 million as of December 31, 2025 and 2024. The Company recognized revenue of $0.4 million out of the beginning deferred revenue balance during the year ended December 31, 2025 and no revenue was recognized out of the beginning deferred revenue balance during the year ended December 31, 2024. The Company expects to recognize revenue from unfulfilled performance obligations associated with service contracts within one year or less.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accrues an allowance for credit losses against its accounts receivable based on management’s current estimate of amounts that will not be collected. Management’s estimates are typically based on historical loss information adjusted for current conditions. The Company generally does not perform evaluations of the financial condition of the Company's customers and generally does not require collateral. The allowance for credit losses was zero as of each of December 31, 2025 and 2024. Adjustments for implicit price concessions attributable to variable consideration, as discussed above, are incorporated into the measurement of the accounts receivable balances and are not part of the allowance for credit losses. Accounts receivable was $10.9 million, $7.8 million, and $6.6 million as of December 31, 2025, 2024, and 2023,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 Fees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Loan commitment fees are generally included as a reduction of the proceeds from the outstanding debt. If there were no borrowings drawn on the related credit facility, the loan commitment fees are classified as assets until the related debt is drawn. The Company’s loan commitment fee is comprised of an upfront cash payment and a contingent obligation to issue future warrants to Perceptive in connection with the Credit Agreement. The amounts have been recognized in prepaid expenses and other current assets for the short-term portion of $1.2 million and within other assets for the long-term portion of $0.2 million on the balance sheets as of December 31, 2025. As the Company is not reasonably certain it will draw on the future debt tranches, the loan commitment fees are amortized ratably into interest expense over the outstanding draw periods. During the year ended December 31, 2025, the Company recognized $0.7 million in non-cash interest expense related to the amortization of the loan commitment fees within the Company's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depreciation; amortization and allocated overhead, including rent and utilities.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$1.7 million and $1.4 million for the years ended December 31, 2025 and 2024, respectively, and are included in selling, general and administrative expenses in the accompanying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statements of operations and were approximately $3.0 million and $3.1 million for the years ended December 31, 2025 and 2024,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is determined using the Black-Scholes-Merton (BSM) option pricing model, which requires management to make certain assumptions regarding a number of complex and subjective variables. Equity award forfeitures are recorded as they occur.</w:t>
      </w:r>
    </w:p>
    <w:p>
      <w:pPr>
        <w:spacing w:after="0" w:line="1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Company computes the historical volatility data using the daily closing prices of the Company’s common stock during the equivalent period that approximates the calculated expected term of the stock options. The weighted-average expected term of options was calculated using the simplified method, as the Company has concluded that its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the RSU is subject to the holder's continued service with the Company. The Company issues new shares of common stock to satisfy the RSUs upon vesting.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an expense in the period that includes the enactment date.</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106" w:name="page107"/>
    <w:bookmarkEnd w:id="106"/>
    <w:p>
      <w:pPr>
        <w:jc w:val="both"/>
        <w:spacing w:after="0" w:line="261" w:lineRule="auto"/>
        <w:rPr>
          <w:sz w:val="20"/>
          <w:szCs w:val="20"/>
          <w:color w:val="auto"/>
        </w:rPr>
      </w:pPr>
      <w:r>
        <w:rPr>
          <w:rFonts w:ascii="Arial" w:cs="Arial" w:eastAsia="Arial" w:hAnsi="Arial"/>
          <w:sz w:val="18"/>
          <w:szCs w:val="18"/>
          <w:color w:val="auto"/>
        </w:rPr>
        <w:t>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each of the years ended December 31, 2025 and 2024, there is no difference in the number of shares used to calculate basic and diluted shares outstanding as the inclusion of the potentially dilutive securities would be anti-dilutive.</w:t>
      </w:r>
    </w:p>
    <w:p>
      <w:pPr>
        <w:spacing w:after="0" w:line="1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14,405</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325,330</w:t>
            </w:r>
          </w:p>
        </w:tc>
      </w:tr>
      <w:tr>
        <w:trPr>
          <w:trHeight w:val="199"/>
        </w:trPr>
        <w:tc>
          <w:tcPr>
            <w:tcW w:w="824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440" w:type="dxa"/>
            <w:vAlign w:val="bottom"/>
          </w:tcPr>
          <w:p>
            <w:pPr>
              <w:jc w:val="right"/>
              <w:spacing w:after="0"/>
              <w:rPr>
                <w:sz w:val="20"/>
                <w:szCs w:val="20"/>
                <w:color w:val="auto"/>
              </w:rPr>
            </w:pPr>
            <w:r>
              <w:rPr>
                <w:rFonts w:ascii="Arial" w:cs="Arial" w:eastAsia="Arial" w:hAnsi="Arial"/>
                <w:sz w:val="14"/>
                <w:szCs w:val="14"/>
                <w:color w:val="auto"/>
              </w:rPr>
              <w:t>526,839</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489,296</w:t>
            </w:r>
          </w:p>
        </w:tc>
      </w:tr>
      <w:tr>
        <w:trPr>
          <w:trHeight w:val="20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1,795,639</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1,710,373</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52,958</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57,461</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2,389,841</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2,582,460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i w:val="1"/>
          <w:iCs w:val="1"/>
          <w:color w:val="auto"/>
        </w:rPr>
        <w:t xml:space="preserve">Disclosures (Subtopic 220-40) </w:t>
      </w:r>
      <w:r>
        <w:rPr>
          <w:rFonts w:ascii="Arial" w:cs="Arial" w:eastAsia="Arial" w:hAnsi="Arial"/>
          <w:sz w:val="18"/>
          <w:szCs w:val="18"/>
          <w:color w:val="auto"/>
        </w:rPr>
        <w:t>(ASU 2024-03). This update requires entities to include more detailed information about the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purchases of inventory, employee compensation, depreciation, amortization, and depletion, in commonly presented expense captions such as cost of sales, research and development, and selling, general and administrative expenses. ASU 2024-03 is effective for annual reporting periods beginning after December 15, 2026, and interim reporting periods beginning after December 15, 2027,</w:t>
      </w:r>
    </w:p>
    <w:p>
      <w:pPr>
        <w:jc w:val="both"/>
        <w:spacing w:after="0" w:line="237" w:lineRule="auto"/>
        <w:rPr>
          <w:sz w:val="20"/>
          <w:szCs w:val="20"/>
          <w:color w:val="auto"/>
        </w:rPr>
      </w:pPr>
      <w:r>
        <w:rPr>
          <w:rFonts w:ascii="Arial" w:cs="Arial" w:eastAsia="Arial" w:hAnsi="Arial"/>
          <w:sz w:val="18"/>
          <w:szCs w:val="18"/>
          <w:color w:val="auto"/>
        </w:rPr>
        <w:t>with early adoption permitted. The Company is currently evaluating the impact of this standard on its financial statement presentation and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July 2025, the FASB issued ASU 2025-05, Financial Instruments - Credit Losses (Topic 326): </w:t>
      </w:r>
      <w:r>
        <w:rPr>
          <w:rFonts w:ascii="Arial" w:cs="Arial" w:eastAsia="Arial" w:hAnsi="Arial"/>
          <w:sz w:val="18"/>
          <w:szCs w:val="18"/>
          <w:i w:val="1"/>
          <w:iCs w:val="1"/>
          <w:color w:val="auto"/>
        </w:rPr>
        <w:t>Measurement of Credit Losses for Accounts</w:t>
      </w:r>
    </w:p>
    <w:p>
      <w:pPr>
        <w:spacing w:after="0" w:line="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(ASU 2025-05). ASU 2025-05 amends ASC 326-20 to provide a practical expedient related to the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expected credit losses for current accounts receivable and current contract assets that arise from transactions accounted for under ASC</w:t>
      </w:r>
    </w:p>
    <w:p>
      <w:pPr>
        <w:jc w:val="both"/>
        <w:ind w:right="20" w:firstLine="8"/>
        <w:spacing w:after="0" w:line="236" w:lineRule="auto"/>
        <w:tabs>
          <w:tab w:leader="none" w:pos="40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ASU 2025-05 is effective for annual periods beginning after December 15, 2025, and interim reporting periods within that annual period, with early adoption permitted. The Company determined that the adoption of this standard will not have a material impact on its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additional income tax disclosures in the rate reconciliation table for federal, state and foreign income taxes, in addition to more details about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reconciling items in some categories when items meet a certain quantitative threshold. The Company adopted this standard retrospectively in 2025. The Company expanded its income tax disclosures as a result of adopting this new accounting standard.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829</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commitment fees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4,530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2,988</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w:t>
            </w:r>
          </w:p>
        </w:tc>
      </w:tr>
      <w:tr>
        <w:trPr>
          <w:trHeight w:val="198"/>
        </w:trPr>
        <w:tc>
          <w:tcPr>
            <w:tcW w:w="824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3,308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3,259</w:t>
            </w:r>
          </w:p>
        </w:tc>
      </w:tr>
      <w:tr>
        <w:trPr>
          <w:trHeight w:val="20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right-of-use assets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w:t>
            </w: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and equipment</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11,295</w:t>
            </w:r>
          </w:p>
        </w:tc>
      </w:tr>
      <w:tr>
        <w:trPr>
          <w:trHeight w:val="19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(6,012)</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6,938</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Depreciation and amortization expense for the years ended December 31, 2025 and 2024 was approximately $2.1 million and $1.7 million,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w:t>
            </w:r>
          </w:p>
        </w:tc>
      </w:tr>
      <w:tr>
        <w:trPr>
          <w:trHeight w:val="19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w:t>
            </w: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and other current liabilities</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Perceptive Term Loan Facility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25, 2025, the Company entered into a Credit Agreement and Guaranty (the Credit Agreement) with Perceptive, which originally provided for a senior secured delayed draw term loan facility in an aggregate principal amount of up to $75.0 million (the Perceptive Term Loan Facility) broken into four tranches. An initial tranche of $25.0 million (the Tranche A Loan) was funded on April 25, 2025, of which $19.7 million was used to repay the 2017 Term Loan (as defined below) with Innovatus Life Sciences Lending Fund I, LP (Innovatus). The original Credit Agreement provided for four additional tranches of funding up to $10.0 million (the Tranche B Loan), up to $10.0 million (the Tranche C Loan), and up to $30.0 million (the Tranche D Loan, and collectively with the Tranche A Loan, the Tranche B Loan and the Tranche C Loan, the Term Loans) to be drawn at the Company's option subject to the Company’s satisfaction of certain conditions, including specified revenue milestones. On March 6, 2026,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8" w:name="page109"/>
    <w:bookmarkEnd w:id="108"/>
    <w:p>
      <w:pPr>
        <w:jc w:val="both"/>
        <w:spacing w:after="0" w:line="287" w:lineRule="auto"/>
        <w:rPr>
          <w:sz w:val="20"/>
          <w:szCs w:val="20"/>
          <w:color w:val="auto"/>
        </w:rPr>
      </w:pPr>
      <w:r>
        <w:rPr>
          <w:rFonts w:ascii="Arial" w:cs="Arial" w:eastAsia="Arial" w:hAnsi="Arial"/>
          <w:sz w:val="18"/>
          <w:szCs w:val="18"/>
          <w:color w:val="auto"/>
        </w:rPr>
        <w:t xml:space="preserve">Company and Perceptive amended the Credit Agreement, and the Tranche C loan concept was removed from the Credit Agreement. See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 for more information.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Perceptive Term Loan Facility matures on April 25, 2030, and includes an interest-only period through maturity, with all outstanding principal and accrued interest due on the maturity date.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Perceptive Term Loan Facility accrues interest at an annual rate equal to the greater of (i) Term Secured Overnight Financing Rate (SOFR) or (ii) 4.75%, plus a margin of 7.0% (the Applicable Margin), payable monthly in arrears. Upon the occurrence and during the continuance of an event of default, the Applicable Margin may be increased by 4.0% at Perceptive’s election. The Company may prepay the Term Loans at any time, subject to prepayment premiums ranging from 2.0% to 10.0% of the principal amount, depending on the date of prepayment.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is secured by a first-priority lien on substantially all of the Company’s existing and future assets and includes customary affirmative, negative, and financial covenants. These include, among others, restrictions on additional indebtedness, liens, dividends, mergers and acquisitions, and affiliate transactions. The Credit Agreement also requires that the Company maintain a minimum unrestricted cash balance of $3.0 million and achieve specified net revenue levels on a quarterly basis. As of December 31, 2025, the Company was in compliance with all covenants required under the Credit Agreement.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on April 25, 2025, as consideration for the Credit Agreement, the Company issued to Perceptive the Warrant Certificate. The 400,000 Tranche A Warrant Shares vested and became exercisable on the date of issuance, and warrants to purchase up to 750,000 shares of the Company's common stock were subject to vest and would become exercisable if and when the additional debt tranches were drawn by the Company. As a result of the March 2026 amendment to the Credit Agreement, 600,000 shares of the Company common stock may vest and become exercisable if and when the remaining additional debt tranches are drawn by the Company. See “Note 13. </w:t>
      </w:r>
      <w:r>
        <w:rPr>
          <w:rFonts w:ascii="Arial" w:cs="Arial" w:eastAsia="Arial" w:hAnsi="Arial"/>
          <w:sz w:val="18"/>
          <w:szCs w:val="18"/>
          <w:i w:val="1"/>
          <w:iCs w:val="1"/>
          <w:color w:val="auto"/>
        </w:rPr>
        <w:t>Subsequent Events</w:t>
      </w:r>
      <w:r>
        <w:rPr>
          <w:rFonts w:ascii="Arial" w:cs="Arial" w:eastAsia="Arial" w:hAnsi="Arial"/>
          <w:sz w:val="18"/>
          <w:szCs w:val="18"/>
          <w:color w:val="auto"/>
        </w:rPr>
        <w:t>” for more information.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Warrant Certificate has a ten-year term from the applicable vesting date and includes broad-based weighted anti-dilution protection for certain dilutive issuances and for certain recapitalization events and registration rights provisions. In November 2025, Perceptive exercised all 400,000 Tranche A Warrant Shares on a cashless basis and the Company issued a total of 173,220 shares of the common stock to Perceptive.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concluded that the Warrant Certificate qualifies for liability classification and recorded the fair value at issuance of the Tranche A Warrant Shares of $2.2 million as a debt discount. The Company also recognized debt issuance costs of $1.4 million as additional debt discount. These amounts are amortized over the remaining term of the Perceptive Term Loan Facility under the effective interest method. The proportionate amount of the upfront closing fee paid of $1.1 million and the fair value of $1.3 million related to the contingent warrants that may be issued for future debt tranches are recorded as a loan commitment asset and amortized as discussed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2025, the Company recognized $3.1 million of interest expense, including $0.3 million of debt discount amortization in connection with the Perceptive Term Loan Facility. The effective interest rate was 16.2% per annum. As of December 31, 2025, the Perceptive Term Loan Facility had a carrying value of $21.7 million, classified within borrowings, non-current, net of discounts and debt issuance costs in the accompanying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Term Loan</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September 2017, the Company executed a term loan agreement (the 2017 Term Loan) with Innovatus, as amended (the Amended Loan Agreement), pursuant to which the Company borrowed $25.0 million. As of March 31, 2025, the 2017 Term Loan was fully drawn with an outstanding principal balance of $19.8 million and a carrying value of $19.3 million. The interest rate on all borrowings under the Amended Loan Agreement was the sum of (a) the greater of 8.0% or The Wall Street Journal prime rate plus (b) 2.0%. Interest on any outstanding term loan advances was due and payable monthly, unless the Company elected to pay paid-in-kind interest. In addition to the monthly interest payments, a final payment equal to $1.0 million was due the earlier of the maturity date or the date the advance is repaid. Principal balances were required to be repaid in 24 equal installments which began on August 1, 2023.</w:t>
      </w:r>
    </w:p>
    <w:p>
      <w:pPr>
        <w:spacing w:after="0" w:line="21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April 25, 2025, the Company fully repaid all $19.7 million in outstanding indebtedness owed to Innovatus pursuant to its Amended Loan Agreement and terminated the agreement. During the year ended December 31,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9" w:name="page110"/>
    <w:bookmarkEnd w:id="109"/>
    <w:p>
      <w:pPr>
        <w:jc w:val="both"/>
        <w:spacing w:after="0" w:line="287" w:lineRule="auto"/>
        <w:rPr>
          <w:sz w:val="20"/>
          <w:szCs w:val="20"/>
          <w:color w:val="auto"/>
        </w:rPr>
      </w:pPr>
      <w:r>
        <w:rPr>
          <w:rFonts w:ascii="Arial" w:cs="Arial" w:eastAsia="Arial" w:hAnsi="Arial"/>
          <w:sz w:val="18"/>
          <w:szCs w:val="18"/>
          <w:color w:val="auto"/>
        </w:rPr>
        <w:t>2025, the Company recognized a $0.3 million loss on extinguishment of debt in connection with the early repayment of the 2017 Term Loan on the Company's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 Payable</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2022, the Company purchased laboratory equipment in the normal course of business using notes payable. In January 2025, the Company entered into a financing arrangement to procure additional laboratory equipment. At December 31, 2025, the total liability balance related to the financed equipment was $1.2 million, with $0.6 million classified within borrowings, current and $0.6 million within borrowings, non-current, net of discounts and debt issuance costs in the accompanying balance sheets. At December 31, 2024, the total liability balance related to the financed equipment was $1.1 million, with $0.4 million classified within borrowings, current and $0.7 million within borrowings, non-current, net of discounts and debt issuance costs in the accompanying balance sheets. The financed equipment is subject to effective interest rates between 5.28% and 10.50%, and will mature between October 1, 2026 and April 1, 2028.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future minimum aggregate payments, including interest, for outstanding borrowings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Years Ending</w:t>
            </w:r>
          </w:p>
        </w:tc>
      </w:tr>
      <w:tr>
        <w:trPr>
          <w:trHeight w:val="185"/>
        </w:trPr>
        <w:tc>
          <w:tcPr>
            <w:tcW w:w="9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r>
      <w:tr>
        <w:trPr>
          <w:trHeight w:val="198"/>
        </w:trPr>
        <w:tc>
          <w:tcPr>
            <w:tcW w:w="9800" w:type="dxa"/>
            <w:vAlign w:val="bottom"/>
          </w:tcPr>
          <w:p>
            <w:pPr>
              <w:ind w:left="20"/>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3,450</w:t>
            </w: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w:t>
            </w:r>
          </w:p>
        </w:tc>
      </w:tr>
      <w:tr>
        <w:trPr>
          <w:trHeight w:val="198"/>
        </w:trPr>
        <w:tc>
          <w:tcPr>
            <w:tcW w:w="9800" w:type="dxa"/>
            <w:vAlign w:val="bottom"/>
          </w:tcPr>
          <w:p>
            <w:pPr>
              <w:ind w:left="20"/>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2,978</w:t>
            </w:r>
          </w:p>
        </w:tc>
      </w:tr>
      <w:tr>
        <w:trPr>
          <w:trHeight w:val="207"/>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2030</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25,930</w:t>
            </w:r>
          </w:p>
        </w:tc>
      </w:tr>
      <w:tr>
        <w:trPr>
          <w:trHeight w:val="192"/>
        </w:trPr>
        <w:tc>
          <w:tcPr>
            <w:tcW w:w="98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r>
      <w:tr>
        <w:trPr>
          <w:trHeight w:val="187"/>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8"/>
        </w:trPr>
        <w:tc>
          <w:tcPr>
            <w:tcW w:w="980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(3,302)</w:t>
            </w:r>
          </w:p>
        </w:tc>
      </w:tr>
      <w:tr>
        <w:trPr>
          <w:trHeight w:val="207"/>
        </w:trPr>
        <w:tc>
          <w:tcPr>
            <w:tcW w:w="9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(12,966)</w:t>
            </w:r>
          </w:p>
        </w:tc>
      </w:tr>
      <w:tr>
        <w:trPr>
          <w:trHeight w:val="192"/>
        </w:trPr>
        <w:tc>
          <w:tcPr>
            <w:tcW w:w="980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22,907</w:t>
            </w:r>
          </w:p>
        </w:tc>
      </w:tr>
      <w:tr>
        <w:trPr>
          <w:trHeight w:val="202"/>
        </w:trPr>
        <w:tc>
          <w:tcPr>
            <w:tcW w:w="98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Borrowings-current portion</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r>
      <w:tr>
        <w:trPr>
          <w:trHeight w:val="200"/>
        </w:trPr>
        <w:tc>
          <w:tcPr>
            <w:tcW w:w="980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22,264</w:t>
            </w:r>
          </w:p>
        </w:tc>
      </w:tr>
      <w:tr>
        <w:trPr>
          <w:trHeight w:val="20"/>
        </w:trPr>
        <w:tc>
          <w:tcPr>
            <w:tcW w:w="9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leases office and laboratory space located in Vista, California. The lease expires in April 2027, with an option to extend portions of the lease for additional 5-year periods. The Company has not included the optional renewal periods in the measurement of the lease liability, because it is not reasonably certain that the Company will exercise these renewal options. The Company's payments under the lease are subject to escalation clauses.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leases additional office space in Carlsbad, California, under a sublease which commenced in October 2021 and expires in April 2027. Monthly base rent under the sublease agreement is $72,143. The monthly base rent increases by approximately 3% annually, each October 1, through the remainder of the lease term.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has entered into various finance lease agreements to obtain laboratory equipment. Additionally, the Company has an embedded finance lease related to its supply agreement for consumable products used in the Company's diagnostic biomarkers (see "Note</w:t>
      </w:r>
    </w:p>
    <w:p>
      <w:pPr>
        <w:jc w:val="both"/>
        <w:ind w:firstLine="8"/>
        <w:spacing w:after="0" w:line="250" w:lineRule="auto"/>
        <w:tabs>
          <w:tab w:leader="none" w:pos="2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The terms of the Company's finance leases generally range from three to five years and are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by the underlying equipment. The portion of the future payments designated as principal repayments were classified as finance lease liabilities on the Company's balance sheet.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Borders>
              <w:bottom w:val="single" w:sz="8" w:color="auto"/>
            </w:tcBorders>
          </w:tcPr>
          <w:p>
            <w:pPr>
              <w:spacing w:after="0"/>
              <w:rPr>
                <w:sz w:val="17"/>
                <w:szCs w:val="17"/>
                <w:color w:val="auto"/>
              </w:rPr>
            </w:pPr>
          </w:p>
        </w:tc>
      </w:tr>
      <w:tr>
        <w:trPr>
          <w:trHeight w:val="197"/>
        </w:trPr>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r>
      <w:tr>
        <w:trPr>
          <w:trHeight w:val="19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1,435</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2,401</w:t>
            </w:r>
          </w:p>
        </w:tc>
      </w:tr>
      <w:tr>
        <w:trPr>
          <w:trHeight w:val="206"/>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270"/>
        </w:trPr>
        <w:tc>
          <w:tcPr>
            <w:tcW w:w="2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Finance lease liabilities, current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1,135</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20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3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312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352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 non-current</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16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1,664</w:t>
            </w:r>
          </w:p>
        </w:tc>
      </w:tr>
      <w:tr>
        <w:trPr>
          <w:trHeight w:val="207"/>
        </w:trPr>
        <w:tc>
          <w:tcPr>
            <w:tcW w:w="31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3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liabilities, non-current</w:t>
            </w: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1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662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1,333</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1,345</w:t>
            </w:r>
          </w:p>
        </w:tc>
      </w:tr>
      <w:tr>
        <w:trPr>
          <w:trHeight w:val="203"/>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198"/>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52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432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03"/>
        </w:trPr>
        <w:tc>
          <w:tcPr>
            <w:tcW w:w="66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5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w:t>
            </w:r>
          </w:p>
        </w:tc>
        <w:tc>
          <w:tcPr>
            <w:tcW w:w="16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0"/>
        </w:trPr>
        <w:tc>
          <w:tcPr>
            <w:tcW w:w="662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2,055</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w:t>
            </w: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(1) Includes variable lease cost of $0.2 million for each of the years ended December 31, 2025 and 2024.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on leases is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3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16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r>
      <w:tr>
        <w:trPr>
          <w:trHeight w:val="19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r>
      <w:tr>
        <w:trPr>
          <w:trHeight w:val="198"/>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60" w:type="dxa"/>
            <w:vAlign w:val="bottom"/>
          </w:tcPr>
          <w:p>
            <w:pPr>
              <w:spacing w:after="0"/>
              <w:rPr>
                <w:sz w:val="17"/>
                <w:szCs w:val="17"/>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6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2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7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30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2024</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98"/>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Weighted-average discount rate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7"/>
        </w:trPr>
        <w:tc>
          <w:tcPr>
            <w:tcW w:w="8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4"/>
        </w:trPr>
        <w:tc>
          <w:tcPr>
            <w:tcW w:w="8100" w:type="dxa"/>
            <w:vAlign w:val="bottom"/>
            <w:gridSpan w:val="2"/>
          </w:tcPr>
          <w:p>
            <w:pPr>
              <w:ind w:left="240"/>
              <w:spacing w:after="0"/>
              <w:rPr>
                <w:sz w:val="20"/>
                <w:szCs w:val="20"/>
                <w:color w:val="auto"/>
              </w:rPr>
            </w:pPr>
            <w:r>
              <w:rPr>
                <w:rFonts w:ascii="Arial" w:cs="Arial" w:eastAsia="Arial" w:hAnsi="Arial"/>
                <w:sz w:val="14"/>
                <w:szCs w:val="14"/>
                <w:color w:val="auto"/>
              </w:rPr>
              <w:t>Finance leases</w:t>
            </w:r>
          </w:p>
        </w:tc>
        <w:tc>
          <w:tcPr>
            <w:tcW w:w="740" w:type="dxa"/>
            <w:vAlign w:val="bottom"/>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Pr>
          <w:p>
            <w:pPr>
              <w:spacing w:after="0"/>
              <w:rPr>
                <w:sz w:val="16"/>
                <w:szCs w:val="16"/>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auto"/>
              </w:rPr>
              <w:t>17.3 %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December 31, 2025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2026</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r>
      <w:tr>
        <w:trPr>
          <w:trHeight w:val="198"/>
        </w:trPr>
        <w:tc>
          <w:tcPr>
            <w:tcW w:w="6560" w:type="dxa"/>
            <w:vAlign w:val="bottom"/>
          </w:tcPr>
          <w:p>
            <w:pPr>
              <w:jc w:val="right"/>
              <w:ind w:right="6148"/>
              <w:spacing w:after="0"/>
              <w:rPr>
                <w:sz w:val="20"/>
                <w:szCs w:val="20"/>
                <w:color w:val="auto"/>
              </w:rPr>
            </w:pPr>
            <w:r>
              <w:rPr>
                <w:rFonts w:ascii="Arial" w:cs="Arial" w:eastAsia="Arial" w:hAnsi="Arial"/>
                <w:sz w:val="14"/>
                <w:szCs w:val="14"/>
                <w:color w:val="auto"/>
              </w:rPr>
              <w:t>2027</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445</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1,115</w:t>
            </w:r>
          </w:p>
        </w:tc>
      </w:tr>
      <w:tr>
        <w:trPr>
          <w:trHeight w:val="20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2028</w:t>
            </w:r>
          </w:p>
        </w:tc>
        <w:tc>
          <w:tcPr>
            <w:tcW w:w="17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r>
      <w:tr>
        <w:trPr>
          <w:trHeight w:val="198"/>
        </w:trPr>
        <w:tc>
          <w:tcPr>
            <w:tcW w:w="6560" w:type="dxa"/>
            <w:vAlign w:val="bottom"/>
          </w:tcPr>
          <w:p>
            <w:pPr>
              <w:jc w:val="right"/>
              <w:ind w:right="6148"/>
              <w:spacing w:after="0"/>
              <w:rPr>
                <w:sz w:val="20"/>
                <w:szCs w:val="20"/>
                <w:color w:val="auto"/>
              </w:rPr>
            </w:pPr>
            <w:r>
              <w:rPr>
                <w:rFonts w:ascii="Arial" w:cs="Arial" w:eastAsia="Arial" w:hAnsi="Arial"/>
                <w:sz w:val="14"/>
                <w:szCs w:val="14"/>
                <w:color w:val="auto"/>
              </w:rPr>
              <w:t>2029</w:t>
            </w:r>
          </w:p>
        </w:tc>
        <w:tc>
          <w:tcPr>
            <w:tcW w:w="174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565</w:t>
            </w:r>
          </w:p>
        </w:tc>
      </w:tr>
      <w:tr>
        <w:trPr>
          <w:trHeight w:val="207"/>
        </w:trPr>
        <w:tc>
          <w:tcPr>
            <w:tcW w:w="6560" w:type="dxa"/>
            <w:vAlign w:val="bottom"/>
            <w:shd w:val="clear" w:color="auto" w:fill="CCEEFF"/>
          </w:tcPr>
          <w:p>
            <w:pPr>
              <w:jc w:val="right"/>
              <w:ind w:right="6148"/>
              <w:spacing w:after="0"/>
              <w:rPr>
                <w:sz w:val="20"/>
                <w:szCs w:val="20"/>
                <w:color w:val="auto"/>
              </w:rPr>
            </w:pPr>
            <w:r>
              <w:rPr>
                <w:rFonts w:ascii="Arial" w:cs="Arial" w:eastAsia="Arial" w:hAnsi="Arial"/>
                <w:sz w:val="14"/>
                <w:szCs w:val="14"/>
                <w:color w:val="auto"/>
              </w:rPr>
              <w:t>2030</w:t>
            </w:r>
          </w:p>
        </w:tc>
        <w:tc>
          <w:tcPr>
            <w:tcW w:w="17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6560" w:type="dxa"/>
            <w:vAlign w:val="bottom"/>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1,760</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4,032</w:t>
            </w:r>
          </w:p>
        </w:tc>
      </w:tr>
      <w:tr>
        <w:trPr>
          <w:trHeight w:val="206"/>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w:t>
            </w:r>
          </w:p>
        </w:tc>
      </w:tr>
      <w:tr>
        <w:trPr>
          <w:trHeight w:val="192"/>
        </w:trPr>
        <w:tc>
          <w:tcPr>
            <w:tcW w:w="6560" w:type="dxa"/>
            <w:vAlign w:val="bottom"/>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1,664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3,095</w:t>
            </w:r>
          </w:p>
        </w:tc>
      </w:tr>
      <w:tr>
        <w:trPr>
          <w:trHeight w:val="203"/>
        </w:trPr>
        <w:tc>
          <w:tcPr>
            <w:tcW w:w="65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(1,226)</w:t>
            </w:r>
          </w:p>
        </w:tc>
        <w:tc>
          <w:tcPr>
            <w:tcW w:w="2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r>
      <w:tr>
        <w:trPr>
          <w:trHeight w:val="200"/>
        </w:trPr>
        <w:tc>
          <w:tcPr>
            <w:tcW w:w="6560" w:type="dxa"/>
            <w:vAlign w:val="bottom"/>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2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w:t>
            </w:r>
          </w:p>
        </w:tc>
      </w:tr>
      <w:tr>
        <w:trPr>
          <w:trHeight w:val="20"/>
        </w:trPr>
        <w:tc>
          <w:tcPr>
            <w:tcW w:w="65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individual license agreements generally provide for ongoing royalty payments of less than 1% on net sales of products which incorporate licensed technology, as defined in such agreements. Royalties are accrued when incurred and recorded in cost of revenue in the accompanying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July 2025, the Company amended a supply agreement (the Amended Supply Agreement) with one of its suppliers for certain reagents, which includes updated pricing terms, an extended term through June 30, 2029, and minimum purchase commitments for consumable products used in the Company's diagnostic biomarkers. Pursuant to the Amended Supply Agreement, the Company is provided equipment by the supplier to be used by the Company in connection with the consumable products. The aggregate minimum annual purchase commitment for the duration of the Amended Supply Agreement is $24.0 million, including a minimum purchase commitment of $3.0 million for the year ending December 31, 2025, $6.0 million for each of the years ending December 31, 2026 through 2028 and $3.0 million for the six month period ending June 30, 2029.</w:t>
      </w:r>
    </w:p>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accounts for the Amended Supply Agreement as an embedded finance lease for the equipment provided, with the reagents as a non-lease component accounted for separately. The minimum purchase commitments for the reagents represent in-substance fixed contract consideration and is recorded based on the relative fair value of the equipment of $3.1 million as a ROU asset and related lease liability. As of December 31, 2025, the Company had a finance lease ROU asset of $ 2.8 million and lease liabilities of $ 2.8 million on the Company's balance sheets related to the embedded finance lease. For the year ended December 31, 2025, the Company recorded interest expense of $0.2 million related to this embedded finance lease on the Company's statements of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Pursuant to a settlement agreement with the Department of Justice (DOJ), which has been previously disclosed, the Company made a single lump-sum remittance to the government in the amount of $ 0.7 million plus interest in October 2023. The U.S. Attorney’s Office dismissed the “covered conduct” elements in the qui tam with prejudice, while non-covered conduct was dismissed without prejudice. The DOJ excused itself from the case in connection with the settlement. The Company’s ability to participate in federally funded healthcare programs was unaffected by the settlement. In November 2023, the complaint was unsealed and served on the Company. The Company filed a motion to dismiss the complaint. In February 2024, the relator filed a motion for leave to amend the complaint. The Company opposed this motion. In March 2025, the court granted the Company’s motion to dismiss with prejudice and denied the relator’s motion for leave to amend. On April 14, 2025, the relator filed an appeal with respect to this ruling. On July 15, 2025, the qui tam case was dismissed with prejudice by the presiding judge. Both the DOJ and the relator’s counsel filed a stipulation of dismissal in the matter.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carrying values of the Company's cash, cash equivalents and restricted cash, accounts receivable, prepaid expenses and other current assets, accounts payable and accrued and other current liabilities are determined to be a Level 1 measurement. The carrying values of these items approximate their fair values due to their short-term nature. The estimated fair value of the Company's long-term borrowings is determined by Level 2 inputs and based primarily on quoted market prices for the same or similar issues. As of December 31, 2025, the Perceptive Term Loan Facility had a carrying value of $21.7 million and a fair value of $22.6 million. The estimated fair value of the Perceptive Term Loan Facility was determined based on a discounted cash flow approach using available market information on discount and borrowing rates with similar terms, maturities, and credit ratings. The aggregate carrying value of the Company's other long-term borrowings as of December 31, 2025 and December 31, 2024 was $1.2 million and $1.1 million, respectively, and approximated its fair value.</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three-levels of the valuation hierarchy for disclosure of fair value measurements are defined as follows:</w:t>
      </w:r>
    </w:p>
    <w:p>
      <w:pPr>
        <w:spacing w:after="0" w:line="15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158" w:lineRule="exact"/>
        <w:rPr>
          <w:sz w:val="20"/>
          <w:szCs w:val="20"/>
          <w:color w:val="auto"/>
        </w:rPr>
      </w:pPr>
    </w:p>
    <w:p>
      <w:pPr>
        <w:jc w:val="both"/>
        <w:ind w:left="1320" w:hanging="1295"/>
        <w:spacing w:after="0" w:line="261" w:lineRule="auto"/>
        <w:tabs>
          <w:tab w:leader="none" w:pos="1300" w:val="left"/>
        </w:tabs>
        <w:rPr>
          <w:sz w:val="20"/>
          <w:szCs w:val="20"/>
          <w:color w:val="auto"/>
        </w:rPr>
      </w:pPr>
      <w:r>
        <w:rPr>
          <w:rFonts w:ascii="Arial" w:cs="Arial" w:eastAsia="Arial" w:hAnsi="Arial"/>
          <w:sz w:val="18"/>
          <w:szCs w:val="18"/>
          <w:color w:val="auto"/>
        </w:rPr>
        <w:t>Level 2 -</w:t>
        <w:tab/>
        <w:t>Inputs other than quoted prices included within Level 1 that are observable, unadjusted quoted prices in markets that are not active, or other inputs that are observable or can be corroborated by observable market data for substantially the full term of the related assets or liabilities; and</w:t>
      </w:r>
    </w:p>
    <w:p>
      <w:pPr>
        <w:spacing w:after="0" w:line="10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8"/>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7"/>
        </w:trPr>
        <w:tc>
          <w:tcPr>
            <w:tcW w:w="6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2"/>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6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Warrant liability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2024</w:t>
            </w:r>
          </w:p>
        </w:tc>
        <w:tc>
          <w:tcPr>
            <w:tcW w:w="980" w:type="dxa"/>
            <w:vAlign w:val="bottom"/>
            <w:tcBorders>
              <w:bottom w:val="single" w:sz="8" w:color="auto"/>
            </w:tcBorders>
          </w:tcPr>
          <w:p>
            <w:pPr>
              <w:spacing w:after="0"/>
              <w:rPr>
                <w:sz w:val="17"/>
                <w:szCs w:val="17"/>
                <w:color w:val="auto"/>
              </w:rPr>
            </w:pPr>
          </w:p>
        </w:tc>
      </w:tr>
      <w:tr>
        <w:trPr>
          <w:trHeight w:val="196"/>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7"/>
                <w:szCs w:val="17"/>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98"/>
        </w:trPr>
        <w:tc>
          <w:tcPr>
            <w:tcW w:w="610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15,144</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760"/>
              <w:spacing w:after="0"/>
              <w:rPr>
                <w:sz w:val="20"/>
                <w:szCs w:val="20"/>
                <w:color w:val="auto"/>
              </w:rPr>
            </w:pPr>
            <w:r>
              <w:rPr>
                <w:rFonts w:ascii="Arial" w:cs="Arial" w:eastAsia="Arial" w:hAnsi="Arial"/>
                <w:sz w:val="14"/>
                <w:szCs w:val="14"/>
                <w:color w:val="auto"/>
              </w:rPr>
              <w:t>—   $</w:t>
            </w:r>
          </w:p>
        </w:tc>
        <w:tc>
          <w:tcPr>
            <w:tcW w:w="98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24"/>
        </w:trPr>
        <w:tc>
          <w:tcPr>
            <w:tcW w:w="6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 liability for the Warrant Certificate issued in connection with the Perceptive Term Loan Facility at fair value utilizing a probability-weighted BSM option pricing model using significant unobservable inputs consisting of the Company's probability assessment of drawing future debt tranches, the inputs used for the Company’s stock-based compensation expense adjusted for the Warrant Certificate’s expected term, which is calculated based on the remaining contractual term, and the fair value of the underlying common stock. As such, the Warrant Certificate liability was determined to be a Level 3 fair value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BSM option pricing model to determine the fair value of the warrant liability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April 25, 2025 (Warrant</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rPr>
              <w:t>Certificate Issuance</w:t>
            </w:r>
          </w:p>
        </w:tc>
        <w:tc>
          <w:tcPr>
            <w:tcW w:w="120" w:type="dxa"/>
            <w:vAlign w:val="bottom"/>
          </w:tcPr>
          <w:p>
            <w:pPr>
              <w:spacing w:after="0"/>
              <w:rPr>
                <w:sz w:val="12"/>
                <w:szCs w:val="12"/>
                <w:color w:val="auto"/>
              </w:rPr>
            </w:pPr>
          </w:p>
        </w:tc>
        <w:tc>
          <w:tcPr>
            <w:tcW w:w="15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97"/>
        </w:trPr>
        <w:tc>
          <w:tcPr>
            <w:tcW w:w="7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underlying common stock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6.21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$4.96 - $6.99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$6.08 - $6.84</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8"/>
        </w:trPr>
        <w:tc>
          <w:tcPr>
            <w:tcW w:w="77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40" w:type="dxa"/>
            <w:vAlign w:val="bottom"/>
          </w:tcPr>
          <w:p>
            <w:pPr>
              <w:spacing w:after="0"/>
              <w:rPr>
                <w:sz w:val="16"/>
                <w:szCs w:val="16"/>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probability assessment considers both the likelihood of the Company satisfying certain conditions, including specified revenue milestones, which give the Company the option to draw future debt tranches as well as the likelihood that the Company will exercise the right to draw one or more future debt tranches. The Company assessed these factors at inception and as of December 31, 2025 and applied a weighted-average probability of approximately 47% as of December 31, 2025 in the measurement of fair value, given current and forecasted capital needs. Significant increases or decreases in the probability assessment in future periods may increase or decrease the fair value estimate of the warrant liability, respectively. The interrelationship between these inputs is insignificant.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Tranche A Warrant Shares were fully exercised on November 11, 2025 and the fair value was remeasured as of the exercise date and reclassified to stockholders' equity.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4" w:name="page115"/>
    <w:bookmarkEnd w:id="114"/>
    <w:p>
      <w:pPr>
        <w:jc w:val="both"/>
        <w:ind w:right="20"/>
        <w:spacing w:after="0" w:line="279" w:lineRule="auto"/>
        <w:rPr>
          <w:sz w:val="20"/>
          <w:szCs w:val="20"/>
          <w:color w:val="auto"/>
        </w:rPr>
      </w:pPr>
      <w:r>
        <w:rPr>
          <w:rFonts w:ascii="Arial" w:cs="Arial" w:eastAsia="Arial" w:hAnsi="Arial"/>
          <w:sz w:val="18"/>
          <w:szCs w:val="18"/>
          <w:color w:val="auto"/>
        </w:rPr>
        <w:t>The following table provides a reconciliation of the warrant liability measured at fair value using Level 3 significant unobservable inputs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Warrant Liability</w:t>
            </w:r>
          </w:p>
        </w:tc>
        <w:tc>
          <w:tcPr>
            <w:tcW w:w="100" w:type="dxa"/>
            <w:vAlign w:val="bottom"/>
            <w:tcBorders>
              <w:bottom w:val="single" w:sz="8" w:color="CCEEFF"/>
            </w:tcBorders>
          </w:tcPr>
          <w:p>
            <w:pPr>
              <w:spacing w:after="0"/>
              <w:rPr>
                <w:sz w:val="17"/>
                <w:szCs w:val="17"/>
                <w:color w:val="auto"/>
              </w:rPr>
            </w:pPr>
          </w:p>
        </w:tc>
      </w:tr>
      <w:tr>
        <w:trPr>
          <w:trHeight w:val="197"/>
        </w:trPr>
        <w:tc>
          <w:tcPr>
            <w:tcW w:w="9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2024</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98"/>
        </w:trPr>
        <w:tc>
          <w:tcPr>
            <w:tcW w:w="9500" w:type="dxa"/>
            <w:vAlign w:val="bottom"/>
          </w:tcPr>
          <w:p>
            <w:pPr>
              <w:ind w:left="360"/>
              <w:spacing w:after="0"/>
              <w:rPr>
                <w:sz w:val="20"/>
                <w:szCs w:val="20"/>
                <w:color w:val="auto"/>
              </w:rPr>
            </w:pPr>
            <w:r>
              <w:rPr>
                <w:rFonts w:ascii="Arial" w:cs="Arial" w:eastAsia="Arial" w:hAnsi="Arial"/>
                <w:sz w:val="14"/>
                <w:szCs w:val="14"/>
                <w:color w:val="auto"/>
              </w:rPr>
              <w:t>Fair value of warrant liability</w:t>
            </w:r>
          </w:p>
        </w:tc>
        <w:tc>
          <w:tcPr>
            <w:tcW w:w="18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3,525</w:t>
            </w:r>
          </w:p>
        </w:tc>
        <w:tc>
          <w:tcPr>
            <w:tcW w:w="100" w:type="dxa"/>
            <w:vAlign w:val="bottom"/>
          </w:tcPr>
          <w:p>
            <w:pPr>
              <w:spacing w:after="0"/>
              <w:rPr>
                <w:sz w:val="17"/>
                <w:szCs w:val="17"/>
                <w:color w:val="auto"/>
              </w:rPr>
            </w:pPr>
          </w:p>
        </w:tc>
      </w:tr>
      <w:tr>
        <w:trPr>
          <w:trHeight w:val="207"/>
        </w:trPr>
        <w:tc>
          <w:tcPr>
            <w:tcW w:w="95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fair value of warrant liability</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7"/>
                <w:szCs w:val="17"/>
                <w:color w:val="auto"/>
              </w:rPr>
            </w:pPr>
          </w:p>
        </w:tc>
      </w:tr>
      <w:tr>
        <w:trPr>
          <w:trHeight w:val="198"/>
        </w:trPr>
        <w:tc>
          <w:tcPr>
            <w:tcW w:w="95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Reclassification of warrant liability to equity upon exercise of Tranche A Warrant Shares</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(3,279)</w:t>
            </w:r>
          </w:p>
        </w:tc>
        <w:tc>
          <w:tcPr>
            <w:tcW w:w="100" w:type="dxa"/>
            <w:vAlign w:val="bottom"/>
            <w:tcBorders>
              <w:bottom w:val="single" w:sz="8" w:color="CCEEFF"/>
            </w:tcBorders>
          </w:tcPr>
          <w:p>
            <w:pPr>
              <w:spacing w:after="0"/>
              <w:rPr>
                <w:sz w:val="17"/>
                <w:szCs w:val="17"/>
                <w:color w:val="auto"/>
              </w:rPr>
            </w:pPr>
          </w:p>
        </w:tc>
      </w:tr>
      <w:tr>
        <w:trPr>
          <w:trHeight w:val="225"/>
        </w:trPr>
        <w:tc>
          <w:tcPr>
            <w:tcW w:w="9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17, 2023, the Company filed a registration statement on Form S-3, as amended (the 2023 Shelf Registration Statement), covering the offering, from time to time, of up to $150.0 million of the Company's common stock, preferred stock, debt securities, warrants and units. The 2023 Shelf Registration Statement became effective on November 29, 2023, and $126.2 million remained available for sale as of December 31, 2025.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Sales Agreement</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September 15, 2022, the Company entered into the Sales Agreement, as amended by Amendment No. 1 to Sales Agreement dated November 17, 2023 (the Amended Sales Agreement), with TD Securities (USA) LLC (TD Cowen), as sales agent, pursuant to which the Company may offer and sell, from time to time, shares of the Company's common stock having an aggregate offering price of up to $50.0 million. The Company is not obligated to sell any shares of the Company's common stock in the offering. During the year ended December 31, 2025, the Company has sold 360,554 shares of its common stock under the Amended Sales Agreement at an average price per share of $9.82, for gross proceeds of approximately $3.5 million and net proceeds of approximately $3.4 million after deducting $0.1 million in commissions paid to TD Cowen and other offering expenses payable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Public Offering</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May 8, 2025, the Company entered into an underwriting agreement (the Underwriting Agreement) with Canaccord Genuity LLC (the Underwriter) relating to the issuance and sale of an aggregate of 3,852,500 shares of its common stock, including 502,500 shares of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Company's common stock issued and sold pursuant to the exercise in full of the Underwriter’s option to purchase additional shares, to the Underwriter at a price to the public of $5.25 per share (the 2025 Public Offering). The 2025 Public Offering closed on May 9, 2025. The net proceeds to the Company from the 2025 Public Offering were approximately $18.6 million after deducting $1.6 million of the underwriting discounts and commissions and other offering expenses payable by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56"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equity classified warrants to purchase common stock of the Company were outstanding and exercisable as of December 31, 2025:</w:t>
      </w:r>
    </w:p>
    <w:tbl>
      <w:tblPr>
        <w:tblLayout w:type="fixed"/>
        <w:tblInd w:w="0" w:type="dxa"/>
        <w:tblCellMar>
          <w:top w:w="0" w:type="dxa"/>
          <w:left w:w="0" w:type="dxa"/>
          <w:bottom w:w="0" w:type="dxa"/>
          <w:right w:w="0" w:type="dxa"/>
        </w:tblCellMar>
      </w:tblPr>
      <w:tr>
        <w:trPr>
          <w:trHeight w:val="150"/>
        </w:trPr>
        <w:tc>
          <w:tcPr>
            <w:tcW w:w="3280" w:type="dxa"/>
            <w:vAlign w:val="bottom"/>
          </w:tcPr>
          <w:p>
            <w:pPr>
              <w:spacing w:after="0"/>
              <w:rPr>
                <w:sz w:val="13"/>
                <w:szCs w:val="13"/>
                <w:color w:val="auto"/>
              </w:rPr>
            </w:pPr>
          </w:p>
        </w:tc>
        <w:tc>
          <w:tcPr>
            <w:tcW w:w="10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ind w:left="60"/>
              <w:spacing w:after="0" w:line="150" w:lineRule="exact"/>
              <w:rPr>
                <w:sz w:val="20"/>
                <w:szCs w:val="20"/>
                <w:color w:val="auto"/>
              </w:rPr>
            </w:pPr>
            <w:r>
              <w:rPr>
                <w:rFonts w:ascii="Arial" w:cs="Arial" w:eastAsia="Arial" w:hAnsi="Arial"/>
                <w:sz w:val="14"/>
                <w:szCs w:val="14"/>
                <w:b w:val="1"/>
                <w:bCs w:val="1"/>
                <w:color w:val="auto"/>
              </w:rPr>
              <w:t>Weighted-Average</w:t>
            </w:r>
          </w:p>
        </w:tc>
        <w:tc>
          <w:tcPr>
            <w:tcW w:w="2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vMerge w:val="restart"/>
          </w:tcPr>
          <w:p>
            <w:pPr>
              <w:spacing w:after="0"/>
              <w:rPr>
                <w:sz w:val="13"/>
                <w:szCs w:val="13"/>
                <w:color w:val="auto"/>
              </w:rPr>
            </w:pPr>
          </w:p>
        </w:tc>
        <w:tc>
          <w:tcPr>
            <w:tcW w:w="222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c>
          <w:tcPr>
            <w:tcW w:w="0" w:type="dxa"/>
            <w:vAlign w:val="bottom"/>
          </w:tcPr>
          <w:p>
            <w:pPr>
              <w:spacing w:after="0"/>
              <w:rPr>
                <w:sz w:val="1"/>
                <w:szCs w:val="1"/>
                <w:color w:val="auto"/>
              </w:rPr>
            </w:pPr>
          </w:p>
        </w:tc>
      </w:tr>
      <w:tr>
        <w:trPr>
          <w:trHeight w:val="198"/>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1,746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07"/>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198"/>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804,951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0.001</w:t>
            </w:r>
          </w:p>
        </w:tc>
        <w:tc>
          <w:tcPr>
            <w:tcW w:w="100" w:type="dxa"/>
            <w:vAlign w:val="bottom"/>
          </w:tcPr>
          <w:p>
            <w:pPr>
              <w:spacing w:after="0"/>
              <w:rPr>
                <w:sz w:val="17"/>
                <w:szCs w:val="17"/>
                <w:color w:val="auto"/>
              </w:rPr>
            </w:pPr>
          </w:p>
        </w:tc>
        <w:tc>
          <w:tcPr>
            <w:tcW w:w="2200" w:type="dxa"/>
            <w:vAlign w:val="bottom"/>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Pr>
          <w:p>
            <w:pPr>
              <w:jc w:val="right"/>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00"/>
        </w:trPr>
        <w:tc>
          <w:tcPr>
            <w:tcW w:w="32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819,356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18"/>
          <w:szCs w:val="18"/>
          <w:color w:val="auto"/>
        </w:rPr>
        <w:t>In connection with the Perceptive Term Loan Facility, the Company may issue warrants for the purchase of up to an additional 750,000 shares of the Company’s common stock if and when the Company satisfies certain conditions and chooses to draw additional debt tranches during the respective draw periods.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issued a total of 403,372 shares of common stock upon the cashless exercise of certain warrants during the year ended December 31, 2025. No warrants to purchase common stock of the Company were exercised during the year ended December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September 2019, the Company's Board of Directors (the Board)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Board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Board. As of December 31, 2025, 2,274,550 shares of the Company's common stock remained available for future awards under the 2019 Plan. Pursuant to the evergreen provision, on January 1, 2026, an additional 916,463 shares of the Company's common stock became available for issuance under the 2019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RSU activity under the Company's 2019 Plan is set forth below:</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16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1,710,373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6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40" w:type="dxa"/>
            <w:vAlign w:val="bottom"/>
          </w:tcPr>
          <w:p>
            <w:pPr>
              <w:jc w:val="right"/>
              <w:spacing w:after="0"/>
              <w:rPr>
                <w:sz w:val="20"/>
                <w:szCs w:val="20"/>
                <w:color w:val="auto"/>
              </w:rPr>
            </w:pPr>
            <w:r>
              <w:rPr>
                <w:rFonts w:ascii="Arial" w:cs="Arial" w:eastAsia="Arial" w:hAnsi="Arial"/>
                <w:sz w:val="14"/>
                <w:szCs w:val="14"/>
                <w:color w:val="auto"/>
              </w:rPr>
              <w:t>852,232</w:t>
            </w:r>
          </w:p>
        </w:tc>
        <w:tc>
          <w:tcPr>
            <w:tcW w:w="3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(497,374)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(269,592)</w:t>
            </w:r>
          </w:p>
        </w:tc>
        <w:tc>
          <w:tcPr>
            <w:tcW w:w="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1,795,639</w:t>
            </w:r>
          </w:p>
        </w:tc>
        <w:tc>
          <w:tcPr>
            <w:tcW w:w="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all of the 1,795,639 outstanding RSUs were unvested. The fair value of RSUs vested in the years ended December 31, 2025 and 2024 was $3.2 million and $ 0.9 million, respectively. The weighted average grant date fair value per share for RSUs granted during the years ended December 31, 2025 and 2024 was $5.66 and $2.11 per RSU, respectively. As of December 31, 2025, total unrecognized compensation cost related to RSUs was $5.8 million, which is expected to be recognized over a remaining weighted-average vesting period of 2.6 years.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2019 Plan is set forth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4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9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Price Per</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Share</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489,296</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8"/>
        </w:trPr>
        <w:tc>
          <w:tcPr>
            <w:tcW w:w="51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169,570</w:t>
            </w:r>
          </w:p>
        </w:tc>
        <w:tc>
          <w:tcPr>
            <w:tcW w:w="110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10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(131,919)</w:t>
            </w:r>
          </w:p>
        </w:tc>
        <w:tc>
          <w:tcPr>
            <w:tcW w:w="1100" w:type="dxa"/>
            <w:vAlign w:val="bottom"/>
            <w:tcBorders>
              <w:bottom w:val="single" w:sz="8" w:color="CCEEFF"/>
            </w:tcBorders>
            <w:gridSpan w:val="2"/>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9.73</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526,839</w:t>
            </w:r>
          </w:p>
        </w:tc>
        <w:tc>
          <w:tcPr>
            <w:tcW w:w="11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Vested and expected to vest, December 31, 2025</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526,839</w:t>
            </w:r>
          </w:p>
        </w:tc>
        <w:tc>
          <w:tcPr>
            <w:tcW w:w="110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346,922</w:t>
            </w:r>
          </w:p>
        </w:tc>
        <w:tc>
          <w:tcPr>
            <w:tcW w:w="110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16" w:name="page117"/>
    <w:bookmarkEnd w:id="116"/>
    <w:p>
      <w:pPr>
        <w:jc w:val="both"/>
        <w:spacing w:after="0" w:line="246" w:lineRule="auto"/>
        <w:rPr>
          <w:sz w:val="20"/>
          <w:szCs w:val="20"/>
          <w:color w:val="auto"/>
        </w:rPr>
      </w:pPr>
      <w:r>
        <w:rPr>
          <w:rFonts w:ascii="Arial" w:cs="Arial" w:eastAsia="Arial" w:hAnsi="Arial"/>
          <w:sz w:val="18"/>
          <w:szCs w:val="18"/>
          <w:color w:val="auto"/>
        </w:rPr>
        <w:t>There were 169,570 and 55,500 stock options granted in the years ended December 31, 2025 and 2024, respectively. The weighted-average grant date fair value per share of options granted during the years ended December 31, 2025 and 2024 was $3.50 and $1.44, respectively. The intrinsic value is calculated as the difference between the fair value of the Company's common stock and the exercise price of the stock options. The aggregate intrinsic value of options exercised during the years ended December 31, 2025 and 2024 was negligible and $0.3 million, respectively. The fair value of the Company's common stock was $ 6.08 and $4.10 per share at December 31, 2025 and 2024, respectively. As of December 31, 2025, total unrecognized compensation cost related to option awards was $0.4 million, which is expected to be recognized over a remaining weighted-average vesting period of 2.2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September 2019, the Board adopted, and the Company's stockholders approved, the ESPP. The ESPP became effective on the day the ESPP was adopted by the Board. The ESPP permits participants to purchase shares of the Company's common stock through payroll deductions of up to 20.0% of their eligible compensation. The number of shares of the Company's common stock available for issuance under the ESPP will be annually increased on the first day of each calendar year during the term of the ESPP through January 1, 2029 in an amount equal to the lesser of (i) 1.0% of the outstanding capital stock on each December 31st, or (ii) such lesser amount determined by the Board. During the year ended December 31, 2025, a total of 157,339 shares of the Company's common stock were issued under the ESPP. As of December 31, 2025, 542,808 shares of the Company's common stock remained available for issuance under the ESPP. Pursuant to the evergreen provision, on January 1, 2026, an additional 229,115 shares of the Company's common stock became available for issuance under the ESPP.</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Stock-based compensation expense related to the ESPP for the years ended December 31, 2025 and 2024 was approximately $0.3 million and $ 0.1 million, respectively. As of December 31, 2025, total unrecognized compensation cost related to stock purchase rights granted under the ESPP was less than $0.1 million, which is expected to be recognized over a remaining weighted-average vesting period of 0.2 years.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RSUs granted and stock purchase rights granted under the ESPP in the statements of operations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r>
      <w:tr>
        <w:trPr>
          <w:trHeight w:val="196"/>
        </w:trPr>
        <w:tc>
          <w:tcPr>
            <w:tcW w:w="79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19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198"/>
        </w:trPr>
        <w:tc>
          <w:tcPr>
            <w:tcW w:w="79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1,374</w:t>
            </w:r>
          </w:p>
        </w:tc>
      </w:tr>
      <w:tr>
        <w:trPr>
          <w:trHeight w:val="207"/>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92"/>
        </w:trPr>
        <w:tc>
          <w:tcPr>
            <w:tcW w:w="7940" w:type="dxa"/>
            <w:vAlign w:val="bottom"/>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w:t>
            </w:r>
          </w:p>
        </w:tc>
      </w:tr>
      <w:tr>
        <w:trPr>
          <w:trHeight w:val="25"/>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Common stock reserved for future issuance consists of the following at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819,356</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option grants issued and outstanding</w:t>
            </w:r>
          </w:p>
        </w:tc>
        <w:tc>
          <w:tcPr>
            <w:tcW w:w="2240" w:type="dxa"/>
            <w:vAlign w:val="bottom"/>
          </w:tcPr>
          <w:p>
            <w:pPr>
              <w:jc w:val="right"/>
              <w:spacing w:after="0"/>
              <w:rPr>
                <w:sz w:val="20"/>
                <w:szCs w:val="20"/>
                <w:color w:val="auto"/>
              </w:rPr>
            </w:pPr>
            <w:r>
              <w:rPr>
                <w:rFonts w:ascii="Arial" w:cs="Arial" w:eastAsia="Arial" w:hAnsi="Arial"/>
                <w:sz w:val="14"/>
                <w:szCs w:val="14"/>
                <w:color w:val="auto"/>
              </w:rPr>
              <w:t>526,839</w:t>
            </w: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reserved for issuance upon vesting of outstanding restricted stock units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1,795,639</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Common stock available for grant under the 2019 Plan</w:t>
            </w:r>
          </w:p>
        </w:tc>
        <w:tc>
          <w:tcPr>
            <w:tcW w:w="2240" w:type="dxa"/>
            <w:vAlign w:val="bottom"/>
          </w:tcPr>
          <w:p>
            <w:pPr>
              <w:jc w:val="right"/>
              <w:spacing w:after="0"/>
              <w:rPr>
                <w:sz w:val="20"/>
                <w:szCs w:val="20"/>
                <w:color w:val="auto"/>
              </w:rPr>
            </w:pPr>
            <w:r>
              <w:rPr>
                <w:rFonts w:ascii="Arial" w:cs="Arial" w:eastAsia="Arial" w:hAnsi="Arial"/>
                <w:sz w:val="14"/>
                <w:szCs w:val="14"/>
                <w:color w:val="auto"/>
              </w:rPr>
              <w:t>2,274,550</w:t>
            </w:r>
          </w:p>
        </w:tc>
      </w:tr>
      <w:tr>
        <w:trPr>
          <w:trHeight w:val="203"/>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available for future issuance under ESPP</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542,808</w:t>
            </w:r>
          </w:p>
        </w:tc>
      </w:tr>
      <w:tr>
        <w:trPr>
          <w:trHeight w:val="200"/>
        </w:trPr>
        <w:tc>
          <w:tcPr>
            <w:tcW w:w="9000" w:type="dxa"/>
            <w:vAlign w:val="bottom"/>
          </w:tcPr>
          <w:p>
            <w:pPr>
              <w:ind w:left="24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5,959,192</w:t>
            </w:r>
          </w:p>
        </w:tc>
      </w:tr>
      <w:tr>
        <w:trPr>
          <w:trHeight w:val="20"/>
        </w:trPr>
        <w:tc>
          <w:tcPr>
            <w:tcW w:w="90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10.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r>
      <w:tr>
        <w:trPr>
          <w:trHeight w:val="184"/>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1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current</w:t>
            </w:r>
          </w:p>
        </w:tc>
        <w:tc>
          <w:tcPr>
            <w:tcW w:w="128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Federal</w:t>
            </w:r>
          </w:p>
        </w:tc>
        <w:tc>
          <w:tcPr>
            <w:tcW w:w="128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State</w:t>
            </w:r>
          </w:p>
        </w:tc>
        <w:tc>
          <w:tcPr>
            <w:tcW w:w="1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deferred</w:t>
            </w:r>
          </w:p>
        </w:tc>
        <w:tc>
          <w:tcPr>
            <w:tcW w:w="128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7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80" w:type="dxa"/>
            <w:vAlign w:val="bottom"/>
            <w:tcBorders>
              <w:top w:val="single" w:sz="8" w:color="auto"/>
              <w:bottom w:val="single" w:sz="8" w:color="auto"/>
            </w:tcBorders>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28"/>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losses before income taxes for the years ended December 31, 2025 and 2024 were generated solely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 (in thousands, except percentages):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196"/>
        </w:trPr>
        <w:tc>
          <w:tcPr>
            <w:tcW w:w="46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388"/>
              <w:spacing w:after="0"/>
              <w:rPr>
                <w:sz w:val="20"/>
                <w:szCs w:val="20"/>
                <w:color w:val="auto"/>
              </w:rPr>
            </w:pPr>
            <w:r>
              <w:rPr>
                <w:rFonts w:ascii="Arial" w:cs="Arial" w:eastAsia="Arial" w:hAnsi="Arial"/>
                <w:sz w:val="14"/>
                <w:szCs w:val="14"/>
                <w:b w:val="1"/>
                <w:bCs w:val="1"/>
                <w:color w:val="auto"/>
                <w:w w:val="96"/>
              </w:rPr>
              <w:t>2024</w:t>
            </w:r>
          </w:p>
        </w:tc>
      </w:tr>
      <w:tr>
        <w:trPr>
          <w:trHeight w:val="197"/>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statutory tax rate</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4"/>
                <w:szCs w:val="14"/>
                <w:color w:val="auto"/>
              </w:rPr>
              <w:t>State and local income taxes, net of federal income tax effect</w:t>
            </w:r>
            <w:r>
              <w:rPr>
                <w:rFonts w:ascii="Arial" w:cs="Arial" w:eastAsia="Arial" w:hAnsi="Arial"/>
                <w:sz w:val="18"/>
                <w:szCs w:val="18"/>
                <w:color w:val="auto"/>
                <w:vertAlign w:val="superscript"/>
              </w:rPr>
              <w:t>(1)</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(0.1)%</w:t>
            </w: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Enactment of new tax laws</w:t>
            </w:r>
          </w:p>
        </w:tc>
        <w:tc>
          <w:tcPr>
            <w:tcW w:w="5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8"/>
        </w:trPr>
        <w:tc>
          <w:tcPr>
            <w:tcW w:w="464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7"/>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54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98"/>
        </w:trPr>
        <w:tc>
          <w:tcPr>
            <w:tcW w:w="4640" w:type="dxa"/>
            <w:vAlign w:val="bottom"/>
          </w:tcPr>
          <w:p>
            <w:pPr>
              <w:ind w:left="20"/>
              <w:spacing w:after="0"/>
              <w:rPr>
                <w:sz w:val="20"/>
                <w:szCs w:val="20"/>
                <w:color w:val="auto"/>
              </w:rPr>
            </w:pPr>
            <w:r>
              <w:rPr>
                <w:rFonts w:ascii="Arial" w:cs="Arial" w:eastAsia="Arial" w:hAnsi="Arial"/>
                <w:sz w:val="14"/>
                <w:szCs w:val="14"/>
                <w:color w:val="auto"/>
              </w:rPr>
              <w:t>Change in valuation allowance</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3,300</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1,926</w:t>
            </w: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(12.8)%</w:t>
            </w: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items:</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4"/>
                <w:szCs w:val="14"/>
                <w:color w:val="auto"/>
              </w:rPr>
              <w:t>Stock compensation</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0.4 %</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882</w:t>
            </w: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(5.8)%</w:t>
            </w:r>
          </w:p>
        </w:tc>
      </w:tr>
      <w:tr>
        <w:trPr>
          <w:trHeight w:val="206"/>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Warrant liability</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8"/>
        </w:trPr>
        <w:tc>
          <w:tcPr>
            <w:tcW w:w="4640" w:type="dxa"/>
            <w:vAlign w:val="bottom"/>
          </w:tcPr>
          <w:p>
            <w:pPr>
              <w:ind w:left="240"/>
              <w:spacing w:after="0"/>
              <w:rPr>
                <w:sz w:val="20"/>
                <w:szCs w:val="20"/>
                <w:color w:val="auto"/>
              </w:rPr>
            </w:pPr>
            <w:r>
              <w:rPr>
                <w:rFonts w:ascii="Arial" w:cs="Arial" w:eastAsia="Arial" w:hAnsi="Arial"/>
                <w:sz w:val="14"/>
                <w:szCs w:val="14"/>
                <w:color w:val="auto"/>
              </w:rPr>
              <w:t>Entertainment</w:t>
            </w: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379</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w:t>
            </w: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(1.9)%</w:t>
            </w:r>
          </w:p>
        </w:tc>
      </w:tr>
      <w:tr>
        <w:trPr>
          <w:trHeight w:val="207"/>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98"/>
        </w:trPr>
        <w:tc>
          <w:tcPr>
            <w:tcW w:w="4640" w:type="dxa"/>
            <w:vAlign w:val="bottom"/>
          </w:tcPr>
          <w:p>
            <w:pPr>
              <w:ind w:left="20"/>
              <w:spacing w:after="0"/>
              <w:rPr>
                <w:sz w:val="20"/>
                <w:szCs w:val="20"/>
                <w:color w:val="auto"/>
              </w:rPr>
            </w:pPr>
            <w:r>
              <w:rPr>
                <w:rFonts w:ascii="Arial" w:cs="Arial" w:eastAsia="Arial" w:hAnsi="Arial"/>
                <w:sz w:val="14"/>
                <w:szCs w:val="14"/>
                <w:color w:val="auto"/>
              </w:rPr>
              <w:t>Changes in unrecognized tax benefits</w:t>
            </w:r>
          </w:p>
        </w:tc>
        <w:tc>
          <w:tcPr>
            <w:tcW w:w="540" w:type="dxa"/>
            <w:vAlign w:val="bottom"/>
          </w:tcPr>
          <w:p>
            <w:pPr>
              <w:spacing w:after="0"/>
              <w:rPr>
                <w:sz w:val="17"/>
                <w:szCs w:val="17"/>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adjustments</w:t>
            </w: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7"/>
                <w:szCs w:val="17"/>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w:t>
            </w:r>
          </w:p>
        </w:tc>
        <w:tc>
          <w:tcPr>
            <w:tcW w:w="1780" w:type="dxa"/>
            <w:vAlign w:val="bottom"/>
            <w:gridSpan w:val="3"/>
          </w:tcPr>
          <w:p>
            <w:pPr>
              <w:jc w:val="right"/>
              <w:spacing w:after="0"/>
              <w:rPr>
                <w:sz w:val="20"/>
                <w:szCs w:val="20"/>
                <w:color w:val="auto"/>
              </w:rPr>
            </w:pPr>
            <w:r>
              <w:rPr>
                <w:rFonts w:ascii="Arial" w:cs="Arial" w:eastAsia="Arial" w:hAnsi="Arial"/>
                <w:sz w:val="14"/>
                <w:szCs w:val="14"/>
                <w:color w:val="auto"/>
              </w:rPr>
              <w:t>(0.1)%</w:t>
            </w:r>
          </w:p>
        </w:tc>
      </w:tr>
      <w:tr>
        <w:trPr>
          <w:trHeight w:val="20"/>
        </w:trPr>
        <w:tc>
          <w:tcPr>
            <w:tcW w:w="4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(1) In 2025 and 2024, state and local income taxes in Texas made up the majority (greater than 50%) of the tax effect in this category.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8" w:name="page119"/>
    <w:bookmarkEnd w:id="118"/>
    <w:p>
      <w:pPr>
        <w:jc w:val="both"/>
        <w:spacing w:after="0" w:line="261" w:lineRule="auto"/>
        <w:rPr>
          <w:sz w:val="20"/>
          <w:szCs w:val="20"/>
          <w:color w:val="auto"/>
        </w:rPr>
      </w:pPr>
      <w:r>
        <w:rPr>
          <w:rFonts w:ascii="Arial" w:cs="Arial" w:eastAsia="Arial" w:hAnsi="Arial"/>
          <w:sz w:val="18"/>
          <w:szCs w:val="18"/>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 Significant components of the Company’s deferred tax assets at December 31, 2025 and 2024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83"/>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Net operating loss carryforwards</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39,775</w:t>
            </w:r>
          </w:p>
        </w:tc>
        <w:tc>
          <w:tcPr>
            <w:tcW w:w="140" w:type="dxa"/>
            <w:vAlign w:val="bottom"/>
          </w:tcPr>
          <w:p>
            <w:pPr>
              <w:spacing w:after="0"/>
              <w:rPr>
                <w:sz w:val="17"/>
                <w:szCs w:val="17"/>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35,348</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Research and development tax credits</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2,360</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Accruals, reserves and other</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917</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955</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3,572</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Indefinite lived assets</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 compensation</w:t>
            </w: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596</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1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1,084</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681</w:t>
            </w:r>
          </w:p>
        </w:tc>
      </w:tr>
      <w:tr>
        <w:trPr>
          <w:trHeight w:val="206"/>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Capitalization of research and experimentation costs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1,894</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2,942</w:t>
            </w:r>
          </w:p>
        </w:tc>
      </w:tr>
      <w:tr>
        <w:trPr>
          <w:trHeight w:val="192"/>
        </w:trPr>
        <w:tc>
          <w:tcPr>
            <w:tcW w:w="7580" w:type="dxa"/>
            <w:vAlign w:val="bottom"/>
          </w:tcPr>
          <w:p>
            <w:pPr>
              <w:ind w:left="460"/>
              <w:spacing w:after="0"/>
              <w:rPr>
                <w:sz w:val="20"/>
                <w:szCs w:val="20"/>
                <w:color w:val="auto"/>
              </w:rPr>
            </w:pPr>
            <w:r>
              <w:rPr>
                <w:rFonts w:ascii="Arial" w:cs="Arial" w:eastAsia="Arial" w:hAnsi="Arial"/>
                <w:sz w:val="14"/>
                <w:szCs w:val="14"/>
                <w:color w:val="auto"/>
              </w:rPr>
              <w:t>Total gross deferred tax assets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50,391</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45,945</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valuation allowance</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(49,211)</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(45,237)</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assets, net</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1,180</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r>
      <w:tr>
        <w:trPr>
          <w:trHeight w:val="18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Right of use assets</w:t>
            </w: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(1,039)</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Basis differences in fixed and intangible assets</w:t>
            </w:r>
          </w:p>
        </w:tc>
        <w:tc>
          <w:tcPr>
            <w:tcW w:w="1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4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92"/>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liabilities</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r>
      <w:tr>
        <w:trPr>
          <w:trHeight w:val="22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Company accounts for deferred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which requires that the tax benefit of net operating losses (NOLs),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is currently not likely to be realized and, accordingly, has provided a valuation allowance.</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Changes in the valuation allowance for deferred tax assets during the years ended December 31, 2025 and 2024, which related primarily to increases in NOL carryforwards, research and development tax credits, and capitalization of research and experimentation costs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the beginning of the year</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45,237</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42,942</w:t>
            </w:r>
          </w:p>
        </w:tc>
      </w:tr>
      <w:tr>
        <w:trPr>
          <w:trHeight w:val="198"/>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Increases recorded to income tax provision</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3,974</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w:t>
            </w:r>
          </w:p>
        </w:tc>
      </w:tr>
      <w:tr>
        <w:trPr>
          <w:trHeight w:val="225"/>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Valuation allowance at the end of the year</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49,211</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45,237</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the Company had federal NOL carryforwards of approximately $ 115.7 million, which do not expire, federal NOL carryforwards of $43.5 million, which begin to expire in 2026, and state NOL carryforwards of $113.2 million, which begin to expire in 2030.</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the Company had U.S. federal and California tax credits of approximately $1.4 million and $1.2 million, respectively. The federal tax credits begin to expire in 2026, while the California tax credits do not expire.</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2025,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19" w:name="page120"/>
    <w:bookmarkEnd w:id="119"/>
    <w:p>
      <w:pPr>
        <w:jc w:val="both"/>
        <w:spacing w:after="0" w:line="247" w:lineRule="auto"/>
        <w:rPr>
          <w:sz w:val="20"/>
          <w:szCs w:val="20"/>
          <w:color w:val="auto"/>
        </w:rPr>
      </w:pPr>
      <w:r>
        <w:rPr>
          <w:rFonts w:ascii="Arial" w:cs="Arial" w:eastAsia="Arial" w:hAnsi="Arial"/>
          <w:sz w:val="18"/>
          <w:szCs w:val="18"/>
          <w:color w:val="auto"/>
        </w:rPr>
        <w:t>2012, 2017 and 2019. Based on the analysis, $55.0 million of the Company's tax attribute carryforwards through December 31, 2017 cannot be utilized under IRC Section 382. The Company's ability to utilize NOL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subject to taxation in the United States and in various state jurisdictions. The Company’s tax years for 2006 and forward are subject to examination by the U.S. and state tax authorities due to the carryforward of unutilized NOLs and research and development credits.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recognizes interest and/or penalties related to income tax matters in its provision for income taxes. The Company does not have any material accruals for, and did not recognize any, material interest or penalties in these financial statements in any period presented.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the Company had no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income tax payments made for the years ended December 31, 2025 and 2024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196"/>
        </w:trPr>
        <w:tc>
          <w:tcPr>
            <w:tcW w:w="75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7"/>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580" w:type="dxa"/>
            <w:vAlign w:val="bottom"/>
          </w:tcPr>
          <w:p>
            <w:pPr>
              <w:ind w:left="20"/>
              <w:spacing w:after="0"/>
              <w:rPr>
                <w:sz w:val="20"/>
                <w:szCs w:val="20"/>
                <w:color w:val="auto"/>
              </w:rPr>
            </w:pPr>
            <w:r>
              <w:rPr>
                <w:rFonts w:ascii="Arial" w:cs="Arial" w:eastAsia="Arial" w:hAnsi="Arial"/>
                <w:sz w:val="14"/>
                <w:szCs w:val="14"/>
                <w:b w:val="1"/>
                <w:bCs w:val="1"/>
                <w:color w:val="auto"/>
              </w:rPr>
              <w:t>State and local:</w:t>
            </w: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Texas</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South Carolina</w:t>
            </w:r>
          </w:p>
        </w:tc>
        <w:tc>
          <w:tcPr>
            <w:tcW w:w="120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New York</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7580" w:type="dxa"/>
            <w:vAlign w:val="bottom"/>
          </w:tcPr>
          <w:p>
            <w:pPr>
              <w:ind w:left="240"/>
              <w:spacing w:after="0"/>
              <w:rPr>
                <w:sz w:val="20"/>
                <w:szCs w:val="20"/>
                <w:color w:val="auto"/>
              </w:rPr>
            </w:pPr>
            <w:r>
              <w:rPr>
                <w:rFonts w:ascii="Arial" w:cs="Arial" w:eastAsia="Arial" w:hAnsi="Arial"/>
                <w:sz w:val="14"/>
                <w:szCs w:val="14"/>
                <w:color w:val="auto"/>
              </w:rPr>
              <w:t>New Jersey</w:t>
            </w:r>
          </w:p>
        </w:tc>
        <w:tc>
          <w:tcPr>
            <w:tcW w:w="12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75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Tennessee</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758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25"/>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paid</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4, 2025, the One Big Beautiful Bill Act (OBBBA) was enacted by the U.S. government. The OBBBA includes significant provisions, such as the permanent extension of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determined that the OBBBA does not have a material impact on its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401(k)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each of the years ended December 31, 2025 and 2024, the Company made contributions to the 401(k) Plan at 4% of qualified employee compensation. For the years ended December 31, 2025 and 2024, these contributions totaled approximately $1.0 million and $0.8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Reporting</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(CODM) in making decisions regarding resource allocation and assessing performance. The Company views its operations as, and manages its business in, one operating segment focused on the design, development and commercialization of testing products which allow for the differential diagnosis, prognosis and monitoring of complex rheumatic, autoimmune and autoimmune-related disease. Segment revenue is primarily derived from the sale of the Company’s testing products, most of which is attributable to its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20" w:name="page121"/>
    <w:bookmarkEnd w:id="120"/>
    <w:p>
      <w:pPr>
        <w:jc w:val="both"/>
        <w:spacing w:after="0" w:line="247" w:lineRule="auto"/>
        <w:rPr>
          <w:sz w:val="20"/>
          <w:szCs w:val="20"/>
          <w:color w:val="auto"/>
        </w:rPr>
      </w:pPr>
      <w:r>
        <w:rPr>
          <w:rFonts w:ascii="Arial" w:cs="Arial" w:eastAsia="Arial" w:hAnsi="Arial"/>
          <w:sz w:val="18"/>
          <w:szCs w:val="18"/>
          <w:color w:val="auto"/>
        </w:rPr>
        <w:t>The Company’s CODM is its Chief Executive Officer. The CODM assesses performance for the segment and decides how to allocate resources based on revenue and net loss as reported on the statements of operations, after taking into account the Company’s strategic priorities, its cash balance and its expected use of cash. The CODM considers budget/forecast versus actual results on a quarterly basis when making decisions about the allocation of resources. The measure of segment assets is reported on the balance sheet as total assets and were $58.0 million and $44.7 million for the years ended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net loss, including significant segment expenses regularly provided to the CODM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8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84"/>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r>
      <w:tr>
        <w:trPr>
          <w:trHeight w:val="19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r>
      <w:tr>
        <w:trPr>
          <w:trHeight w:val="178"/>
        </w:trPr>
        <w:tc>
          <w:tcPr>
            <w:tcW w:w="8360" w:type="dxa"/>
            <w:vAlign w:val="bottom"/>
          </w:tcPr>
          <w:p>
            <w:pPr>
              <w:ind w:left="20"/>
              <w:spacing w:after="0"/>
              <w:rPr>
                <w:sz w:val="20"/>
                <w:szCs w:val="20"/>
                <w:color w:val="auto"/>
              </w:rPr>
            </w:pPr>
            <w:r>
              <w:rPr>
                <w:rFonts w:ascii="Arial" w:cs="Arial" w:eastAsia="Arial" w:hAnsi="Arial"/>
                <w:sz w:val="14"/>
                <w:szCs w:val="14"/>
                <w:color w:val="auto"/>
              </w:rPr>
              <w:t>Segment operating expenses: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Employee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27,753</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Outside services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4,253</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Facilities related</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Travel &amp; entertainment</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2,440</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 compensation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w:t>
            </w:r>
          </w:p>
        </w:tc>
      </w:tr>
      <w:tr>
        <w:trPr>
          <w:trHeight w:val="198"/>
        </w:trPr>
        <w:tc>
          <w:tcPr>
            <w:tcW w:w="836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1,041</w:t>
            </w:r>
          </w:p>
        </w:tc>
      </w:tr>
      <w:tr>
        <w:trPr>
          <w:trHeight w:val="207"/>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5,983</w:t>
            </w:r>
          </w:p>
        </w:tc>
      </w:tr>
      <w:tr>
        <w:trPr>
          <w:trHeight w:val="192"/>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segment operating expenses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52,869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46,748</w:t>
            </w: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(13,636)</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(2,234)</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(15,103)</w:t>
            </w:r>
          </w:p>
        </w:tc>
      </w:tr>
      <w:tr>
        <w:trPr>
          <w:trHeight w:val="20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Segment net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(15,115)</w:t>
            </w:r>
          </w:p>
        </w:tc>
      </w:tr>
      <w:tr>
        <w:trPr>
          <w:trHeight w:val="25"/>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right="120" w:firstLine="8"/>
        <w:spacing w:after="0" w:line="222" w:lineRule="auto"/>
        <w:tabs>
          <w:tab w:leader="none" w:pos="92"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Other segment items included in Segment net loss include insurance expenses, trade show and conference expenses, fulfillment expenses, board compensation, clinical trial expenses, collaboration expenses and bank fees, among others.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Exercise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June 22, 2021, the Company entered into an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On January 15, 2026, all outstanding Exchange Warrants were exercised by the holders on a cashless basis and the Company issued a total of 804,788 shares of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Amendment</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March 6, 2026, the Company and Perceptive entered into a first amendment to the Credit Agreement. This amendment, among other changes, terminated the Tranche C Term Loan Commitment (as defined therein), extended the availability of the $10.0 million Tranche B Term Loan (as defined therein) to September 30, 2026, increased the trailing twelve month net revenue milestone applicable to the Tranche B Borrowing Date (as defined therein), and revised certain financial covenant thresholds. The first amendment did not change the stated maturity of the existing term loans and reaffirmed the existing liens and guarantees securing the credit facility. As a result of this amendment, the number of shares of common stock subject to future vesting pursuant to the Warrant Certificate has been reduced from up to 750,000 shares of common stock to up to 600,000 shares of common stock will vest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and become exercisable if and when the remaining additional debt tranches (Tranche B and/or Tranche D) are drawn by the Company.</w:t>
      </w:r>
    </w:p>
    <w:p>
      <w:pPr>
        <w:sectPr>
          <w:pgSz w:w="11900" w:h="16838" w:orient="portrait"/>
          <w:cols w:equalWidth="0" w:num="1">
            <w:col w:w="10720"/>
          </w:cols>
          <w:pgMar w:left="320" w:top="1052" w:right="8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F-29</w:t>
      </w:r>
    </w:p>
    <w:p>
      <w:pPr>
        <w:sectPr>
          <w:pgSz w:w="11900" w:h="16838" w:orient="portrait"/>
          <w:cols w:equalWidth="0" w:num="1">
            <w:col w:w="10720"/>
          </w:cols>
          <w:pgMar w:left="320" w:top="1052" w:right="859" w:bottom="1440" w:gutter="0" w:footer="0" w:header="0"/>
          <w:type w:val="continuous"/>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b w:val="1"/>
          <w:bCs w:val="1"/>
          <w:color w:val="auto"/>
        </w:rPr>
        <w:t>Exhibit 10.43</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Credit Agreement and Guaranty</w:t>
      </w:r>
    </w:p>
    <w:p>
      <w:pPr>
        <w:spacing w:after="0" w:line="21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This First Amendment to Credit Agreement and Guaranty (herein,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is entered into as of March 6, 2026 (the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Amendment Effective Date</w:t>
      </w:r>
      <w:r>
        <w:rPr>
          <w:rFonts w:ascii="Times New Roman" w:cs="Times New Roman" w:eastAsia="Times New Roman" w:hAnsi="Times New Roman"/>
          <w:sz w:val="20"/>
          <w:szCs w:val="20"/>
          <w:color w:val="auto"/>
        </w:rPr>
        <w:t>”), by and among Exagen Inc., a Delaware corporation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the Lenders party hereto constituting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Majority Lenders and Perceptive Credit Holdings IV, LP, a Delaware limited partnership, as administrative agent for the Lenders (in such capacity, together with its successors and assigns,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15" w:lineRule="exact"/>
        <w:rPr>
          <w:sz w:val="20"/>
          <w:szCs w:val="20"/>
          <w:color w:val="auto"/>
        </w:rPr>
      </w:pPr>
    </w:p>
    <w:p>
      <w:pPr>
        <w:jc w:val="both"/>
        <w:ind w:firstLine="656"/>
        <w:spacing w:after="0" w:line="268" w:lineRule="auto"/>
        <w:tabs>
          <w:tab w:leader="none" w:pos="108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have extended credit to the Borrower on the terms and conditions set forth in that certain Credit Agreement and Guaranty, dated as of April 25, 2025 (the </w:t>
      </w:r>
      <w:r>
        <w:rPr>
          <w:rFonts w:ascii="Times New Roman" w:cs="Times New Roman" w:eastAsia="Times New Roman" w:hAnsi="Times New Roman"/>
          <w:sz w:val="20"/>
          <w:szCs w:val="20"/>
          <w:i w:val="1"/>
          <w:iCs w:val="1"/>
          <w:color w:val="auto"/>
        </w:rPr>
        <w:t>“Existing Credit Agreement”</w:t>
      </w:r>
      <w:r>
        <w:rPr>
          <w:rFonts w:ascii="Times New Roman" w:cs="Times New Roman" w:eastAsia="Times New Roman" w:hAnsi="Times New Roman"/>
          <w:sz w:val="20"/>
          <w:szCs w:val="20"/>
          <w:color w:val="auto"/>
        </w:rPr>
        <w:t>; the Existing Credit Agreement as amended by this Agreement,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129"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Administrative Agent and the Lenders agree to amend certain provisions of the Existing Credit Agreement.</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to amend the Existing Credit Agreement pursuant to the terms of this Agreement.</w:t>
      </w:r>
    </w:p>
    <w:p>
      <w:pPr>
        <w:spacing w:after="0" w:line="22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is hereby acknowledged, the parties hereto agree as follows:</w:t>
      </w:r>
    </w:p>
    <w:p>
      <w:pPr>
        <w:spacing w:after="0" w:line="142" w:lineRule="exact"/>
        <w:rPr>
          <w:sz w:val="20"/>
          <w:szCs w:val="20"/>
          <w:color w:val="auto"/>
        </w:rPr>
      </w:pPr>
    </w:p>
    <w:p>
      <w:pPr>
        <w:jc w:val="both"/>
        <w:ind w:firstLine="656"/>
        <w:spacing w:after="0" w:line="263"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Incorporation of Recitals; Defined Terms. </w:t>
      </w:r>
      <w:r>
        <w:rPr>
          <w:rFonts w:ascii="Times New Roman" w:cs="Times New Roman" w:eastAsia="Times New Roman" w:hAnsi="Times New Roman"/>
          <w:sz w:val="20"/>
          <w:szCs w:val="20"/>
          <w:color w:val="auto"/>
        </w:rPr>
        <w:t>The parties hereto acknowledge that the Recitals set forth above are true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correct in all material respects. The defined terms in the Recitals set forth above are hereby incorporated into this Agreement by reference. All other capitalized terms used herein without definition shall have the same meanings herein as such terms have in the Credit Agreement.</w:t>
      </w:r>
    </w:p>
    <w:p>
      <w:pPr>
        <w:spacing w:after="0" w:line="175" w:lineRule="exact"/>
        <w:rPr>
          <w:rFonts w:ascii="Times New Roman" w:cs="Times New Roman" w:eastAsia="Times New Roman" w:hAnsi="Times New Roman"/>
          <w:sz w:val="20"/>
          <w:szCs w:val="20"/>
          <w:color w:val="auto"/>
        </w:rPr>
      </w:pPr>
    </w:p>
    <w:p>
      <w:pPr>
        <w:jc w:val="both"/>
        <w:ind w:firstLine="656"/>
        <w:spacing w:after="0" w:line="260"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First Amendment to Existing Credit Agreement</w:t>
      </w:r>
      <w:r>
        <w:rPr>
          <w:rFonts w:ascii="Times New Roman" w:cs="Times New Roman" w:eastAsia="Times New Roman" w:hAnsi="Times New Roman"/>
          <w:sz w:val="20"/>
          <w:szCs w:val="20"/>
          <w:color w:val="auto"/>
        </w:rPr>
        <w:t>. Upon satisfaction of the conditions set forth in Section 5 hereof,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the Lenders and the Administrative Agent hereby agree that the Existing Credit Agreement is hereby amended to incorporate the changes reflected in the pages of Annex A hereto. Attached hereto as Annex B is a clean draft incorporating the changes in Annex A. Schedule 1 to the Existing Credit Agreement is hereby amended and replaced in its entirety with Schedule 1 attached hereto as Annex C.</w:t>
      </w:r>
    </w:p>
    <w:p>
      <w:pPr>
        <w:spacing w:after="0" w:line="164" w:lineRule="exact"/>
        <w:rPr>
          <w:rFonts w:ascii="Times New Roman" w:cs="Times New Roman" w:eastAsia="Times New Roman" w:hAnsi="Times New Roman"/>
          <w:sz w:val="20"/>
          <w:szCs w:val="20"/>
          <w:color w:val="auto"/>
        </w:rPr>
      </w:pPr>
    </w:p>
    <w:p>
      <w:pPr>
        <w:jc w:val="both"/>
        <w:ind w:firstLine="656"/>
        <w:spacing w:after="0" w:line="258"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Acknowledgement of Liens</w:t>
      </w:r>
      <w:r>
        <w:rPr>
          <w:rFonts w:ascii="Times New Roman" w:cs="Times New Roman" w:eastAsia="Times New Roman" w:hAnsi="Times New Roman"/>
          <w:sz w:val="20"/>
          <w:szCs w:val="20"/>
          <w:color w:val="auto"/>
        </w:rPr>
        <w:t>. The Borrower hereby acknowledges and agrees that the Obligations owing to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and the Lenders arising out of or in any manner relating to the Loan Documents shall continue to be secured by the Liens granted as security therefor in the Loan Documents, to the extent provided for in the Loan Documents heretofore executed and delivered by the Borrower; and nothing herein contained shall in any manner affect or impair the priority of the Liens created and provided for thereby as to the indebtedness, obligations, and liabilities which would be secured thereby prior to giving effect to this Agreement.</w:t>
      </w:r>
    </w:p>
    <w:p>
      <w:pPr>
        <w:spacing w:after="0" w:line="167" w:lineRule="exact"/>
        <w:rPr>
          <w:rFonts w:ascii="Times New Roman" w:cs="Times New Roman" w:eastAsia="Times New Roman" w:hAnsi="Times New Roman"/>
          <w:sz w:val="20"/>
          <w:szCs w:val="20"/>
          <w:color w:val="auto"/>
        </w:rPr>
      </w:pPr>
    </w:p>
    <w:p>
      <w:pPr>
        <w:ind w:firstLine="656"/>
        <w:spacing w:after="0" w:line="287" w:lineRule="auto"/>
        <w:tabs>
          <w:tab w:leader="none" w:pos="129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Representations And Warranties. </w:t>
      </w:r>
      <w:r>
        <w:rPr>
          <w:rFonts w:ascii="Times New Roman" w:cs="Times New Roman" w:eastAsia="Times New Roman" w:hAnsi="Times New Roman"/>
          <w:sz w:val="20"/>
          <w:szCs w:val="20"/>
          <w:color w:val="auto"/>
        </w:rPr>
        <w:t>In order to induce the Administrative Agent and the Lenders to enter into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Borrower hereby represents and warrants to the Administrative Agent and the Lenders as follows:</w:t>
      </w:r>
    </w:p>
    <w:p>
      <w:pPr>
        <w:sectPr>
          <w:pgSz w:w="11900" w:h="16838" w:orient="portrait"/>
          <w:cols w:equalWidth="0" w:num="1">
            <w:col w:w="11240"/>
          </w:cols>
          <w:pgMar w:left="320" w:top="1409" w:right="339" w:bottom="1440" w:gutter="0" w:footer="0" w:header="0"/>
        </w:sectPr>
      </w:pPr>
    </w:p>
    <w:bookmarkStart w:id="123" w:name="page124"/>
    <w:bookmarkEnd w:id="123"/>
    <w:p>
      <w:pPr>
        <w:jc w:val="both"/>
        <w:ind w:left="660" w:firstLine="644"/>
        <w:spacing w:after="0" w:line="253" w:lineRule="auto"/>
        <w:tabs>
          <w:tab w:leader="none" w:pos="1947"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this Agreement, the representations and warranties of the Borrower contained in Article 7 of the Credit Agreement and in each other Loan Document shall be true and correct in all material respects on and as of the date hereof;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to the extent that such representations and warranties specifically refer to an earlier date, they shall be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all material respects as of such earlier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192" w:lineRule="exact"/>
        <w:rPr>
          <w:rFonts w:ascii="Times New Roman" w:cs="Times New Roman" w:eastAsia="Times New Roman" w:hAnsi="Times New Roman"/>
          <w:sz w:val="20"/>
          <w:szCs w:val="20"/>
          <w:color w:val="auto"/>
        </w:rPr>
      </w:pPr>
    </w:p>
    <w:p>
      <w:pPr>
        <w:ind w:left="660" w:firstLine="644"/>
        <w:spacing w:after="0" w:line="269" w:lineRule="auto"/>
        <w:tabs>
          <w:tab w:leader="none" w:pos="195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has been duly authorized by all necessary corporate action on the part of, and duly executed and delivered by, the Borrower.</w:t>
      </w:r>
    </w:p>
    <w:p>
      <w:pPr>
        <w:spacing w:after="0" w:line="172" w:lineRule="exact"/>
        <w:rPr>
          <w:rFonts w:ascii="Times New Roman" w:cs="Times New Roman" w:eastAsia="Times New Roman" w:hAnsi="Times New Roman"/>
          <w:sz w:val="20"/>
          <w:szCs w:val="20"/>
          <w:color w:val="auto"/>
        </w:rPr>
      </w:pPr>
    </w:p>
    <w:p>
      <w:pPr>
        <w:ind w:left="660" w:firstLine="644"/>
        <w:spacing w:after="0" w:line="269" w:lineRule="auto"/>
        <w:tabs>
          <w:tab w:leader="none" w:pos="195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shall occur and be continuing immediately after giving effect to this Agreement.</w:t>
      </w:r>
    </w:p>
    <w:p>
      <w:pPr>
        <w:spacing w:after="0" w:line="168" w:lineRule="exact"/>
        <w:rPr>
          <w:rFonts w:ascii="Times New Roman" w:cs="Times New Roman" w:eastAsia="Times New Roman" w:hAnsi="Times New Roman"/>
          <w:sz w:val="20"/>
          <w:szCs w:val="20"/>
          <w:color w:val="auto"/>
        </w:rPr>
      </w:pPr>
    </w:p>
    <w:p>
      <w:pPr>
        <w:ind w:firstLine="656"/>
        <w:spacing w:after="0" w:line="287"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Conditions Precedent. </w:t>
      </w:r>
      <w:r>
        <w:rPr>
          <w:rFonts w:ascii="Times New Roman" w:cs="Times New Roman" w:eastAsia="Times New Roman" w:hAnsi="Times New Roman"/>
          <w:sz w:val="20"/>
          <w:szCs w:val="20"/>
          <w:color w:val="auto"/>
        </w:rPr>
        <w:t>The effectiveness of this Agreement is subject to the Administrative Agent and the Lenders having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received executed counterparts of this Agreement, duly executed and delivered by the Borrower.</w:t>
      </w:r>
    </w:p>
    <w:p>
      <w:pPr>
        <w:spacing w:after="0" w:line="13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Reference to and Effect on the Loan Documents; No Novation.</w:t>
      </w:r>
    </w:p>
    <w:p>
      <w:pPr>
        <w:spacing w:after="0" w:line="233"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7"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spacing w:after="0" w:line="172" w:lineRule="exact"/>
        <w:rPr>
          <w:rFonts w:ascii="Times New Roman" w:cs="Times New Roman" w:eastAsia="Times New Roman" w:hAnsi="Times New Roman"/>
          <w:sz w:val="20"/>
          <w:szCs w:val="20"/>
          <w:color w:val="auto"/>
        </w:rPr>
      </w:pPr>
    </w:p>
    <w:p>
      <w:pPr>
        <w:ind w:left="660" w:firstLine="644"/>
        <w:spacing w:after="0" w:line="283" w:lineRule="auto"/>
        <w:tabs>
          <w:tab w:leader="none" w:pos="195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Agreement, the Credit Agreement and the other Loan Documents shall remain in full force and effect and are hereby ratified and confirmed.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5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 AGREEMENT AMONG THE PARTIES WITH RESPECT TO THE SUBJECT MATTER HEREOF AND THEREOF AND SUPERSEDE ANY AND ALL PREVIOUS AGREEMENTS AND UNDERSTANDINGS, ORAL OR WRITTEN, RELATING TO THE SUBJECT MATTER HEREOF.</w:t>
      </w:r>
    </w:p>
    <w:p>
      <w:pPr>
        <w:spacing w:after="0" w:line="195" w:lineRule="exact"/>
        <w:rPr>
          <w:rFonts w:ascii="Times New Roman" w:cs="Times New Roman" w:eastAsia="Times New Roman" w:hAnsi="Times New Roman"/>
          <w:sz w:val="20"/>
          <w:szCs w:val="20"/>
          <w:color w:val="auto"/>
        </w:rPr>
      </w:pPr>
    </w:p>
    <w:p>
      <w:pPr>
        <w:ind w:right="20" w:firstLine="656"/>
        <w:spacing w:after="0" w:line="273"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in this Agreement are included solely for convenience of reference and are not intended to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interpretation of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656"/>
        <w:spacing w:after="0" w:line="254"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THE RIGHTS AND OBLIGATIONS OF THE PARTIES HEREUNDER,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187" w:lineRule="exact"/>
        <w:rPr>
          <w:rFonts w:ascii="Times New Roman" w:cs="Times New Roman" w:eastAsia="Times New Roman" w:hAnsi="Times New Roman"/>
          <w:sz w:val="20"/>
          <w:szCs w:val="20"/>
          <w:color w:val="auto"/>
        </w:rPr>
      </w:pPr>
    </w:p>
    <w:p>
      <w:pPr>
        <w:ind w:firstLine="656"/>
        <w:spacing w:after="0" w:line="315" w:lineRule="auto"/>
        <w:tabs>
          <w:tab w:leader="none" w:pos="1351"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Incorporation of Sections 13.10 and 13.11 of the Credit Agreement</w:t>
      </w:r>
      <w:r>
        <w:rPr>
          <w:rFonts w:ascii="Times New Roman" w:cs="Times New Roman" w:eastAsia="Times New Roman" w:hAnsi="Times New Roman"/>
          <w:sz w:val="19"/>
          <w:szCs w:val="19"/>
          <w:color w:val="auto"/>
        </w:rPr>
        <w:t>. The provisions set forth in Sections 13.10 (Jurisdiction,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 of Process and Venue) and 13.11 (Waiver of Jury Trial) of the Credit Agreement shall apply to this Agreement in all respects.</w:t>
      </w:r>
    </w:p>
    <w:p>
      <w:pPr>
        <w:spacing w:after="0" w:line="115" w:lineRule="exact"/>
        <w:rPr>
          <w:rFonts w:ascii="Times New Roman" w:cs="Times New Roman" w:eastAsia="Times New Roman" w:hAnsi="Times New Roman"/>
          <w:sz w:val="19"/>
          <w:szCs w:val="19"/>
          <w:color w:val="auto"/>
        </w:rPr>
      </w:pPr>
    </w:p>
    <w:p>
      <w:pPr>
        <w:jc w:val="both"/>
        <w:ind w:firstLine="656"/>
        <w:spacing w:after="0" w:line="267" w:lineRule="auto"/>
        <w:tabs>
          <w:tab w:leader="none" w:pos="128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Counterparts</w:t>
      </w:r>
      <w:r>
        <w:rPr>
          <w:rFonts w:ascii="Times New Roman" w:cs="Times New Roman" w:eastAsia="Times New Roman" w:hAnsi="Times New Roman"/>
          <w:sz w:val="19"/>
          <w:szCs w:val="19"/>
          <w:color w:val="auto"/>
        </w:rPr>
        <w:t>. This Agreement may be executed in any number of counterparts, all of which taken together shall constitute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5" w:lineRule="exact"/>
        <w:rPr>
          <w:rFonts w:ascii="Times New Roman" w:cs="Times New Roman" w:eastAsia="Times New Roman" w:hAnsi="Times New Roman"/>
          <w:sz w:val="19"/>
          <w:szCs w:val="19"/>
          <w:color w:val="auto"/>
        </w:rPr>
      </w:pPr>
    </w:p>
    <w:p>
      <w:pPr>
        <w:jc w:val="both"/>
        <w:ind w:firstLine="656"/>
        <w:spacing w:after="0" w:line="263" w:lineRule="auto"/>
        <w:tabs>
          <w:tab w:leader="none" w:pos="127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hereof is found by a court to be invalid or unenforceable, to the fullest extent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 the parties agree that such invalidity or unenforceability shall not impair the validity or enforceability of any other provision hereof.</w:t>
      </w:r>
    </w:p>
    <w:p>
      <w:pPr>
        <w:spacing w:after="0" w:line="175" w:lineRule="exact"/>
        <w:rPr>
          <w:rFonts w:ascii="Times New Roman" w:cs="Times New Roman" w:eastAsia="Times New Roman" w:hAnsi="Times New Roman"/>
          <w:sz w:val="20"/>
          <w:szCs w:val="20"/>
          <w:color w:val="auto"/>
        </w:rPr>
      </w:pPr>
    </w:p>
    <w:p>
      <w:pPr>
        <w:ind w:firstLine="656"/>
        <w:spacing w:after="0" w:line="273" w:lineRule="auto"/>
        <w:tabs>
          <w:tab w:leader="none" w:pos="128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Binding Effect</w:t>
      </w:r>
      <w:r>
        <w:rPr>
          <w:rFonts w:ascii="Times New Roman" w:cs="Times New Roman" w:eastAsia="Times New Roman" w:hAnsi="Times New Roman"/>
          <w:sz w:val="20"/>
          <w:szCs w:val="20"/>
          <w:color w:val="auto"/>
        </w:rPr>
        <w:t>. This Agreement will be binding upon and inure to the benefit of and is enforceable by the respective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successors and permitted assigns of the parties hereto.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125" w:name="page126"/>
    <w:bookmarkEnd w:id="125"/>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3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Exagen Inc., as Borrower</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50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3192780</wp:posOffset>
            </wp:positionH>
            <wp:positionV relativeFrom="paragraph">
              <wp:posOffset>-10795</wp:posOffset>
            </wp:positionV>
            <wp:extent cx="9467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Name: Jeffrey Black</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Sixth Amendment to Credit Agreement and Guaranty]</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1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PERCEPTIVE CREDIT HOLDINGS IV, LP,</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as Agent and Lender</w:t>
      </w:r>
    </w:p>
    <w:p>
      <w:pPr>
        <w:spacing w:after="0" w:line="200" w:lineRule="exact"/>
        <w:rPr>
          <w:sz w:val="20"/>
          <w:szCs w:val="20"/>
          <w:color w:val="auto"/>
        </w:rPr>
      </w:pPr>
    </w:p>
    <w:p>
      <w:pPr>
        <w:jc w:val="right"/>
        <w:ind w:right="319"/>
        <w:spacing w:after="0"/>
        <w:tabs>
          <w:tab w:leader="none" w:pos="4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Perceptive Credit Opportunities GP, LLC, its general partner</w:t>
      </w:r>
    </w:p>
    <w:p>
      <w:pPr>
        <w:spacing w:after="0" w:line="200" w:lineRule="exact"/>
        <w:rPr>
          <w:sz w:val="20"/>
          <w:szCs w:val="20"/>
          <w:color w:val="auto"/>
        </w:rPr>
      </w:pPr>
    </w:p>
    <w:p>
      <w:pPr>
        <w:spacing w:after="0" w:line="245" w:lineRule="exact"/>
        <w:rPr>
          <w:sz w:val="20"/>
          <w:szCs w:val="20"/>
          <w:color w:val="auto"/>
        </w:rPr>
      </w:pPr>
    </w:p>
    <w:p>
      <w:pPr>
        <w:ind w:left="3420"/>
        <w:spacing w:after="0"/>
        <w:tabs>
          <w:tab w:leader="none" w:pos="3880" w:val="left"/>
        </w:tabs>
        <w:rPr>
          <w:sz w:val="20"/>
          <w:szCs w:val="20"/>
          <w:color w:val="auto"/>
        </w:rPr>
      </w:pPr>
      <w:r>
        <w:rPr>
          <w:rFonts w:ascii="Times New Roman" w:cs="Times New Roman" w:eastAsia="Times New Roman" w:hAnsi="Times New Roman"/>
          <w:sz w:val="20"/>
          <w:szCs w:val="20"/>
          <w:color w:val="auto"/>
        </w:rPr>
        <w:t>By:</w:t>
        <w:tab/>
        <w:t>/s/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-10795</wp:posOffset>
            </wp:positionV>
            <wp:extent cx="9912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spacing w:after="0" w:line="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Sandeep Dixit</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Chief Credit Officer</w:t>
      </w:r>
    </w:p>
    <w:p>
      <w:pPr>
        <w:spacing w:after="0" w:line="200" w:lineRule="exact"/>
        <w:rPr>
          <w:sz w:val="20"/>
          <w:szCs w:val="20"/>
          <w:color w:val="auto"/>
        </w:rPr>
      </w:pPr>
    </w:p>
    <w:p>
      <w:pPr>
        <w:spacing w:after="0" w:line="230" w:lineRule="exact"/>
        <w:rPr>
          <w:sz w:val="20"/>
          <w:szCs w:val="20"/>
          <w:color w:val="auto"/>
        </w:rPr>
      </w:pPr>
    </w:p>
    <w:p>
      <w:pPr>
        <w:ind w:left="3420"/>
        <w:spacing w:after="0"/>
        <w:tabs>
          <w:tab w:leader="none" w:pos="38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-10795</wp:posOffset>
            </wp:positionV>
            <wp:extent cx="914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Name: Sam Chawla</w:t>
      </w:r>
    </w:p>
    <w:p>
      <w:pPr>
        <w:spacing w:after="0" w:line="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Sixth Amendment to Credit Agreement and Guaranty]</w:t>
      </w:r>
    </w:p>
    <w:p>
      <w:pPr>
        <w:sectPr>
          <w:pgSz w:w="11900" w:h="16838" w:orient="portrait"/>
          <w:cols w:equalWidth="0" w:num="1">
            <w:col w:w="9019"/>
          </w:cols>
          <w:pgMar w:left="1440" w:top="1440"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(First Amendment – Marked Version)</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[Omitted.]</w:t>
      </w:r>
    </w:p>
    <w:p>
      <w:pPr>
        <w:sectPr>
          <w:pgSz w:w="11900" w:h="16838" w:orient="portrait"/>
          <w:cols w:equalWidth="0" w:num="1">
            <w:col w:w="9019"/>
          </w:cols>
          <w:pgMar w:left="1440" w:top="1409" w:right="1440" w:bottom="1440" w:gutter="0" w:footer="0" w:header="0"/>
        </w:sectPr>
      </w:pPr>
    </w:p>
    <w:bookmarkStart w:id="128" w:name="page129"/>
    <w:bookmarkEnd w:id="128"/>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Conformed Credit Agreement</w:t>
      </w: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(First Amendment – Clean Version)</w:t>
      </w:r>
    </w:p>
    <w:p>
      <w:pPr>
        <w:spacing w:after="0" w:line="251"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 THE IDENTIFIED INFORMATION HAS BEEN OMITTED FROM THE AGREEMENT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Credit Agreement and Guaranty</w:t>
      </w: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April 25, 2025</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among</w:t>
      </w:r>
    </w:p>
    <w:p>
      <w:pPr>
        <w:spacing w:after="0" w:line="200" w:lineRule="exact"/>
        <w:rPr>
          <w:sz w:val="20"/>
          <w:szCs w:val="20"/>
          <w:color w:val="auto"/>
        </w:rPr>
      </w:pPr>
    </w:p>
    <w:p>
      <w:pPr>
        <w:spacing w:after="0" w:line="3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Exagen Inc.,</w:t>
      </w:r>
    </w:p>
    <w:p>
      <w:pPr>
        <w:spacing w:after="0" w:line="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as the Borrower,</w:t>
      </w: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The Guarantors from Time to Time Party hereto,</w:t>
      </w:r>
    </w:p>
    <w:p>
      <w:pPr>
        <w:spacing w:after="0" w:line="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as Guarantors,</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The Lenders from Time to Time Party hereto,</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as Lenders,</w:t>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as the Administrative Agent and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16459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Conformed to reflect changes from the First Amendment to Credit Agreement and Guaranty, dated as of March 6, 2026.</w:t>
      </w:r>
    </w:p>
    <w:p>
      <w:pPr>
        <w:sectPr>
          <w:pgSz w:w="11900" w:h="16838" w:orient="portrait"/>
          <w:cols w:equalWidth="0" w:num="1">
            <w:col w:w="10880"/>
          </w:cols>
          <w:pgMar w:left="320" w:top="1409" w:right="6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86"/>
        </w:trPr>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00" w:type="dxa"/>
            <w:vAlign w:val="bottom"/>
            <w:gridSpan w:val="2"/>
          </w:tcPr>
          <w:p>
            <w:pPr>
              <w:jc w:val="right"/>
              <w:ind w:right="2012"/>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40" w:type="dxa"/>
            <w:vAlign w:val="bottom"/>
          </w:tcPr>
          <w:p>
            <w:pPr>
              <w:spacing w:after="0"/>
              <w:rPr>
                <w:sz w:val="24"/>
                <w:szCs w:val="24"/>
                <w:color w:val="auto"/>
              </w:rPr>
            </w:pPr>
          </w:p>
        </w:tc>
      </w:tr>
      <w:tr>
        <w:trPr>
          <w:trHeight w:val="470"/>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Section  Heading</w:t>
            </w:r>
          </w:p>
        </w:tc>
        <w:tc>
          <w:tcPr>
            <w:tcW w:w="7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Page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86"/>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Page</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1.01.</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Certain Defined Terms</w:t>
            </w:r>
          </w:p>
        </w:tc>
        <w:tc>
          <w:tcPr>
            <w:tcW w:w="2440" w:type="dxa"/>
            <w:vAlign w:val="bottom"/>
          </w:tcPr>
          <w:p>
            <w:pPr>
              <w:jc w:val="right"/>
              <w:ind w:right="2052"/>
              <w:spacing w:after="0"/>
              <w:rPr>
                <w:sz w:val="20"/>
                <w:szCs w:val="20"/>
                <w:color w:val="auto"/>
              </w:rPr>
            </w:pPr>
            <w:r>
              <w:rPr>
                <w:rFonts w:ascii="Times New Roman" w:cs="Times New Roman" w:eastAsia="Times New Roman" w:hAnsi="Times New Roman"/>
                <w:sz w:val="22"/>
                <w:szCs w:val="22"/>
                <w:color w:val="auto"/>
              </w:rPr>
              <w:t>1</w:t>
            </w: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1.02.</w:t>
            </w:r>
          </w:p>
        </w:tc>
        <w:tc>
          <w:tcPr>
            <w:tcW w:w="4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Accounting Terms and Principles  30</w:t>
            </w: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1.03.</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Interpretation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43"/>
        </w:trPr>
        <w:tc>
          <w:tcPr>
            <w:tcW w:w="17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1.04.</w:t>
            </w:r>
          </w:p>
        </w:tc>
        <w:tc>
          <w:tcPr>
            <w:tcW w:w="9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Divisions</w:t>
            </w:r>
          </w:p>
        </w:tc>
        <w:tc>
          <w:tcPr>
            <w:tcW w:w="760" w:type="dxa"/>
            <w:vAlign w:val="bottom"/>
            <w:gridSpan w:val="3"/>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1.05.</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Interest Rates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5"/>
        </w:trPr>
        <w:tc>
          <w:tcPr>
            <w:tcW w:w="24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Article 2 The Commitments</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32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2.01.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Term Loans</w:t>
            </w:r>
          </w:p>
        </w:tc>
        <w:tc>
          <w:tcPr>
            <w:tcW w:w="100" w:type="dxa"/>
            <w:vAlign w:val="bottom"/>
          </w:tcPr>
          <w:p>
            <w:pPr>
              <w:spacing w:after="0"/>
              <w:rPr>
                <w:sz w:val="24"/>
                <w:szCs w:val="24"/>
                <w:color w:val="auto"/>
              </w:rPr>
            </w:pPr>
          </w:p>
        </w:tc>
        <w:tc>
          <w:tcPr>
            <w:tcW w:w="3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32</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2.02.</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Proportionate Shares</w:t>
            </w:r>
          </w:p>
        </w:tc>
        <w:tc>
          <w:tcPr>
            <w:tcW w:w="244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w w:val="90"/>
              </w:rPr>
              <w:t>34</w:t>
            </w: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2.03.</w:t>
            </w:r>
          </w:p>
        </w:tc>
        <w:tc>
          <w:tcPr>
            <w:tcW w:w="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Fees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34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43"/>
        </w:trPr>
        <w:tc>
          <w:tcPr>
            <w:tcW w:w="17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2.04.</w:t>
            </w:r>
          </w:p>
        </w:tc>
        <w:tc>
          <w:tcPr>
            <w:tcW w:w="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Notes</w:t>
            </w:r>
          </w:p>
        </w:tc>
        <w:tc>
          <w:tcPr>
            <w:tcW w:w="540" w:type="dxa"/>
            <w:vAlign w:val="bottom"/>
            <w:gridSpan w:val="2"/>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2.05.</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Use of Proceeds</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34</w:t>
            </w: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4"/>
        </w:trPr>
        <w:tc>
          <w:tcPr>
            <w:tcW w:w="3860" w:type="dxa"/>
            <w:vAlign w:val="bottom"/>
            <w:gridSpan w:val="7"/>
          </w:tcPr>
          <w:p>
            <w:pPr>
              <w:spacing w:after="0"/>
              <w:rPr>
                <w:sz w:val="20"/>
                <w:szCs w:val="20"/>
                <w:color w:val="auto"/>
              </w:rPr>
            </w:pPr>
            <w:r>
              <w:rPr>
                <w:rFonts w:ascii="Times New Roman" w:cs="Times New Roman" w:eastAsia="Times New Roman" w:hAnsi="Times New Roman"/>
                <w:sz w:val="22"/>
                <w:szCs w:val="22"/>
                <w:color w:val="auto"/>
                <w:w w:val="99"/>
              </w:rPr>
              <w:t>Article 3 Payments of Principal and Interest</w:t>
            </w:r>
          </w:p>
        </w:tc>
        <w:tc>
          <w:tcPr>
            <w:tcW w:w="2440" w:type="dxa"/>
            <w:vAlign w:val="bottom"/>
          </w:tcPr>
          <w:p>
            <w:pPr>
              <w:jc w:val="right"/>
              <w:ind w:right="1952"/>
              <w:spacing w:after="0"/>
              <w:rPr>
                <w:sz w:val="20"/>
                <w:szCs w:val="20"/>
                <w:color w:val="auto"/>
              </w:rPr>
            </w:pPr>
            <w:r>
              <w:rPr>
                <w:rFonts w:ascii="Times New Roman" w:cs="Times New Roman" w:eastAsia="Times New Roman" w:hAnsi="Times New Roman"/>
                <w:sz w:val="22"/>
                <w:szCs w:val="22"/>
                <w:color w:val="auto"/>
              </w:rPr>
              <w:t>34</w:t>
            </w: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3.01.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Repayment</w:t>
            </w:r>
          </w:p>
        </w:tc>
        <w:tc>
          <w:tcPr>
            <w:tcW w:w="4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34</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3.02.</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3.03.</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8"/>
              </w:rPr>
              <w:t>Prepayments</w:t>
            </w:r>
          </w:p>
        </w:tc>
        <w:tc>
          <w:tcPr>
            <w:tcW w:w="1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5"/>
        </w:trPr>
        <w:tc>
          <w:tcPr>
            <w:tcW w:w="27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4 Payments, Etc.  39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4.01.</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8"/>
              </w:rPr>
              <w:t>Payments</w:t>
            </w:r>
          </w:p>
        </w:tc>
        <w:tc>
          <w:tcPr>
            <w:tcW w:w="760" w:type="dxa"/>
            <w:vAlign w:val="bottom"/>
            <w:gridSpan w:val="3"/>
          </w:tcPr>
          <w:p>
            <w:pPr>
              <w:jc w:val="right"/>
              <w:ind w:right="232"/>
              <w:spacing w:after="0"/>
              <w:rPr>
                <w:sz w:val="20"/>
                <w:szCs w:val="20"/>
                <w:color w:val="auto"/>
              </w:rPr>
            </w:pPr>
            <w:r>
              <w:rPr>
                <w:rFonts w:ascii="Times New Roman" w:cs="Times New Roman" w:eastAsia="Times New Roman" w:hAnsi="Times New Roman"/>
                <w:sz w:val="22"/>
                <w:szCs w:val="22"/>
                <w:color w:val="auto"/>
              </w:rPr>
              <w:t>39</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6"/>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4.02.</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8"/>
              </w:rPr>
              <w:t>Computations</w:t>
            </w:r>
          </w:p>
        </w:tc>
        <w:tc>
          <w:tcPr>
            <w:tcW w:w="78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40</w:t>
            </w: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43"/>
        </w:trPr>
        <w:tc>
          <w:tcPr>
            <w:tcW w:w="17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4.03.</w:t>
            </w:r>
          </w:p>
        </w:tc>
        <w:tc>
          <w:tcPr>
            <w:tcW w:w="9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4.04.</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41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5"/>
        </w:trPr>
        <w:tc>
          <w:tcPr>
            <w:tcW w:w="34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Article 5 Yield Protection, Etc.  41</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5.01.</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Additional Costs</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w:t>
            </w: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5.02.</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Illegality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43"/>
        </w:trPr>
        <w:tc>
          <w:tcPr>
            <w:tcW w:w="17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5.03.</w:t>
            </w:r>
          </w:p>
        </w:tc>
        <w:tc>
          <w:tcPr>
            <w:tcW w:w="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540" w:type="dxa"/>
            <w:vAlign w:val="bottom"/>
            <w:gridSpan w:val="2"/>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5.04.</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Delay in Requests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4"/>
        </w:trPr>
        <w:tc>
          <w:tcPr>
            <w:tcW w:w="270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Article 6 Conditions Precedent</w:t>
            </w:r>
          </w:p>
        </w:tc>
        <w:tc>
          <w:tcPr>
            <w:tcW w:w="760" w:type="dxa"/>
            <w:vAlign w:val="bottom"/>
            <w:gridSpan w:val="3"/>
          </w:tcPr>
          <w:p>
            <w:pPr>
              <w:jc w:val="right"/>
              <w:ind w:right="252"/>
              <w:spacing w:after="0"/>
              <w:rPr>
                <w:sz w:val="20"/>
                <w:szCs w:val="20"/>
                <w:color w:val="auto"/>
              </w:rPr>
            </w:pPr>
            <w:r>
              <w:rPr>
                <w:rFonts w:ascii="Times New Roman" w:cs="Times New Roman" w:eastAsia="Times New Roman" w:hAnsi="Times New Roman"/>
                <w:sz w:val="22"/>
                <w:szCs w:val="22"/>
                <w:color w:val="auto"/>
              </w:rPr>
              <w:t>47</w:t>
            </w: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25"/>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6.01.</w:t>
            </w:r>
          </w:p>
        </w:tc>
        <w:tc>
          <w:tcPr>
            <w:tcW w:w="4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8"/>
              </w:rPr>
              <w:t>Conditions to Tranche A Term Loan; Closing Date</w:t>
            </w:r>
          </w:p>
        </w:tc>
        <w:tc>
          <w:tcPr>
            <w:tcW w:w="2260" w:type="dxa"/>
            <w:vAlign w:val="bottom"/>
          </w:tcPr>
          <w:p>
            <w:pPr>
              <w:jc w:val="right"/>
              <w:ind w:right="1792"/>
              <w:spacing w:after="0"/>
              <w:rPr>
                <w:sz w:val="20"/>
                <w:szCs w:val="20"/>
                <w:color w:val="auto"/>
              </w:rPr>
            </w:pPr>
            <w:r>
              <w:rPr>
                <w:rFonts w:ascii="Times New Roman" w:cs="Times New Roman" w:eastAsia="Times New Roman" w:hAnsi="Times New Roman"/>
                <w:sz w:val="22"/>
                <w:szCs w:val="22"/>
                <w:color w:val="auto"/>
              </w:rPr>
              <w:t>47</w:t>
            </w:r>
          </w:p>
        </w:tc>
        <w:tc>
          <w:tcPr>
            <w:tcW w:w="340" w:type="dxa"/>
            <w:vAlign w:val="bottom"/>
          </w:tcPr>
          <w:p>
            <w:pPr>
              <w:spacing w:after="0"/>
              <w:rPr>
                <w:sz w:val="24"/>
                <w:szCs w:val="24"/>
                <w:color w:val="auto"/>
              </w:rPr>
            </w:pP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6.02.</w:t>
            </w:r>
          </w:p>
        </w:tc>
        <w:tc>
          <w:tcPr>
            <w:tcW w:w="68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9"/>
              </w:rPr>
              <w:t>Conditions to Tranche B Term Loan; Tranche B Term Loan Borrowing Date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57"/>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6.03.</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9"/>
              </w:rPr>
              <w:t>51</w:t>
            </w:r>
          </w:p>
        </w:tc>
        <w:tc>
          <w:tcPr>
            <w:tcW w:w="4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6.04.</w:t>
            </w:r>
          </w:p>
        </w:tc>
        <w:tc>
          <w:tcPr>
            <w:tcW w:w="68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8"/>
              </w:rPr>
              <w:t>Conditions to Tranche D Term Loan; Tranche D Term Loan Borrowing Date</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63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Article 7 Representations and Warranties  52</w:t>
            </w: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9"/>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7.01.</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Power and Authority</w:t>
            </w:r>
          </w:p>
        </w:tc>
        <w:tc>
          <w:tcPr>
            <w:tcW w:w="2440" w:type="dxa"/>
            <w:vAlign w:val="bottom"/>
          </w:tcPr>
          <w:p>
            <w:pPr>
              <w:jc w:val="right"/>
              <w:ind w:right="2112"/>
              <w:spacing w:after="0"/>
              <w:rPr>
                <w:sz w:val="20"/>
                <w:szCs w:val="20"/>
                <w:color w:val="auto"/>
              </w:rPr>
            </w:pPr>
            <w:r>
              <w:rPr>
                <w:rFonts w:ascii="Times New Roman" w:cs="Times New Roman" w:eastAsia="Times New Roman" w:hAnsi="Times New Roman"/>
                <w:sz w:val="22"/>
                <w:szCs w:val="22"/>
                <w:color w:val="auto"/>
                <w:w w:val="90"/>
              </w:rPr>
              <w:t>53</w:t>
            </w: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17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7.02.</w:t>
            </w:r>
          </w:p>
        </w:tc>
        <w:tc>
          <w:tcPr>
            <w:tcW w:w="4580" w:type="dxa"/>
            <w:vAlign w:val="bottom"/>
            <w:gridSpan w:val="7"/>
          </w:tcPr>
          <w:p>
            <w:pPr>
              <w:ind w:left="120"/>
              <w:spacing w:after="0" w:line="243" w:lineRule="exact"/>
              <w:rPr>
                <w:sz w:val="20"/>
                <w:szCs w:val="20"/>
                <w:color w:val="auto"/>
              </w:rPr>
            </w:pPr>
            <w:r>
              <w:rPr>
                <w:rFonts w:ascii="Times New Roman" w:cs="Times New Roman" w:eastAsia="Times New Roman" w:hAnsi="Times New Roman"/>
                <w:sz w:val="22"/>
                <w:szCs w:val="22"/>
                <w:color w:val="auto"/>
              </w:rPr>
              <w:t>Authorization; Enforceability  53</w:t>
            </w:r>
          </w:p>
        </w:tc>
        <w:tc>
          <w:tcPr>
            <w:tcW w:w="22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17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7.03.</w:t>
            </w:r>
          </w:p>
        </w:tc>
        <w:tc>
          <w:tcPr>
            <w:tcW w:w="4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Governmental and Other Approvals; No Conflicts</w:t>
            </w:r>
          </w:p>
        </w:tc>
        <w:tc>
          <w:tcPr>
            <w:tcW w:w="226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53</w:t>
            </w:r>
          </w:p>
        </w:tc>
        <w:tc>
          <w:tcPr>
            <w:tcW w:w="3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18" w:right="1440"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7.04.</w:t>
            </w:r>
          </w:p>
        </w:tc>
        <w:tc>
          <w:tcPr>
            <w:tcW w:w="70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Financial Statements; Projections; Material Adverse Change  53</w:t>
            </w: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7.05.</w:t>
            </w:r>
          </w:p>
        </w:tc>
        <w:tc>
          <w:tcPr>
            <w:tcW w:w="10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Properties</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7.06.</w:t>
            </w: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No Actions or Proceedings</w:t>
            </w:r>
          </w:p>
        </w:tc>
        <w:tc>
          <w:tcPr>
            <w:tcW w:w="8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56</w:t>
            </w: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7.07.</w:t>
            </w:r>
          </w:p>
        </w:tc>
        <w:tc>
          <w:tcPr>
            <w:tcW w:w="70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Compliance with Laws and Agreements  56</w:t>
            </w: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7.08.</w:t>
            </w:r>
          </w:p>
        </w:tc>
        <w:tc>
          <w:tcPr>
            <w:tcW w:w="10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Taxes  58</w:t>
            </w: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7.09.</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Full Disclosure</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7.10.</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Regulation</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7.11.</w:t>
            </w:r>
          </w:p>
        </w:tc>
        <w:tc>
          <w:tcPr>
            <w:tcW w:w="10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46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7.12.</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7.13.</w:t>
            </w: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Indebtedness and Liens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7.14.</w:t>
            </w:r>
          </w:p>
        </w:tc>
        <w:tc>
          <w:tcPr>
            <w:tcW w:w="19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Material Agreements</w:t>
            </w:r>
          </w:p>
        </w:tc>
        <w:tc>
          <w:tcPr>
            <w:tcW w:w="680" w:type="dxa"/>
            <w:vAlign w:val="bottom"/>
            <w:gridSpan w:val="2"/>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7.15.</w:t>
            </w: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Restrictive Agreements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7.16.</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Real Property</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81"/>
              </w:rPr>
              <w:t>60</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7.17.</w:t>
            </w:r>
          </w:p>
        </w:tc>
        <w:tc>
          <w:tcPr>
            <w:tcW w:w="222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Pension and Other Plans</w:t>
            </w:r>
          </w:p>
        </w:tc>
        <w:tc>
          <w:tcPr>
            <w:tcW w:w="1220" w:type="dxa"/>
            <w:vAlign w:val="bottom"/>
            <w:gridSpan w:val="2"/>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60</w:t>
            </w: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7.18.</w:t>
            </w: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Collateral; Security Interest</w:t>
            </w: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60</w:t>
            </w: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7.19.</w:t>
            </w: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Regulatory Approvals</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60</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7.20.</w:t>
            </w:r>
          </w:p>
        </w:tc>
        <w:tc>
          <w:tcPr>
            <w:tcW w:w="15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Capitalization</w:t>
            </w:r>
          </w:p>
        </w:tc>
        <w:tc>
          <w:tcPr>
            <w:tcW w:w="4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62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7.21.</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Insurance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62</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7.22.</w:t>
            </w:r>
          </w:p>
        </w:tc>
        <w:tc>
          <w:tcPr>
            <w:tcW w:w="19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rPr>
              <w:t>Certain Fees  62</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7.23.</w:t>
            </w: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Sanctions Laws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7.24.</w:t>
            </w: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Anti-Corruption Laws</w:t>
            </w:r>
          </w:p>
        </w:tc>
        <w:tc>
          <w:tcPr>
            <w:tcW w:w="4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0"/>
              </w:rPr>
              <w:t>62</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7.25.</w:t>
            </w:r>
          </w:p>
        </w:tc>
        <w:tc>
          <w:tcPr>
            <w:tcW w:w="1940" w:type="dxa"/>
            <w:vAlign w:val="bottom"/>
            <w:gridSpan w:val="3"/>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Anti-Terrorism Laws</w:t>
            </w:r>
          </w:p>
        </w:tc>
        <w:tc>
          <w:tcPr>
            <w:tcW w:w="680" w:type="dxa"/>
            <w:vAlign w:val="bottom"/>
            <w:gridSpan w:val="2"/>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82"/>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7.26.</w:t>
            </w: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w w:val="98"/>
              </w:rPr>
              <w:t>Royalty and Other Payments</w:t>
            </w:r>
          </w:p>
        </w:tc>
        <w:tc>
          <w:tcPr>
            <w:tcW w:w="82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63</w:t>
            </w: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65"/>
        </w:trPr>
        <w:tc>
          <w:tcPr>
            <w:tcW w:w="5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8 Affirmative Covenants and Financial Covenants</w:t>
            </w:r>
          </w:p>
        </w:tc>
        <w:tc>
          <w:tcPr>
            <w:tcW w:w="48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9"/>
              </w:rPr>
              <w:t>63</w:t>
            </w:r>
          </w:p>
        </w:tc>
        <w:tc>
          <w:tcPr>
            <w:tcW w:w="3120" w:type="dxa"/>
            <w:vAlign w:val="bottom"/>
          </w:tcPr>
          <w:p>
            <w:pPr>
              <w:spacing w:after="0"/>
              <w:rPr>
                <w:sz w:val="24"/>
                <w:szCs w:val="24"/>
                <w:color w:val="auto"/>
              </w:rPr>
            </w:pPr>
          </w:p>
        </w:tc>
      </w:tr>
      <w:tr>
        <w:trPr>
          <w:trHeight w:val="325"/>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8.01.</w:t>
            </w:r>
          </w:p>
        </w:tc>
        <w:tc>
          <w:tcPr>
            <w:tcW w:w="39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8"/>
              </w:rPr>
              <w:t>Financial Statements and Other Information</w:t>
            </w:r>
          </w:p>
        </w:tc>
        <w:tc>
          <w:tcPr>
            <w:tcW w:w="3120" w:type="dxa"/>
            <w:vAlign w:val="bottom"/>
          </w:tcPr>
          <w:p>
            <w:pPr>
              <w:jc w:val="right"/>
              <w:ind w:right="2592"/>
              <w:spacing w:after="0"/>
              <w:rPr>
                <w:sz w:val="20"/>
                <w:szCs w:val="20"/>
                <w:color w:val="auto"/>
              </w:rPr>
            </w:pPr>
            <w:r>
              <w:rPr>
                <w:rFonts w:ascii="Times New Roman" w:cs="Times New Roman" w:eastAsia="Times New Roman" w:hAnsi="Times New Roman"/>
                <w:sz w:val="22"/>
                <w:szCs w:val="22"/>
                <w:color w:val="auto"/>
              </w:rPr>
              <w:t>63</w:t>
            </w: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8.02.</w:t>
            </w: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Notices of Material Events</w:t>
            </w:r>
          </w:p>
        </w:tc>
        <w:tc>
          <w:tcPr>
            <w:tcW w:w="82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65</w:t>
            </w: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8.03.</w:t>
            </w:r>
          </w:p>
        </w:tc>
        <w:tc>
          <w:tcPr>
            <w:tcW w:w="39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Existence; Maintenance of Properties, Etc</w:t>
            </w:r>
          </w:p>
        </w:tc>
        <w:tc>
          <w:tcPr>
            <w:tcW w:w="3120" w:type="dxa"/>
            <w:vAlign w:val="bottom"/>
          </w:tcPr>
          <w:p>
            <w:pPr>
              <w:jc w:val="right"/>
              <w:ind w:right="2772"/>
              <w:spacing w:after="0"/>
              <w:rPr>
                <w:sz w:val="20"/>
                <w:szCs w:val="20"/>
                <w:color w:val="auto"/>
              </w:rPr>
            </w:pPr>
            <w:r>
              <w:rPr>
                <w:rFonts w:ascii="Times New Roman" w:cs="Times New Roman" w:eastAsia="Times New Roman" w:hAnsi="Times New Roman"/>
                <w:sz w:val="22"/>
                <w:szCs w:val="22"/>
                <w:color w:val="auto"/>
                <w:w w:val="99"/>
              </w:rPr>
              <w:t>68</w:t>
            </w: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8.04.</w:t>
            </w:r>
          </w:p>
        </w:tc>
        <w:tc>
          <w:tcPr>
            <w:tcW w:w="222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Payment of Obligations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8.05.</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Insurance</w:t>
            </w: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69</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8.06.</w:t>
            </w:r>
          </w:p>
        </w:tc>
        <w:tc>
          <w:tcPr>
            <w:tcW w:w="34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8"/>
              </w:rPr>
              <w:t>Books and Records; Inspection Rights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8.07.</w:t>
            </w:r>
          </w:p>
        </w:tc>
        <w:tc>
          <w:tcPr>
            <w:tcW w:w="222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8.08.</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Licenses</w:t>
            </w:r>
          </w:p>
        </w:tc>
        <w:tc>
          <w:tcPr>
            <w:tcW w:w="4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9"/>
              </w:rPr>
              <w:t>70</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8.09.</w:t>
            </w:r>
          </w:p>
        </w:tc>
        <w:tc>
          <w:tcPr>
            <w:tcW w:w="392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rPr>
              <w:t>Action under Environmental Laws  71</w:t>
            </w: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8.10.</w:t>
            </w:r>
          </w:p>
        </w:tc>
        <w:tc>
          <w:tcPr>
            <w:tcW w:w="15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Use of Proceeds</w:t>
            </w:r>
          </w:p>
        </w:tc>
        <w:tc>
          <w:tcPr>
            <w:tcW w:w="700" w:type="dxa"/>
            <w:vAlign w:val="bottom"/>
            <w:gridSpan w:val="2"/>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71</w:t>
            </w: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8.11.</w:t>
            </w:r>
          </w:p>
        </w:tc>
        <w:tc>
          <w:tcPr>
            <w:tcW w:w="7040" w:type="dxa"/>
            <w:vAlign w:val="bottom"/>
            <w:gridSpan w:val="8"/>
          </w:tcPr>
          <w:p>
            <w:pPr>
              <w:ind w:left="100"/>
              <w:spacing w:after="0"/>
              <w:rPr>
                <w:sz w:val="20"/>
                <w:szCs w:val="20"/>
                <w:color w:val="auto"/>
              </w:rPr>
            </w:pPr>
            <w:r>
              <w:rPr>
                <w:rFonts w:ascii="Times New Roman" w:cs="Times New Roman" w:eastAsia="Times New Roman" w:hAnsi="Times New Roman"/>
                <w:sz w:val="22"/>
                <w:szCs w:val="22"/>
                <w:color w:val="auto"/>
              </w:rPr>
              <w:t>Certain Obligations Respecting Subsidiaries; Further Assurances  71</w:t>
            </w: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8.12.</w:t>
            </w:r>
          </w:p>
        </w:tc>
        <w:tc>
          <w:tcPr>
            <w:tcW w:w="34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Termination of Non-Permitted Liens</w:t>
            </w:r>
          </w:p>
        </w:tc>
        <w:tc>
          <w:tcPr>
            <w:tcW w:w="48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72</w:t>
            </w: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8.13.</w:t>
            </w:r>
          </w:p>
        </w:tc>
        <w:tc>
          <w:tcPr>
            <w:tcW w:w="10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[Reserved]</w:t>
            </w:r>
          </w:p>
        </w:tc>
        <w:tc>
          <w:tcPr>
            <w:tcW w:w="4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8.14.</w:t>
            </w:r>
          </w:p>
        </w:tc>
        <w:tc>
          <w:tcPr>
            <w:tcW w:w="10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[Reserved]</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56"/>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8.15.</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Financial Covenants</w:t>
            </w:r>
          </w:p>
        </w:tc>
        <w:tc>
          <w:tcPr>
            <w:tcW w:w="6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72</w:t>
            </w: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43"/>
        </w:trPr>
        <w:tc>
          <w:tcPr>
            <w:tcW w:w="174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8.16.</w:t>
            </w:r>
          </w:p>
        </w:tc>
        <w:tc>
          <w:tcPr>
            <w:tcW w:w="7040" w:type="dxa"/>
            <w:vAlign w:val="bottom"/>
            <w:gridSpan w:val="8"/>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Maintenance of Regulatory Approvals, Contracts, Intellectual Property, Etc  74</w:t>
            </w:r>
          </w:p>
        </w:tc>
      </w:tr>
      <w:tr>
        <w:trPr>
          <w:trHeight w:val="257"/>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8.17.</w:t>
            </w: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Cash Management</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1"/>
              </w:rPr>
              <w:t>74</w:t>
            </w: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82"/>
        </w:trPr>
        <w:tc>
          <w:tcPr>
            <w:tcW w:w="17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8.18.</w:t>
            </w:r>
          </w:p>
        </w:tc>
        <w:tc>
          <w:tcPr>
            <w:tcW w:w="344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rPr>
              <w:t>Post-Closing Obligations  75</w:t>
            </w:r>
          </w:p>
        </w:tc>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08" w:right="1440" w:bottom="1440" w:gutter="0" w:footer="0" w:header="0"/>
          <w:type w:val="continuous"/>
        </w:sectPr>
      </w:pPr>
    </w:p>
    <w:bookmarkStart w:id="131" w:name="page132"/>
    <w:bookmarkEnd w:id="13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9 Negative Covenants  75</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5"/>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9.01.</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9"/>
              </w:rPr>
              <w:t>Indebtedness</w:t>
            </w:r>
          </w:p>
        </w:tc>
        <w:tc>
          <w:tcPr>
            <w:tcW w:w="58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75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9.02.</w:t>
            </w:r>
          </w:p>
        </w:tc>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Liens</w:t>
            </w: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76</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9.03.</w:t>
            </w:r>
          </w:p>
        </w:tc>
        <w:tc>
          <w:tcPr>
            <w:tcW w:w="354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w w:val="99"/>
              </w:rPr>
              <w:t>Fundamental Changes and Acquisitions</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78</w:t>
            </w: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9.04.</w:t>
            </w:r>
          </w:p>
        </w:tc>
        <w:tc>
          <w:tcPr>
            <w:tcW w:w="176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420" w:type="dxa"/>
            <w:vAlign w:val="bottom"/>
            <w:gridSpan w:val="2"/>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9"/>
              </w:rPr>
              <w:t>79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9.05.</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Investments</w:t>
            </w:r>
          </w:p>
        </w:tc>
        <w:tc>
          <w:tcPr>
            <w:tcW w:w="5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79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9.06.</w:t>
            </w: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Restricted Payments</w:t>
            </w:r>
          </w:p>
        </w:tc>
        <w:tc>
          <w:tcPr>
            <w:tcW w:w="5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80</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9.07.</w:t>
            </w:r>
          </w:p>
        </w:tc>
        <w:tc>
          <w:tcPr>
            <w:tcW w:w="2480" w:type="dxa"/>
            <w:vAlign w:val="bottom"/>
            <w:gridSpan w:val="7"/>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Payments of Indebtedness</w:t>
            </w:r>
          </w:p>
        </w:tc>
        <w:tc>
          <w:tcPr>
            <w:tcW w:w="106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w w:val="99"/>
              </w:rPr>
              <w:t>81</w:t>
            </w: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9.08.</w:t>
            </w: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6"/>
              </w:rPr>
              <w:t>Change in Fiscal Year</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81</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9.09.</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w w:val="99"/>
              </w:rPr>
              <w:t>Sales of Assets, Etc</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81</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9.10.</w:t>
            </w:r>
          </w:p>
        </w:tc>
        <w:tc>
          <w:tcPr>
            <w:tcW w:w="2480" w:type="dxa"/>
            <w:vAlign w:val="bottom"/>
            <w:gridSpan w:val="7"/>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Transactions with Affiliates</w:t>
            </w:r>
          </w:p>
        </w:tc>
        <w:tc>
          <w:tcPr>
            <w:tcW w:w="106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9.11.</w:t>
            </w: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Restrictive Agreements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9.12.</w:t>
            </w:r>
          </w:p>
        </w:tc>
        <w:tc>
          <w:tcPr>
            <w:tcW w:w="562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Organizational Documents, Material Agreements  83</w:t>
            </w: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9.13.</w:t>
            </w:r>
          </w:p>
        </w:tc>
        <w:tc>
          <w:tcPr>
            <w:tcW w:w="4140" w:type="dxa"/>
            <w:vAlign w:val="bottom"/>
            <w:gridSpan w:val="9"/>
          </w:tcPr>
          <w:p>
            <w:pPr>
              <w:ind w:left="20"/>
              <w:spacing w:after="0" w:line="243" w:lineRule="exact"/>
              <w:rPr>
                <w:sz w:val="20"/>
                <w:szCs w:val="20"/>
                <w:color w:val="auto"/>
              </w:rPr>
            </w:pPr>
            <w:r>
              <w:rPr>
                <w:rFonts w:ascii="Times New Roman" w:cs="Times New Roman" w:eastAsia="Times New Roman" w:hAnsi="Times New Roman"/>
                <w:sz w:val="22"/>
                <w:szCs w:val="22"/>
                <w:color w:val="auto"/>
              </w:rPr>
              <w:t>Anti-Terrorism and Anti-Corruption Laws  83</w:t>
            </w: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9.14.</w:t>
            </w: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9"/>
              </w:rPr>
              <w:t>Sales and Leasebacks</w:t>
            </w: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83</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9.15.</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w w:val="98"/>
              </w:rPr>
              <w:t>Hazardous Material</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9.16.</w:t>
            </w:r>
          </w:p>
        </w:tc>
        <w:tc>
          <w:tcPr>
            <w:tcW w:w="1940" w:type="dxa"/>
            <w:vAlign w:val="bottom"/>
            <w:gridSpan w:val="5"/>
          </w:tcPr>
          <w:p>
            <w:pPr>
              <w:ind w:left="20"/>
              <w:spacing w:after="0" w:line="243" w:lineRule="exact"/>
              <w:rPr>
                <w:sz w:val="20"/>
                <w:szCs w:val="20"/>
                <w:color w:val="auto"/>
              </w:rPr>
            </w:pPr>
            <w:r>
              <w:rPr>
                <w:rFonts w:ascii="Times New Roman" w:cs="Times New Roman" w:eastAsia="Times New Roman" w:hAnsi="Times New Roman"/>
                <w:sz w:val="22"/>
                <w:szCs w:val="22"/>
                <w:color w:val="auto"/>
              </w:rPr>
              <w:t>Accounting Changes</w:t>
            </w:r>
          </w:p>
        </w:tc>
        <w:tc>
          <w:tcPr>
            <w:tcW w:w="540" w:type="dxa"/>
            <w:vAlign w:val="bottom"/>
            <w:gridSpan w:val="2"/>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9.17.</w:t>
            </w: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w w:val="97"/>
              </w:rPr>
              <w:t>Compliance with ERISA</w:t>
            </w:r>
          </w:p>
        </w:tc>
        <w:tc>
          <w:tcPr>
            <w:tcW w:w="13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84</w:t>
            </w: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9.18.</w:t>
            </w:r>
          </w:p>
        </w:tc>
        <w:tc>
          <w:tcPr>
            <w:tcW w:w="3540" w:type="dxa"/>
            <w:vAlign w:val="bottom"/>
            <w:gridSpan w:val="8"/>
          </w:tcPr>
          <w:p>
            <w:pPr>
              <w:ind w:left="20"/>
              <w:spacing w:after="0" w:line="243" w:lineRule="exact"/>
              <w:rPr>
                <w:sz w:val="20"/>
                <w:szCs w:val="20"/>
                <w:color w:val="auto"/>
              </w:rPr>
            </w:pPr>
            <w:r>
              <w:rPr>
                <w:rFonts w:ascii="Times New Roman" w:cs="Times New Roman" w:eastAsia="Times New Roman" w:hAnsi="Times New Roman"/>
                <w:sz w:val="22"/>
                <w:szCs w:val="22"/>
                <w:color w:val="auto"/>
              </w:rPr>
              <w:t>Deposit Accounts/Securities Accounts</w:t>
            </w:r>
          </w:p>
        </w:tc>
        <w:tc>
          <w:tcPr>
            <w:tcW w:w="60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w w:val="99"/>
              </w:rPr>
              <w:t>84</w:t>
            </w:r>
          </w:p>
        </w:tc>
        <w:tc>
          <w:tcPr>
            <w:tcW w:w="1480" w:type="dxa"/>
            <w:vAlign w:val="bottom"/>
          </w:tcPr>
          <w:p>
            <w:pPr>
              <w:spacing w:after="0"/>
              <w:rPr>
                <w:sz w:val="21"/>
                <w:szCs w:val="21"/>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9.19.</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Outbound Licenses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2"/>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9.20.</w:t>
            </w: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Inbound Licenses</w:t>
            </w:r>
          </w:p>
        </w:tc>
        <w:tc>
          <w:tcPr>
            <w:tcW w:w="42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w w:val="90"/>
              </w:rPr>
              <w:t>84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5"/>
        </w:trPr>
        <w:tc>
          <w:tcPr>
            <w:tcW w:w="25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Article 10 Events of Default</w:t>
            </w:r>
          </w:p>
        </w:tc>
        <w:tc>
          <w:tcPr>
            <w:tcW w:w="5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5"/>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10.01.</w:t>
            </w: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Events of Default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10.02.</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87</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2"/>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10.03.</w:t>
            </w:r>
          </w:p>
        </w:tc>
        <w:tc>
          <w:tcPr>
            <w:tcW w:w="414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Prepayment Premium and Redemption Price</w:t>
            </w:r>
          </w:p>
        </w:tc>
        <w:tc>
          <w:tcPr>
            <w:tcW w:w="148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rPr>
              <w:t>88</w:t>
            </w:r>
          </w:p>
        </w:tc>
      </w:tr>
      <w:tr>
        <w:trPr>
          <w:trHeight w:val="351"/>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w w:val="97"/>
              </w:rPr>
              <w:t>Article 11 Guarantee</w:t>
            </w:r>
          </w:p>
        </w:tc>
        <w:tc>
          <w:tcPr>
            <w:tcW w:w="6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88</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9"/>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11.01.</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The Guarantee</w:t>
            </w:r>
          </w:p>
        </w:tc>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88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11.02.</w:t>
            </w:r>
          </w:p>
        </w:tc>
        <w:tc>
          <w:tcPr>
            <w:tcW w:w="2480" w:type="dxa"/>
            <w:vAlign w:val="bottom"/>
            <w:gridSpan w:val="7"/>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Obligations Unconditional</w:t>
            </w:r>
          </w:p>
        </w:tc>
        <w:tc>
          <w:tcPr>
            <w:tcW w:w="1060" w:type="dxa"/>
            <w:vAlign w:val="bottom"/>
          </w:tcPr>
          <w:p>
            <w:pPr>
              <w:jc w:val="right"/>
              <w:ind w:right="572"/>
              <w:spacing w:after="0" w:line="243" w:lineRule="exact"/>
              <w:rPr>
                <w:sz w:val="20"/>
                <w:szCs w:val="20"/>
                <w:color w:val="auto"/>
              </w:rPr>
            </w:pPr>
            <w:r>
              <w:rPr>
                <w:rFonts w:ascii="Times New Roman" w:cs="Times New Roman" w:eastAsia="Times New Roman" w:hAnsi="Times New Roman"/>
                <w:sz w:val="22"/>
                <w:szCs w:val="22"/>
                <w:color w:val="auto"/>
              </w:rPr>
              <w:t>88</w:t>
            </w: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11.03.</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Reinstatement</w:t>
            </w:r>
          </w:p>
        </w:tc>
        <w:tc>
          <w:tcPr>
            <w:tcW w:w="5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90</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11.04.</w:t>
            </w: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6"/>
              </w:rPr>
              <w:t>Subrogation</w:t>
            </w:r>
          </w:p>
        </w:tc>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90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11.05.</w:t>
            </w:r>
          </w:p>
        </w:tc>
        <w:tc>
          <w:tcPr>
            <w:tcW w:w="11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Remedies</w:t>
            </w:r>
          </w:p>
        </w:tc>
        <w:tc>
          <w:tcPr>
            <w:tcW w:w="2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91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11.06.</w:t>
            </w:r>
          </w:p>
        </w:tc>
        <w:tc>
          <w:tcPr>
            <w:tcW w:w="35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Instrument for the Payment of Money</w:t>
            </w:r>
          </w:p>
        </w:tc>
        <w:tc>
          <w:tcPr>
            <w:tcW w:w="6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91</w:t>
            </w: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11.07.</w:t>
            </w:r>
          </w:p>
        </w:tc>
        <w:tc>
          <w:tcPr>
            <w:tcW w:w="218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Continuing Guarantee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11.08.</w:t>
            </w:r>
          </w:p>
        </w:tc>
        <w:tc>
          <w:tcPr>
            <w:tcW w:w="2180" w:type="dxa"/>
            <w:vAlign w:val="bottom"/>
            <w:gridSpan w:val="6"/>
          </w:tcPr>
          <w:p>
            <w:pPr>
              <w:ind w:left="120"/>
              <w:spacing w:after="0" w:line="243" w:lineRule="exact"/>
              <w:rPr>
                <w:sz w:val="20"/>
                <w:szCs w:val="20"/>
                <w:color w:val="auto"/>
              </w:rPr>
            </w:pPr>
            <w:r>
              <w:rPr>
                <w:rFonts w:ascii="Times New Roman" w:cs="Times New Roman" w:eastAsia="Times New Roman" w:hAnsi="Times New Roman"/>
                <w:sz w:val="22"/>
                <w:szCs w:val="22"/>
                <w:color w:val="auto"/>
              </w:rPr>
              <w:t>Rights of Contribution</w:t>
            </w:r>
          </w:p>
        </w:tc>
        <w:tc>
          <w:tcPr>
            <w:tcW w:w="1360" w:type="dxa"/>
            <w:vAlign w:val="bottom"/>
            <w:gridSpan w:val="2"/>
          </w:tcPr>
          <w:p>
            <w:pPr>
              <w:jc w:val="right"/>
              <w:ind w:right="912"/>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2"/>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11.09.</w:t>
            </w:r>
          </w:p>
        </w:tc>
        <w:tc>
          <w:tcPr>
            <w:tcW w:w="4140" w:type="dxa"/>
            <w:vAlign w:val="bottom"/>
            <w:gridSpan w:val="9"/>
          </w:tcPr>
          <w:p>
            <w:pPr>
              <w:ind w:left="120"/>
              <w:spacing w:after="0"/>
              <w:rPr>
                <w:sz w:val="20"/>
                <w:szCs w:val="20"/>
                <w:color w:val="auto"/>
              </w:rPr>
            </w:pPr>
            <w:r>
              <w:rPr>
                <w:rFonts w:ascii="Times New Roman" w:cs="Times New Roman" w:eastAsia="Times New Roman" w:hAnsi="Times New Roman"/>
                <w:sz w:val="22"/>
                <w:szCs w:val="22"/>
                <w:color w:val="auto"/>
              </w:rPr>
              <w:t>General Limitation on Guarantee Obligations</w:t>
            </w:r>
          </w:p>
        </w:tc>
        <w:tc>
          <w:tcPr>
            <w:tcW w:w="14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92</w:t>
            </w:r>
          </w:p>
        </w:tc>
      </w:tr>
      <w:tr>
        <w:trPr>
          <w:trHeight w:val="365"/>
        </w:trPr>
        <w:tc>
          <w:tcPr>
            <w:tcW w:w="30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12 Administrative Agent</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5"/>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12.01.</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Appointment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12.02.</w:t>
            </w: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Rights as a Lender</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92</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12.03.</w:t>
            </w:r>
          </w:p>
        </w:tc>
        <w:tc>
          <w:tcPr>
            <w:tcW w:w="218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8"/>
              </w:rPr>
              <w:t>Exculpatory Provisions</w:t>
            </w:r>
          </w:p>
        </w:tc>
        <w:tc>
          <w:tcPr>
            <w:tcW w:w="136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color w:val="auto"/>
              </w:rPr>
              <w:t>93</w:t>
            </w: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182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12.04.</w:t>
            </w:r>
          </w:p>
        </w:tc>
        <w:tc>
          <w:tcPr>
            <w:tcW w:w="3540" w:type="dxa"/>
            <w:vAlign w:val="bottom"/>
            <w:gridSpan w:val="8"/>
          </w:tcPr>
          <w:p>
            <w:pPr>
              <w:ind w:left="140"/>
              <w:spacing w:after="0" w:line="243" w:lineRule="exact"/>
              <w:rPr>
                <w:sz w:val="20"/>
                <w:szCs w:val="20"/>
                <w:color w:val="auto"/>
              </w:rPr>
            </w:pPr>
            <w:r>
              <w:rPr>
                <w:rFonts w:ascii="Times New Roman" w:cs="Times New Roman" w:eastAsia="Times New Roman" w:hAnsi="Times New Roman"/>
                <w:sz w:val="22"/>
                <w:szCs w:val="22"/>
                <w:color w:val="auto"/>
              </w:rPr>
              <w:t>Reliance by Administrative Agent  94</w:t>
            </w:r>
          </w:p>
        </w:tc>
        <w:tc>
          <w:tcPr>
            <w:tcW w:w="6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12.05.</w:t>
            </w:r>
          </w:p>
        </w:tc>
        <w:tc>
          <w:tcPr>
            <w:tcW w:w="1940" w:type="dxa"/>
            <w:vAlign w:val="bottom"/>
            <w:gridSpan w:val="5"/>
          </w:tcPr>
          <w:p>
            <w:pPr>
              <w:ind w:left="140"/>
              <w:spacing w:after="0"/>
              <w:rPr>
                <w:sz w:val="20"/>
                <w:szCs w:val="20"/>
                <w:color w:val="auto"/>
              </w:rPr>
            </w:pPr>
            <w:r>
              <w:rPr>
                <w:rFonts w:ascii="Times New Roman" w:cs="Times New Roman" w:eastAsia="Times New Roman" w:hAnsi="Times New Roman"/>
                <w:sz w:val="22"/>
                <w:szCs w:val="22"/>
                <w:color w:val="auto"/>
                <w:w w:val="97"/>
              </w:rPr>
              <w:t>Delegation of Duties</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94</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6"/>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12.06.</w:t>
            </w:r>
          </w:p>
        </w:tc>
        <w:tc>
          <w:tcPr>
            <w:tcW w:w="218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Resignation of Agent</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94</w:t>
            </w:r>
          </w:p>
        </w:tc>
        <w:tc>
          <w:tcPr>
            <w:tcW w:w="10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2"/>
        </w:trPr>
        <w:tc>
          <w:tcPr>
            <w:tcW w:w="18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Section 12.07.</w:t>
            </w:r>
          </w:p>
        </w:tc>
        <w:tc>
          <w:tcPr>
            <w:tcW w:w="5620" w:type="dxa"/>
            <w:vAlign w:val="bottom"/>
            <w:gridSpan w:val="10"/>
          </w:tcPr>
          <w:p>
            <w:pPr>
              <w:ind w:left="140"/>
              <w:spacing w:after="0"/>
              <w:rPr>
                <w:sz w:val="20"/>
                <w:szCs w:val="20"/>
                <w:color w:val="auto"/>
              </w:rPr>
            </w:pPr>
            <w:r>
              <w:rPr>
                <w:rFonts w:ascii="Times New Roman" w:cs="Times New Roman" w:eastAsia="Times New Roman" w:hAnsi="Times New Roman"/>
                <w:sz w:val="22"/>
                <w:szCs w:val="22"/>
                <w:color w:val="auto"/>
                <w:w w:val="99"/>
              </w:rPr>
              <w:t>Non-Reliance on Administrative Agent and Other Lenders  95</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12.08.</w:t>
            </w:r>
          </w:p>
        </w:tc>
        <w:tc>
          <w:tcPr>
            <w:tcW w:w="448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rPr>
              <w:t>Administrative Agent May File Proofs of Claim</w:t>
            </w:r>
          </w:p>
        </w:tc>
        <w:tc>
          <w:tcPr>
            <w:tcW w:w="278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w w:val="99"/>
              </w:rPr>
              <w:t>95</w:t>
            </w:r>
          </w:p>
        </w:tc>
      </w:tr>
      <w:tr>
        <w:trPr>
          <w:trHeight w:val="282"/>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12.09.</w:t>
            </w:r>
          </w:p>
        </w:tc>
        <w:tc>
          <w:tcPr>
            <w:tcW w:w="72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Collateral and Guaranty Matters; Appointment of Collateral Agent  96</w:t>
            </w:r>
          </w:p>
        </w:tc>
      </w:tr>
      <w:tr>
        <w:trPr>
          <w:trHeight w:val="351"/>
        </w:trPr>
        <w:tc>
          <w:tcPr>
            <w:tcW w:w="27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13 Miscellaneous  97</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339"/>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13.01.</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No Waiver</w:t>
            </w:r>
          </w:p>
        </w:tc>
        <w:tc>
          <w:tcPr>
            <w:tcW w:w="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97</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13.02.</w:t>
            </w:r>
          </w:p>
        </w:tc>
        <w:tc>
          <w:tcPr>
            <w:tcW w:w="9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13.03.</w:t>
            </w: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Expenses, Indemnification, Etc</w:t>
            </w:r>
          </w:p>
        </w:tc>
        <w:tc>
          <w:tcPr>
            <w:tcW w:w="1420" w:type="dxa"/>
            <w:vAlign w:val="bottom"/>
          </w:tcPr>
          <w:p>
            <w:pPr>
              <w:jc w:val="right"/>
              <w:ind w:right="1092"/>
              <w:spacing w:after="0"/>
              <w:rPr>
                <w:sz w:val="20"/>
                <w:szCs w:val="20"/>
                <w:color w:val="auto"/>
              </w:rPr>
            </w:pPr>
            <w:r>
              <w:rPr>
                <w:rFonts w:ascii="Times New Roman" w:cs="Times New Roman" w:eastAsia="Times New Roman" w:hAnsi="Times New Roman"/>
                <w:sz w:val="22"/>
                <w:szCs w:val="22"/>
                <w:color w:val="auto"/>
                <w:w w:val="90"/>
              </w:rPr>
              <w:t>98</w:t>
            </w:r>
          </w:p>
        </w:tc>
        <w:tc>
          <w:tcPr>
            <w:tcW w:w="2780" w:type="dxa"/>
            <w:vAlign w:val="bottom"/>
          </w:tcPr>
          <w:p>
            <w:pPr>
              <w:spacing w:after="0"/>
              <w:rPr>
                <w:sz w:val="22"/>
                <w:szCs w:val="22"/>
                <w:color w:val="auto"/>
              </w:rPr>
            </w:pPr>
          </w:p>
        </w:tc>
      </w:tr>
      <w:tr>
        <w:trPr>
          <w:trHeight w:val="256"/>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13.04.</w:t>
            </w: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8"/>
              </w:rPr>
              <w:t>Amendments, Etc</w:t>
            </w:r>
          </w:p>
        </w:tc>
        <w:tc>
          <w:tcPr>
            <w:tcW w:w="134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99</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13.05.</w:t>
            </w:r>
          </w:p>
        </w:tc>
        <w:tc>
          <w:tcPr>
            <w:tcW w:w="306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Successors and Assigns  100</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13.06.</w:t>
            </w:r>
          </w:p>
        </w:tc>
        <w:tc>
          <w:tcPr>
            <w:tcW w:w="9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w:t>
            </w:r>
          </w:p>
        </w:tc>
        <w:tc>
          <w:tcPr>
            <w:tcW w:w="74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103</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13.07.</w:t>
            </w:r>
          </w:p>
        </w:tc>
        <w:tc>
          <w:tcPr>
            <w:tcW w:w="9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Captions</w:t>
            </w:r>
          </w:p>
        </w:tc>
        <w:tc>
          <w:tcPr>
            <w:tcW w:w="74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103</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13.08.</w:t>
            </w:r>
          </w:p>
        </w:tc>
        <w:tc>
          <w:tcPr>
            <w:tcW w:w="13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w w:val="98"/>
              </w:rPr>
              <w:t>Counterparts</w:t>
            </w:r>
          </w:p>
        </w:tc>
        <w:tc>
          <w:tcPr>
            <w:tcW w:w="6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13.09.</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134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w w:val="96"/>
              </w:rPr>
              <w:t>103</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13.10.</w:t>
            </w:r>
          </w:p>
        </w:tc>
        <w:tc>
          <w:tcPr>
            <w:tcW w:w="448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Jurisdiction, Service of Process and Venue  103</w:t>
            </w:r>
          </w:p>
        </w:tc>
        <w:tc>
          <w:tcPr>
            <w:tcW w:w="2780" w:type="dxa"/>
            <w:vAlign w:val="bottom"/>
          </w:tcPr>
          <w:p>
            <w:pPr>
              <w:spacing w:after="0"/>
              <w:rPr>
                <w:sz w:val="22"/>
                <w:szCs w:val="22"/>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13.11.</w:t>
            </w:r>
          </w:p>
        </w:tc>
        <w:tc>
          <w:tcPr>
            <w:tcW w:w="1900" w:type="dxa"/>
            <w:vAlign w:val="bottom"/>
            <w:gridSpan w:val="4"/>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Waiver of Jury Trial</w:t>
            </w:r>
          </w:p>
        </w:tc>
        <w:tc>
          <w:tcPr>
            <w:tcW w:w="116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13.12.</w:t>
            </w:r>
          </w:p>
        </w:tc>
        <w:tc>
          <w:tcPr>
            <w:tcW w:w="190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6"/>
              </w:rPr>
              <w:t>Waiver of Immunity</w:t>
            </w: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104</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13.13.</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Entire Agreement</w:t>
            </w:r>
          </w:p>
        </w:tc>
        <w:tc>
          <w:tcPr>
            <w:tcW w:w="180" w:type="dxa"/>
            <w:vAlign w:val="bottom"/>
          </w:tcPr>
          <w:p>
            <w:pPr>
              <w:spacing w:after="0"/>
              <w:rPr>
                <w:sz w:val="22"/>
                <w:szCs w:val="22"/>
                <w:color w:val="auto"/>
              </w:rPr>
            </w:pPr>
          </w:p>
        </w:tc>
        <w:tc>
          <w:tcPr>
            <w:tcW w:w="116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w w:val="96"/>
              </w:rPr>
              <w:t>104</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13.14.</w:t>
            </w:r>
          </w:p>
        </w:tc>
        <w:tc>
          <w:tcPr>
            <w:tcW w:w="130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600" w:type="dxa"/>
            <w:vAlign w:val="bottom"/>
            <w:gridSpan w:val="2"/>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13.15.</w:t>
            </w: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No Fiduciary Relationship  105</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1800" w:type="dxa"/>
            <w:vAlign w:val="bottom"/>
            <w:gridSpan w:val="2"/>
          </w:tcPr>
          <w:p>
            <w:pPr>
              <w:ind w:left="500"/>
              <w:spacing w:after="0" w:line="243" w:lineRule="exact"/>
              <w:rPr>
                <w:sz w:val="20"/>
                <w:szCs w:val="20"/>
                <w:color w:val="auto"/>
              </w:rPr>
            </w:pPr>
            <w:r>
              <w:rPr>
                <w:rFonts w:ascii="Times New Roman" w:cs="Times New Roman" w:eastAsia="Times New Roman" w:hAnsi="Times New Roman"/>
                <w:sz w:val="22"/>
                <w:szCs w:val="22"/>
                <w:color w:val="auto"/>
              </w:rPr>
              <w:t>Section 13.16.</w:t>
            </w:r>
          </w:p>
        </w:tc>
        <w:tc>
          <w:tcPr>
            <w:tcW w:w="17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1340" w:type="dxa"/>
            <w:vAlign w:val="bottom"/>
            <w:gridSpan w:val="2"/>
          </w:tcPr>
          <w:p>
            <w:pPr>
              <w:jc w:val="right"/>
              <w:ind w:right="832"/>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6"/>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13.17.</w:t>
            </w:r>
          </w:p>
        </w:tc>
        <w:tc>
          <w:tcPr>
            <w:tcW w:w="4480" w:type="dxa"/>
            <w:vAlign w:val="bottom"/>
            <w:gridSpan w:val="6"/>
          </w:tcPr>
          <w:p>
            <w:pPr>
              <w:ind w:left="140"/>
              <w:spacing w:after="0"/>
              <w:rPr>
                <w:sz w:val="20"/>
                <w:szCs w:val="20"/>
                <w:color w:val="auto"/>
              </w:rPr>
            </w:pPr>
            <w:r>
              <w:rPr>
                <w:rFonts w:ascii="Times New Roman" w:cs="Times New Roman" w:eastAsia="Times New Roman" w:hAnsi="Times New Roman"/>
                <w:sz w:val="22"/>
                <w:szCs w:val="22"/>
                <w:color w:val="auto"/>
                <w:w w:val="98"/>
              </w:rPr>
              <w:t>Treatment of Certain Information; Confidentiality</w:t>
            </w:r>
          </w:p>
        </w:tc>
        <w:tc>
          <w:tcPr>
            <w:tcW w:w="2780" w:type="dxa"/>
            <w:vAlign w:val="bottom"/>
          </w:tcPr>
          <w:p>
            <w:pPr>
              <w:jc w:val="right"/>
              <w:ind w:right="2152"/>
              <w:spacing w:after="0"/>
              <w:rPr>
                <w:sz w:val="20"/>
                <w:szCs w:val="20"/>
                <w:color w:val="auto"/>
              </w:rPr>
            </w:pPr>
            <w:r>
              <w:rPr>
                <w:rFonts w:ascii="Times New Roman" w:cs="Times New Roman" w:eastAsia="Times New Roman" w:hAnsi="Times New Roman"/>
                <w:sz w:val="22"/>
                <w:szCs w:val="22"/>
                <w:color w:val="auto"/>
              </w:rPr>
              <w:t>105</w:t>
            </w:r>
          </w:p>
        </w:tc>
      </w:tr>
      <w:tr>
        <w:trPr>
          <w:trHeight w:val="257"/>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13.18.</w:t>
            </w:r>
          </w:p>
        </w:tc>
        <w:tc>
          <w:tcPr>
            <w:tcW w:w="30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6"/>
              </w:rPr>
              <w:t>Releases of Guarantees and Liens</w:t>
            </w:r>
          </w:p>
        </w:tc>
        <w:tc>
          <w:tcPr>
            <w:tcW w:w="14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106</w:t>
            </w:r>
          </w:p>
        </w:tc>
        <w:tc>
          <w:tcPr>
            <w:tcW w:w="2780" w:type="dxa"/>
            <w:vAlign w:val="bottom"/>
          </w:tcPr>
          <w:p>
            <w:pPr>
              <w:spacing w:after="0"/>
              <w:rPr>
                <w:sz w:val="22"/>
                <w:szCs w:val="22"/>
                <w:color w:val="auto"/>
              </w:rPr>
            </w:pPr>
          </w:p>
        </w:tc>
      </w:tr>
      <w:tr>
        <w:trPr>
          <w:trHeight w:val="282"/>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Section 13.19.</w:t>
            </w:r>
          </w:p>
        </w:tc>
        <w:tc>
          <w:tcPr>
            <w:tcW w:w="7260" w:type="dxa"/>
            <w:vAlign w:val="bottom"/>
            <w:gridSpan w:val="7"/>
          </w:tcPr>
          <w:p>
            <w:pPr>
              <w:ind w:left="140"/>
              <w:spacing w:after="0"/>
              <w:rPr>
                <w:sz w:val="20"/>
                <w:szCs w:val="20"/>
                <w:color w:val="auto"/>
              </w:rPr>
            </w:pPr>
            <w:r>
              <w:rPr>
                <w:rFonts w:ascii="Times New Roman" w:cs="Times New Roman" w:eastAsia="Times New Roman" w:hAnsi="Times New Roman"/>
                <w:sz w:val="22"/>
                <w:szCs w:val="22"/>
                <w:color w:val="auto"/>
                <w:w w:val="99"/>
              </w:rPr>
              <w:t>Acknowledgement and Consent to Bail-In of Affected Financial Institutions  106</w:t>
            </w:r>
          </w:p>
        </w:tc>
      </w:tr>
      <w:tr>
        <w:trPr>
          <w:trHeight w:val="486"/>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Schedules:</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406"/>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1  —  Commitments and Warrant Shares</w:t>
            </w: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7"/>
        </w:trPr>
        <w:tc>
          <w:tcPr>
            <w:tcW w:w="3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2  —  Notice Addresses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Schedule 3  —</w:t>
            </w:r>
          </w:p>
        </w:tc>
        <w:tc>
          <w:tcPr>
            <w:tcW w:w="136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Products</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7.05(b)  —  Obligor Intellectual Property</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3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Schedule 7.14  —  Material Agreements</w:t>
            </w: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486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Schedule 7.15  —  Restrictive Agreements</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31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Schedule 7.16  —  Real Property</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35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Schedule 7.17  —  Pension Matters</w:t>
            </w: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486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Schedule 7.19(b)  —  Regulatory Approvals</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Schedule 7.20</w:t>
            </w:r>
          </w:p>
        </w:tc>
        <w:tc>
          <w:tcPr>
            <w:tcW w:w="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Capitalization</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Schedule 7.22</w:t>
            </w:r>
          </w:p>
        </w:tc>
        <w:tc>
          <w:tcPr>
            <w:tcW w:w="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Broker’s Fee</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4860" w:type="dxa"/>
            <w:vAlign w:val="bottom"/>
            <w:gridSpan w:val="7"/>
          </w:tcPr>
          <w:p>
            <w:pPr>
              <w:spacing w:after="0" w:line="243" w:lineRule="exact"/>
              <w:rPr>
                <w:sz w:val="20"/>
                <w:szCs w:val="20"/>
                <w:color w:val="auto"/>
              </w:rPr>
            </w:pPr>
            <w:r>
              <w:rPr>
                <w:rFonts w:ascii="Times New Roman" w:cs="Times New Roman" w:eastAsia="Times New Roman" w:hAnsi="Times New Roman"/>
                <w:sz w:val="22"/>
                <w:szCs w:val="22"/>
                <w:color w:val="auto"/>
              </w:rPr>
              <w:t>Schedule 7.26  —  Royalty and Other Payments</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6"/>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8.18  —  Post-Closing Obligations</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48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Schedule 9.01(a)  —  Permitted Indebtedness</w:t>
            </w: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43"/>
        </w:trPr>
        <w:tc>
          <w:tcPr>
            <w:tcW w:w="352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Schedule 9.02(b)  —  Permitted Liens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57"/>
        </w:trPr>
        <w:tc>
          <w:tcPr>
            <w:tcW w:w="37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Schedule 9.05  —  Existing Investments</w:t>
            </w:r>
          </w:p>
        </w:tc>
        <w:tc>
          <w:tcPr>
            <w:tcW w:w="1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Schedule 9.10</w:t>
            </w:r>
          </w:p>
        </w:tc>
        <w:tc>
          <w:tcPr>
            <w:tcW w:w="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306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Transactions with Affiliates</w:t>
            </w: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408" w:right="1440"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2"/>
          <w:szCs w:val="22"/>
          <w:color w:val="auto"/>
        </w:rPr>
        <w:t>Exhibits:</w:t>
      </w:r>
    </w:p>
    <w:p>
      <w:pPr>
        <w:spacing w:after="0" w:line="179" w:lineRule="exact"/>
        <w:rPr>
          <w:sz w:val="20"/>
          <w:szCs w:val="20"/>
          <w:color w:val="auto"/>
        </w:rPr>
      </w:pPr>
    </w:p>
    <w:p>
      <w:pPr>
        <w:ind w:right="4899"/>
        <w:spacing w:after="0" w:line="248" w:lineRule="auto"/>
        <w:rPr>
          <w:sz w:val="20"/>
          <w:szCs w:val="20"/>
          <w:color w:val="auto"/>
        </w:rPr>
      </w:pPr>
      <w:r>
        <w:rPr>
          <w:rFonts w:ascii="Times New Roman" w:cs="Times New Roman" w:eastAsia="Times New Roman" w:hAnsi="Times New Roman"/>
          <w:sz w:val="22"/>
          <w:szCs w:val="22"/>
          <w:color w:val="auto"/>
        </w:rPr>
        <w:t>Exhibit A — Form of Guarantee Assumption Agreement Exhibit B — Form of Borrowing Notice</w:t>
      </w:r>
    </w:p>
    <w:p>
      <w:pPr>
        <w:spacing w:after="0" w:line="1" w:lineRule="exact"/>
        <w:rPr>
          <w:sz w:val="20"/>
          <w:szCs w:val="20"/>
          <w:color w:val="auto"/>
        </w:rPr>
      </w:pPr>
    </w:p>
    <w:p>
      <w:pPr>
        <w:spacing w:after="0"/>
        <w:tabs>
          <w:tab w:leader="none" w:pos="1040" w:val="left"/>
          <w:tab w:leader="none" w:pos="1480" w:val="left"/>
        </w:tabs>
        <w:rPr>
          <w:sz w:val="20"/>
          <w:szCs w:val="20"/>
          <w:color w:val="auto"/>
        </w:rPr>
      </w:pPr>
      <w:r>
        <w:rPr>
          <w:rFonts w:ascii="Times New Roman" w:cs="Times New Roman" w:eastAsia="Times New Roman" w:hAnsi="Times New Roman"/>
          <w:sz w:val="22"/>
          <w:szCs w:val="22"/>
          <w:color w:val="auto"/>
        </w:rPr>
        <w:t>Exhibit C</w:t>
        <w:tab/>
        <w:t>—</w:t>
      </w:r>
      <w:r>
        <w:rPr>
          <w:sz w:val="20"/>
          <w:szCs w:val="20"/>
          <w:color w:val="auto"/>
        </w:rPr>
        <w:tab/>
      </w:r>
      <w:r>
        <w:rPr>
          <w:rFonts w:ascii="Times New Roman" w:cs="Times New Roman" w:eastAsia="Times New Roman" w:hAnsi="Times New Roman"/>
          <w:sz w:val="21"/>
          <w:szCs w:val="21"/>
          <w:color w:val="auto"/>
        </w:rPr>
        <w:t>Form of Note</w:t>
      </w:r>
    </w:p>
    <w:p>
      <w:pPr>
        <w:spacing w:after="0" w:line="4" w:lineRule="exact"/>
        <w:rPr>
          <w:sz w:val="20"/>
          <w:szCs w:val="20"/>
          <w:color w:val="auto"/>
        </w:rPr>
      </w:pPr>
    </w:p>
    <w:p>
      <w:pPr>
        <w:ind w:right="5059"/>
        <w:spacing w:after="0"/>
        <w:rPr>
          <w:sz w:val="20"/>
          <w:szCs w:val="20"/>
          <w:color w:val="auto"/>
        </w:rPr>
      </w:pPr>
      <w:r>
        <w:rPr>
          <w:rFonts w:ascii="Times New Roman" w:cs="Times New Roman" w:eastAsia="Times New Roman" w:hAnsi="Times New Roman"/>
          <w:sz w:val="22"/>
          <w:szCs w:val="22"/>
          <w:color w:val="auto"/>
        </w:rPr>
        <w:t>Exhibit D — Form of U.S. Tax Compliance Certificate Exhibit E — Form of Compliance Certificate Exhibit F — Form of Assignment Agreement Exhibit G — Form of Security Agreement</w:t>
      </w:r>
    </w:p>
    <w:p>
      <w:pPr>
        <w:spacing w:after="0" w:line="1" w:lineRule="exact"/>
        <w:rPr>
          <w:sz w:val="20"/>
          <w:szCs w:val="20"/>
          <w:color w:val="auto"/>
        </w:rPr>
      </w:pPr>
    </w:p>
    <w:p>
      <w:pPr>
        <w:ind w:right="4159"/>
        <w:spacing w:after="0" w:line="239" w:lineRule="auto"/>
        <w:rPr>
          <w:sz w:val="20"/>
          <w:szCs w:val="20"/>
          <w:color w:val="auto"/>
        </w:rPr>
      </w:pPr>
      <w:r>
        <w:rPr>
          <w:rFonts w:ascii="Times New Roman" w:cs="Times New Roman" w:eastAsia="Times New Roman" w:hAnsi="Times New Roman"/>
          <w:sz w:val="22"/>
          <w:szCs w:val="22"/>
          <w:color w:val="auto"/>
        </w:rPr>
        <w:t>Exhibit H-1 — Form of Patent &amp; Trademark Security Agreement Exhibit H-2 — Form of Copyright Security Agreement Exhibit I — Form of Collateral Questionnaire</w:t>
      </w:r>
    </w:p>
    <w:p>
      <w:pPr>
        <w:spacing w:after="0"/>
        <w:tabs>
          <w:tab w:leader="none" w:pos="980" w:val="left"/>
          <w:tab w:leader="none" w:pos="1420" w:val="left"/>
        </w:tabs>
        <w:rPr>
          <w:sz w:val="20"/>
          <w:szCs w:val="20"/>
          <w:color w:val="auto"/>
        </w:rPr>
      </w:pPr>
      <w:r>
        <w:rPr>
          <w:rFonts w:ascii="Times New Roman" w:cs="Times New Roman" w:eastAsia="Times New Roman" w:hAnsi="Times New Roman"/>
          <w:sz w:val="22"/>
          <w:szCs w:val="22"/>
          <w:color w:val="auto"/>
        </w:rPr>
        <w:t>Exhibit J</w:t>
        <w:tab/>
        <w:t>—</w:t>
      </w:r>
      <w:r>
        <w:rPr>
          <w:sz w:val="20"/>
          <w:szCs w:val="20"/>
          <w:color w:val="auto"/>
        </w:rPr>
        <w:tab/>
      </w:r>
      <w:r>
        <w:rPr>
          <w:rFonts w:ascii="Times New Roman" w:cs="Times New Roman" w:eastAsia="Times New Roman" w:hAnsi="Times New Roman"/>
          <w:sz w:val="21"/>
          <w:szCs w:val="21"/>
          <w:color w:val="auto"/>
        </w:rPr>
        <w:t>Form of Tranche D Term Loan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08" w:right="1440" w:bottom="1440" w:gutter="0" w:footer="0" w:header="0"/>
        </w:sectPr>
      </w:pPr>
    </w:p>
    <w:bookmarkStart w:id="134" w:name="page135"/>
    <w:bookmarkEnd w:id="134"/>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Credit Agreement And Guaranty, dated as of April 25, 2025 (as the same may be amended, restated, amended and restated, modified, or supplemented from time to time, this </w:t>
      </w:r>
      <w:r>
        <w:rPr>
          <w:rFonts w:ascii="Times New Roman" w:cs="Times New Roman" w:eastAsia="Times New Roman" w:hAnsi="Times New Roman"/>
          <w:sz w:val="21"/>
          <w:szCs w:val="21"/>
          <w:i w:val="1"/>
          <w:iCs w:val="1"/>
          <w:color w:val="auto"/>
        </w:rPr>
        <w:t>“Agreement”</w:t>
      </w:r>
      <w:r>
        <w:rPr>
          <w:rFonts w:ascii="Times New Roman" w:cs="Times New Roman" w:eastAsia="Times New Roman" w:hAnsi="Times New Roman"/>
          <w:sz w:val="21"/>
          <w:szCs w:val="21"/>
          <w:color w:val="auto"/>
        </w:rPr>
        <w:t xml:space="preserve">), among Exagen Inc., a Delaware corporation (the </w:t>
      </w:r>
      <w:r>
        <w:rPr>
          <w:rFonts w:ascii="Times New Roman" w:cs="Times New Roman" w:eastAsia="Times New Roman" w:hAnsi="Times New Roman"/>
          <w:sz w:val="21"/>
          <w:szCs w:val="21"/>
          <w:i w:val="1"/>
          <w:iCs w:val="1"/>
          <w:color w:val="auto"/>
        </w:rPr>
        <w:t>“Borrower”</w:t>
      </w:r>
      <w:r>
        <w:rPr>
          <w:rFonts w:ascii="Times New Roman" w:cs="Times New Roman" w:eastAsia="Times New Roman" w:hAnsi="Times New Roman"/>
          <w:sz w:val="21"/>
          <w:szCs w:val="21"/>
          <w:color w:val="auto"/>
        </w:rPr>
        <w:t>), certain Guarantors from time to time parties hereto, the lenders from time to time party hereto (each, as a</w:t>
      </w:r>
      <w:r>
        <w:rPr>
          <w:rFonts w:ascii="Times New Roman" w:cs="Times New Roman" w:eastAsia="Times New Roman" w:hAnsi="Times New Roman"/>
          <w:sz w:val="21"/>
          <w:szCs w:val="21"/>
          <w:i w:val="1"/>
          <w:iCs w:val="1"/>
          <w:color w:val="auto"/>
        </w:rPr>
        <w:t xml:space="preserve"> “Lender” </w:t>
      </w:r>
      <w:r>
        <w:rPr>
          <w:rFonts w:ascii="Times New Roman" w:cs="Times New Roman" w:eastAsia="Times New Roman" w:hAnsi="Times New Roman"/>
          <w:sz w:val="21"/>
          <w:szCs w:val="21"/>
          <w:color w:val="auto"/>
        </w:rPr>
        <w:t xml:space="preserve">and collectively, the </w:t>
      </w:r>
      <w:r>
        <w:rPr>
          <w:rFonts w:ascii="Times New Roman" w:cs="Times New Roman" w:eastAsia="Times New Roman" w:hAnsi="Times New Roman"/>
          <w:sz w:val="21"/>
          <w:szCs w:val="21"/>
          <w:i w:val="1"/>
          <w:iCs w:val="1"/>
          <w:color w:val="auto"/>
        </w:rPr>
        <w:t>“Lenders”</w:t>
      </w:r>
      <w:r>
        <w:rPr>
          <w:rFonts w:ascii="Times New Roman" w:cs="Times New Roman" w:eastAsia="Times New Roman" w:hAnsi="Times New Roman"/>
          <w:sz w:val="21"/>
          <w:szCs w:val="21"/>
          <w:color w:val="auto"/>
        </w:rPr>
        <w:t>) and Perceptive Credit Holdings IV, LP, a Delaware limited partnership (</w:t>
      </w:r>
      <w:r>
        <w:rPr>
          <w:rFonts w:ascii="Times New Roman" w:cs="Times New Roman" w:eastAsia="Times New Roman" w:hAnsi="Times New Roman"/>
          <w:sz w:val="21"/>
          <w:szCs w:val="21"/>
          <w:i w:val="1"/>
          <w:iCs w:val="1"/>
          <w:color w:val="auto"/>
        </w:rPr>
        <w:t>“Perceptive”</w:t>
      </w:r>
      <w:r>
        <w:rPr>
          <w:rFonts w:ascii="Times New Roman" w:cs="Times New Roman" w:eastAsia="Times New Roman" w:hAnsi="Times New Roman"/>
          <w:sz w:val="21"/>
          <w:szCs w:val="21"/>
          <w:color w:val="auto"/>
        </w:rPr>
        <w:t xml:space="preserve">), as administrative agent for the Lenders (in such capacity, together with its successors and assigns, the </w:t>
      </w:r>
      <w:r>
        <w:rPr>
          <w:rFonts w:ascii="Times New Roman" w:cs="Times New Roman" w:eastAsia="Times New Roman" w:hAnsi="Times New Roman"/>
          <w:sz w:val="21"/>
          <w:szCs w:val="21"/>
          <w:i w:val="1"/>
          <w:iCs w:val="1"/>
          <w:color w:val="auto"/>
        </w:rPr>
        <w:t>“Administrative Agent”</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Borrower has requested that the Lenders make certain term loans to the Borrower, and the Lenders are prepared to make such loans on and subject to the terms and conditions hereof. Accordingly, the parties agree as follows:</w:t>
      </w:r>
    </w:p>
    <w:p>
      <w:pPr>
        <w:spacing w:after="0" w:line="14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1.01.  Certain Defined Terms</w:t>
      </w:r>
      <w:r>
        <w:rPr>
          <w:rFonts w:ascii="Times New Roman" w:cs="Times New Roman" w:eastAsia="Times New Roman" w:hAnsi="Times New Roman"/>
          <w:sz w:val="22"/>
          <w:szCs w:val="22"/>
          <w:color w:val="auto"/>
        </w:rPr>
        <w:t>. As used herein, the following terms have the following respective meanings: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w:t>
      </w:r>
      <w:r>
        <w:rPr>
          <w:rFonts w:ascii="Times New Roman" w:cs="Times New Roman" w:eastAsia="Times New Roman" w:hAnsi="Times New Roman"/>
          <w:sz w:val="22"/>
          <w:szCs w:val="22"/>
          <w:color w:val="auto"/>
        </w:rPr>
        <w:t>has the meaning set forth in Section 1.02.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“Accounting Change Notice” </w:t>
      </w:r>
      <w:r>
        <w:rPr>
          <w:rFonts w:ascii="Times New Roman" w:cs="Times New Roman" w:eastAsia="Times New Roman" w:hAnsi="Times New Roman"/>
          <w:sz w:val="22"/>
          <w:szCs w:val="22"/>
          <w:color w:val="auto"/>
        </w:rPr>
        <w:t>has the meaning set forth in Section 1.02.</w:t>
      </w:r>
    </w:p>
    <w:p>
      <w:pPr>
        <w:spacing w:after="0" w:line="22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i w:val="1"/>
          <w:iCs w:val="1"/>
          <w:color w:val="auto"/>
        </w:rPr>
        <w:t xml:space="preserve">“Acquisition” </w:t>
      </w:r>
      <w:r>
        <w:rPr>
          <w:rFonts w:ascii="Times New Roman" w:cs="Times New Roman" w:eastAsia="Times New Roman" w:hAnsi="Times New Roman"/>
          <w:sz w:val="21"/>
          <w:szCs w:val="21"/>
          <w:color w:val="auto"/>
        </w:rPr>
        <w:t>means any transaction, or any series of related transactions, by which any Person directly or indirectly,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or (d) acquires Control of more than 50% of the ownership interest in any Person engaged in any business that is not managed by a Board or other governing body.</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has the meaning set forth in Section 13.16.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“Administrative Agent” </w:t>
      </w:r>
      <w:r>
        <w:rPr>
          <w:rFonts w:ascii="Times New Roman" w:cs="Times New Roman" w:eastAsia="Times New Roman" w:hAnsi="Times New Roman"/>
          <w:sz w:val="22"/>
          <w:szCs w:val="22"/>
          <w:color w:val="auto"/>
        </w:rPr>
        <w:t>has the meaning set forth in the introduction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“Affiliate” </w:t>
      </w:r>
      <w:r>
        <w:rPr>
          <w:rFonts w:ascii="Times New Roman" w:cs="Times New Roman" w:eastAsia="Times New Roman" w:hAnsi="Times New Roman"/>
          <w:sz w:val="22"/>
          <w:szCs w:val="22"/>
          <w:color w:val="auto"/>
        </w:rPr>
        <w:t>means, with respect to a specified Person, another Person that directly, or indirectly through one or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intermediaries, Controls or is Controlled by or is under common Control with the Person specified.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has the meaning set forth in the introduction hereto.</w:t>
      </w:r>
    </w:p>
    <w:p>
      <w:pPr>
        <w:sectPr>
          <w:pgSz w:w="11900" w:h="16838" w:orient="portrait"/>
          <w:cols w:equalWidth="0" w:num="1">
            <w:col w:w="11240"/>
          </w:cols>
          <w:pgMar w:left="320" w:top="1421" w:right="339" w:bottom="1440" w:gutter="0" w:footer="0" w:header="0"/>
        </w:sectPr>
      </w:pPr>
    </w:p>
    <w:bookmarkStart w:id="135" w:name="page136"/>
    <w:bookmarkEnd w:id="135"/>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“Anti-Corruption Laws” </w:t>
      </w:r>
      <w:r>
        <w:rPr>
          <w:rFonts w:ascii="Times New Roman" w:cs="Times New Roman" w:eastAsia="Times New Roman" w:hAnsi="Times New Roman"/>
          <w:sz w:val="22"/>
          <w:szCs w:val="22"/>
          <w:color w:val="auto"/>
        </w:rPr>
        <w:t>means all laws, rules and regulations of any jurisdiction applicable to the Obligors and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Affiliates concerning or relating to bribery or corruption, including, without limitation, the Foreign Corrupt Practices Act of 1977, as amended.</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“Anti-Terrorism Laws” </w:t>
      </w:r>
      <w:r>
        <w:rPr>
          <w:rFonts w:ascii="Times New Roman" w:cs="Times New Roman" w:eastAsia="Times New Roman" w:hAnsi="Times New Roman"/>
          <w:sz w:val="22"/>
          <w:szCs w:val="22"/>
          <w:color w:val="auto"/>
        </w:rPr>
        <w:t>means any laws or regulations relating to terrorism or money laundering, including,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limitation the </w:t>
      </w:r>
      <w:r>
        <w:rPr>
          <w:rFonts w:ascii="Times New Roman" w:cs="Times New Roman" w:eastAsia="Times New Roman" w:hAnsi="Times New Roman"/>
          <w:sz w:val="22"/>
          <w:szCs w:val="22"/>
          <w:i w:val="1"/>
          <w:iCs w:val="1"/>
          <w:color w:val="auto"/>
        </w:rPr>
        <w:t>Bank Secrecy Act</w:t>
      </w:r>
      <w:r>
        <w:rPr>
          <w:rFonts w:ascii="Times New Roman" w:cs="Times New Roman" w:eastAsia="Times New Roman" w:hAnsi="Times New Roman"/>
          <w:sz w:val="22"/>
          <w:szCs w:val="22"/>
          <w:color w:val="auto"/>
        </w:rPr>
        <w:t xml:space="preserve"> (31 U.S.C. §§ 5311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Money Laundering Control Act of 1986</w:t>
      </w:r>
      <w:r>
        <w:rPr>
          <w:rFonts w:ascii="Times New Roman" w:cs="Times New Roman" w:eastAsia="Times New Roman" w:hAnsi="Times New Roman"/>
          <w:sz w:val="22"/>
          <w:szCs w:val="22"/>
          <w:color w:val="auto"/>
        </w:rPr>
        <w:t xml:space="preserve"> (18 U.S.C. §§ 1956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the USA Patriot Act and any similar law enacted in the United States after the date of this Agreement.</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“Applicable Margin” </w:t>
      </w:r>
      <w:r>
        <w:rPr>
          <w:rFonts w:ascii="Times New Roman" w:cs="Times New Roman" w:eastAsia="Times New Roman" w:hAnsi="Times New Roman"/>
          <w:sz w:val="22"/>
          <w:szCs w:val="22"/>
          <w:color w:val="auto"/>
        </w:rPr>
        <w:t>means 7.00% per annum.</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i w:val="1"/>
          <w:iCs w:val="1"/>
          <w:color w:val="auto"/>
        </w:rPr>
        <w:t xml:space="preserve">“Approved Fund” </w:t>
      </w:r>
      <w:r>
        <w:rPr>
          <w:rFonts w:ascii="Times New Roman" w:cs="Times New Roman" w:eastAsia="Times New Roman" w:hAnsi="Times New Roman"/>
          <w:sz w:val="21"/>
          <w:szCs w:val="21"/>
          <w:color w:val="auto"/>
        </w:rPr>
        <w:t>means any Person (other than a natural person) that is engaged in making, purchasing, holding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“Asset Sale” </w:t>
      </w:r>
      <w:r>
        <w:rPr>
          <w:rFonts w:ascii="Times New Roman" w:cs="Times New Roman" w:eastAsia="Times New Roman" w:hAnsi="Times New Roman"/>
          <w:sz w:val="22"/>
          <w:szCs w:val="22"/>
          <w:color w:val="auto"/>
        </w:rPr>
        <w:t>has the meaning set forth in Section 9.09.</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“Assignment Agreement” </w:t>
      </w:r>
      <w:r>
        <w:rPr>
          <w:rFonts w:ascii="Times New Roman" w:cs="Times New Roman" w:eastAsia="Times New Roman" w:hAnsi="Times New Roman"/>
          <w:sz w:val="22"/>
          <w:szCs w:val="22"/>
          <w:color w:val="auto"/>
        </w:rPr>
        <w:t>means an assignment and assumption entered into by a Lender and an assignee of such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substantially the form of Exhibit F.</w:t>
      </w:r>
    </w:p>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Available Tenor</w:t>
      </w:r>
      <w:r>
        <w:rPr>
          <w:rFonts w:ascii="Times New Roman" w:cs="Times New Roman" w:eastAsia="Times New Roman" w:hAnsi="Times New Roman"/>
          <w:sz w:val="21"/>
          <w:szCs w:val="21"/>
          <w:color w:val="auto"/>
        </w:rPr>
        <w:t xml:space="preserve">” means, as of the Closing Date, the only Available Tenor for Term SOFR is an interest period of one (1) month;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may select to use additional interest periods in consultation with the Borrower and in accordance with the terms of Section 3.02(c)(iv) and such interest periods shall become Available Tenors upon such selection.</w:t>
      </w:r>
    </w:p>
    <w:p>
      <w:pPr>
        <w:spacing w:after="0" w:line="14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“Bail-In Action” </w:t>
      </w:r>
      <w:r>
        <w:rPr>
          <w:rFonts w:ascii="Times New Roman" w:cs="Times New Roman" w:eastAsia="Times New Roman" w:hAnsi="Times New Roman"/>
          <w:sz w:val="22"/>
          <w:szCs w:val="22"/>
          <w:color w:val="auto"/>
        </w:rPr>
        <w:t>means the exercise of any Write-Down and Conversion Powers by the applicable Resolution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respect of any liability of an Affected Financial Institution.</w:t>
      </w:r>
    </w:p>
    <w:p>
      <w:pPr>
        <w:spacing w:after="0" w:line="1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“Bail-In Legislation” </w:t>
      </w:r>
      <w:r>
        <w:rPr>
          <w:rFonts w:ascii="Times New Roman" w:cs="Times New Roman" w:eastAsia="Times New Roman" w:hAnsi="Times New Roman"/>
          <w:sz w:val="22"/>
          <w:szCs w:val="22"/>
          <w:color w:val="auto"/>
        </w:rPr>
        <w:t>means (a) with respect to any EEA Member Country implementing Article 55 of Directive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“Bankruptcy Code” </w:t>
      </w:r>
      <w:r>
        <w:rPr>
          <w:rFonts w:ascii="Times New Roman" w:cs="Times New Roman" w:eastAsia="Times New Roman" w:hAnsi="Times New Roman"/>
          <w:sz w:val="22"/>
          <w:szCs w:val="22"/>
          <w:color w:val="auto"/>
        </w:rPr>
        <w:t>means Title 11 of the United States Code entitled “Bankruptcy.”</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then-current Benchmark, then “Benchmark” means the applicable Benchmark Replacement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the extent that such Benchmark Replacement has replaced such prior benchmark rate pursuant to Section 3.02(c).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means the first alternative set forth in the order below that can be determined by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for the applicable Benchmark Replacement Date:</w:t>
      </w:r>
    </w:p>
    <w:p>
      <w:pPr>
        <w:spacing w:after="0" w:line="209" w:lineRule="exact"/>
        <w:rPr>
          <w:sz w:val="20"/>
          <w:szCs w:val="20"/>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Daily Simple SOFR; or</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5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5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means a date and time determined by the Administrative Agent, which date shall be no later than the earliest to occur of the following events with respect to the then-current Benchmark:</w:t>
      </w:r>
    </w:p>
    <w:p>
      <w:pPr>
        <w:spacing w:after="0" w:line="153" w:lineRule="exact"/>
        <w:rPr>
          <w:sz w:val="20"/>
          <w:szCs w:val="20"/>
          <w:color w:val="auto"/>
        </w:rPr>
      </w:pPr>
    </w:p>
    <w:p>
      <w:pPr>
        <w:jc w:val="both"/>
        <w:ind w:left="660" w:firstLine="644"/>
        <w:spacing w:after="0" w:line="256" w:lineRule="auto"/>
        <w:tabs>
          <w:tab w:leader="none" w:pos="19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1" w:right="339" w:bottom="1440" w:gutter="0" w:footer="0" w:header="0"/>
        </w:sectPr>
      </w:pPr>
    </w:p>
    <w:bookmarkStart w:id="137" w:name="page138"/>
    <w:bookmarkEnd w:id="137"/>
    <w:p>
      <w:pPr>
        <w:jc w:val="both"/>
        <w:ind w:left="660"/>
        <w:spacing w:after="0" w:line="259" w:lineRule="auto"/>
        <w:rPr>
          <w:sz w:val="20"/>
          <w:szCs w:val="20"/>
          <w:color w:val="auto"/>
        </w:rPr>
      </w:pPr>
      <w:r>
        <w:rPr>
          <w:rFonts w:ascii="Times New Roman" w:cs="Times New Roman" w:eastAsia="Times New Roman" w:hAnsi="Times New Roman"/>
          <w:sz w:val="22"/>
          <w:szCs w:val="22"/>
          <w:color w:val="auto"/>
        </w:rPr>
        <w:t xml:space="preserve">representative;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6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67" w:lineRule="exact"/>
        <w:rPr>
          <w:sz w:val="20"/>
          <w:szCs w:val="20"/>
          <w:color w:val="auto"/>
        </w:rPr>
      </w:pPr>
    </w:p>
    <w:p>
      <w:pPr>
        <w:jc w:val="both"/>
        <w:ind w:left="660" w:firstLine="644"/>
        <w:spacing w:after="0" w:line="250" w:lineRule="auto"/>
        <w:tabs>
          <w:tab w:leader="none" w:pos="195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has the meaning set forth in Section 13.16.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7" w:right="339" w:bottom="1440" w:gutter="0" w:footer="0" w:header="0"/>
        </w:sectPr>
      </w:pPr>
    </w:p>
    <w:bookmarkStart w:id="138" w:name="page139"/>
    <w:bookmarkEnd w:id="138"/>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“Benefit Plan” </w:t>
      </w:r>
      <w:r>
        <w:rPr>
          <w:rFonts w:ascii="Times New Roman" w:cs="Times New Roman" w:eastAsia="Times New Roman" w:hAnsi="Times New Roman"/>
          <w:sz w:val="22"/>
          <w:szCs w:val="22"/>
          <w:color w:val="auto"/>
        </w:rPr>
        <w:t>means any “employee benefit plan” as defined in Section 3(3) of ERISA (other than a Multiemployer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 which any Obligor or Subsidiary thereof incurs or otherwise has any obligation or liability, contingent or otherwise.</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with respect to any Person, the board of managers or directors (as applicable) (or equivalent governing body) of such Person or any committee thereof.</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“Borrower” </w:t>
      </w:r>
      <w:r>
        <w:rPr>
          <w:rFonts w:ascii="Times New Roman" w:cs="Times New Roman" w:eastAsia="Times New Roman" w:hAnsi="Times New Roman"/>
          <w:sz w:val="22"/>
          <w:szCs w:val="22"/>
          <w:color w:val="auto"/>
        </w:rPr>
        <w:t>has the meaning set forth in the introduction hereto.</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means a borrowing consisting of the Tranche A Term Loan made by the Lenders on the Closing Date, the Tranche B Term Loan made by the Lenders on the Tranche B Term Loan Borrowing Date and the Tranche D Term Loan made by the Lenders on the Tranche D Term Loan Borrowing Date,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means a notice substantially in the form attached hereto as Exhibit B.</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“Business Day” </w:t>
      </w:r>
      <w:r>
        <w:rPr>
          <w:rFonts w:ascii="Times New Roman" w:cs="Times New Roman" w:eastAsia="Times New Roman" w:hAnsi="Times New Roman"/>
          <w:sz w:val="22"/>
          <w:szCs w:val="22"/>
          <w:color w:val="auto"/>
        </w:rPr>
        <w:t>means a day (other than a Saturday or Sunday) on which commercial banks are not authorized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required to close in New York City.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“Capital Lease Obligations” </w:t>
      </w:r>
      <w:r>
        <w:rPr>
          <w:rFonts w:ascii="Times New Roman" w:cs="Times New Roman" w:eastAsia="Times New Roman" w:hAnsi="Times New Roman"/>
          <w:sz w:val="22"/>
          <w:szCs w:val="22"/>
          <w:color w:val="auto"/>
        </w:rPr>
        <w:t>means, as to any Person, the obligations of such Person to pay rent or other amounts under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“Casualty Event” </w:t>
      </w:r>
      <w:r>
        <w:rPr>
          <w:rFonts w:ascii="Times New Roman" w:cs="Times New Roman" w:eastAsia="Times New Roman" w:hAnsi="Times New Roman"/>
          <w:sz w:val="22"/>
          <w:szCs w:val="22"/>
          <w:color w:val="auto"/>
        </w:rPr>
        <w:t>means any actual or constructive loss, condemnation, destruction, confiscation, requisition, seizure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forfeiture of all or any material portion of the assets of the Borrower or any other Obligor, excluding only those assets, individually or in the aggregate, subject to any such event during any calendar year with a fair market value as of the date thereof equal to or less than $500,000.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“Change of Control” </w:t>
      </w:r>
      <w:r>
        <w:rPr>
          <w:rFonts w:ascii="Times New Roman" w:cs="Times New Roman" w:eastAsia="Times New Roman" w:hAnsi="Times New Roman"/>
          <w:sz w:val="22"/>
          <w:szCs w:val="22"/>
          <w:color w:val="auto"/>
        </w:rPr>
        <w:t>means and shall be deemed to have occurred if:</w:t>
      </w:r>
    </w:p>
    <w:p>
      <w:pPr>
        <w:spacing w:after="0" w:line="224" w:lineRule="exact"/>
        <w:rPr>
          <w:sz w:val="20"/>
          <w:szCs w:val="20"/>
          <w:color w:val="auto"/>
        </w:rPr>
      </w:pPr>
    </w:p>
    <w:p>
      <w:pPr>
        <w:jc w:val="both"/>
        <w:ind w:left="660" w:firstLine="644"/>
        <w:spacing w:after="0" w:line="257" w:lineRule="auto"/>
        <w:tabs>
          <w:tab w:leader="none" w:pos="195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(within the meaning of Rule 13d-5 of the Exchange Act as in effect on the date hereof) shall own, directly or indirectly, beneficially or of record, shares representing 35% or more of the aggregate ordinary voting power represented by the issued and outstanding Equity Interests of the Borrower;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twelve (12) consecutive calendar months, the occupation of a majority of the seats (other than vacant seats) on the Board of the Borrower by Persons who were neither (i) nominated or approved by the Board of the Borrower, nor (ii) appointed by directors on the Board on the date hereof or so nominated;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7" w:right="339" w:bottom="1440" w:gutter="0" w:footer="0" w:header="0"/>
        </w:sectPr>
      </w:pPr>
    </w:p>
    <w:bookmarkStart w:id="139" w:name="page140"/>
    <w:bookmarkEnd w:id="139"/>
    <w:p>
      <w:pPr>
        <w:ind w:left="660" w:right="20" w:firstLine="644"/>
        <w:spacing w:after="0" w:line="271" w:lineRule="auto"/>
        <w:tabs>
          <w:tab w:leader="none" w:pos="195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shall cease to own directly, beneficially and of record, determined on a fully diluted basis, 100% of the issued and outstanding Equity Interests of its Subsidiaries.</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“Claims” </w:t>
      </w:r>
      <w:r>
        <w:rPr>
          <w:rFonts w:ascii="Times New Roman" w:cs="Times New Roman" w:eastAsia="Times New Roman" w:hAnsi="Times New Roman"/>
          <w:sz w:val="22"/>
          <w:szCs w:val="22"/>
          <w:color w:val="auto"/>
        </w:rPr>
        <w:t>includes claims, litigation, demands, complaints, grievances, actions, applications, suits, causes of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orders, charges, indictments, prosecutions, information (brought by a public prosecutor without grand jury indictment) or other similar processes, assessments or reassessments.</w:t>
      </w:r>
    </w:p>
    <w:p>
      <w:pPr>
        <w:spacing w:after="0" w:line="161"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“CLIA” </w:t>
      </w:r>
      <w:r>
        <w:rPr>
          <w:rFonts w:ascii="Times New Roman" w:cs="Times New Roman" w:eastAsia="Times New Roman" w:hAnsi="Times New Roman"/>
          <w:sz w:val="22"/>
          <w:szCs w:val="22"/>
          <w:color w:val="auto"/>
        </w:rPr>
        <w:t>means the Clinical Laboratory Improvement Amendments (CLIA) of 1988, as amended from time to time,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rules, regulations, guidelines, guidance documents and compliance policy guides issued or promulgated thereunder.</w:t>
      </w:r>
    </w:p>
    <w:p>
      <w:pPr>
        <w:spacing w:after="0" w:line="14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“Closing Date” </w:t>
      </w:r>
      <w:r>
        <w:rPr>
          <w:rFonts w:ascii="Times New Roman" w:cs="Times New Roman" w:eastAsia="Times New Roman" w:hAnsi="Times New Roman"/>
          <w:sz w:val="22"/>
          <w:szCs w:val="22"/>
          <w:color w:val="auto"/>
        </w:rPr>
        <w:t>means the Business Day on which all of the conditions set forth in Section 6.01 have been satisfied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waived by the Lenders and the Tranche A Term Loan is made.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Closing Fee</w:t>
      </w:r>
      <w:r>
        <w:rPr>
          <w:rFonts w:ascii="Times New Roman" w:cs="Times New Roman" w:eastAsia="Times New Roman" w:hAnsi="Times New Roman"/>
          <w:sz w:val="22"/>
          <w:szCs w:val="22"/>
          <w:color w:val="auto"/>
        </w:rPr>
        <w:t>” has the meaning set forth in the Letter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from time to time.</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“Collateral” </w:t>
      </w:r>
      <w:r>
        <w:rPr>
          <w:rFonts w:ascii="Times New Roman" w:cs="Times New Roman" w:eastAsia="Times New Roman" w:hAnsi="Times New Roman"/>
          <w:sz w:val="22"/>
          <w:szCs w:val="22"/>
          <w:color w:val="auto"/>
        </w:rPr>
        <w:t>means any Property in which a Lien is purported to be granted under any of the Security Documents (or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Property, as the context may require).</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“Collateral Questionnaire” </w:t>
      </w:r>
      <w:r>
        <w:rPr>
          <w:rFonts w:ascii="Times New Roman" w:cs="Times New Roman" w:eastAsia="Times New Roman" w:hAnsi="Times New Roman"/>
          <w:sz w:val="22"/>
          <w:szCs w:val="22"/>
          <w:color w:val="auto"/>
        </w:rPr>
        <w:t>means that certain Collateral Questionnaire and certification by a Responsible Officer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substantially in the form of attached hereto as Exhibit I and otherwise in form and substance reasonably satisfactory to the Administrative Agent.</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with respect to each Lender, such Lender’s (a) Tranche A Term Loan Commitment, (b) Tranche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 Commitment and (c) Tranche C Term Loan Commitment and “Commitments” means all such commitments of all Lenders. The amount of each Lender’s Commitments is set forth on Schedule 1. The aggregate Commitments of all Lenders as of the Closing Date is $45,000,000.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“Commodity Account” </w:t>
      </w:r>
      <w:r>
        <w:rPr>
          <w:rFonts w:ascii="Times New Roman" w:cs="Times New Roman" w:eastAsia="Times New Roman" w:hAnsi="Times New Roman"/>
          <w:sz w:val="22"/>
          <w:szCs w:val="22"/>
          <w:color w:val="auto"/>
        </w:rPr>
        <w:t>has the meaning set forth in the Security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“Compliance Certificate” </w:t>
      </w:r>
      <w:r>
        <w:rPr>
          <w:rFonts w:ascii="Times New Roman" w:cs="Times New Roman" w:eastAsia="Times New Roman" w:hAnsi="Times New Roman"/>
          <w:sz w:val="22"/>
          <w:szCs w:val="22"/>
          <w:color w:val="auto"/>
        </w:rPr>
        <w:t>has the meaning set forth in Section 8.01(c).</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1"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22"/>
          <w:szCs w:val="22"/>
          <w:color w:val="auto"/>
        </w:rPr>
        <w:t>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“Connection Income Taxes” </w:t>
      </w:r>
      <w:r>
        <w:rPr>
          <w:rFonts w:ascii="Times New Roman" w:cs="Times New Roman" w:eastAsia="Times New Roman" w:hAnsi="Times New Roman"/>
          <w:sz w:val="22"/>
          <w:szCs w:val="22"/>
          <w:color w:val="auto"/>
        </w:rPr>
        <w:t>means Other Connection Taxes that are imposed on or measured by net income (however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denominated) or that are franchise Taxes or branch profits Taxes.</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“Contracts” </w:t>
      </w:r>
      <w:r>
        <w:rPr>
          <w:rFonts w:ascii="Times New Roman" w:cs="Times New Roman" w:eastAsia="Times New Roman" w:hAnsi="Times New Roman"/>
          <w:sz w:val="22"/>
          <w:szCs w:val="22"/>
          <w:color w:val="auto"/>
        </w:rPr>
        <w:t>means any contract, license, instrument, lease, agreement, obligation, promise, undertaking, understanding,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“Control” </w:t>
      </w:r>
      <w:r>
        <w:rPr>
          <w:rFonts w:ascii="Times New Roman" w:cs="Times New Roman" w:eastAsia="Times New Roman" w:hAnsi="Times New Roman"/>
          <w:sz w:val="22"/>
          <w:szCs w:val="22"/>
          <w:color w:val="auto"/>
        </w:rPr>
        <w:t>means, in respect of a particular Person, the possession, directly or indirectly, of the power to direct or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direction of the management or policies of such Person, whether through the ability to exercise voting power, by contract or otherwise.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“Controlled Account” </w:t>
      </w:r>
      <w:r>
        <w:rPr>
          <w:rFonts w:ascii="Times New Roman" w:cs="Times New Roman" w:eastAsia="Times New Roman" w:hAnsi="Times New Roman"/>
          <w:sz w:val="22"/>
          <w:szCs w:val="22"/>
          <w:color w:val="auto"/>
        </w:rPr>
        <w:t>has the meaning set forth in Section 8.17(a).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“Copyrights” </w:t>
      </w:r>
      <w:r>
        <w:rPr>
          <w:rFonts w:ascii="Times New Roman" w:cs="Times New Roman" w:eastAsia="Times New Roman" w:hAnsi="Times New Roman"/>
          <w:sz w:val="22"/>
          <w:szCs w:val="22"/>
          <w:color w:val="auto"/>
        </w:rPr>
        <w:t>has the meaning set forth in the Security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 SOFR</w:t>
      </w:r>
      <w:r>
        <w:rPr>
          <w:rFonts w:ascii="Times New Roman" w:cs="Times New Roman" w:eastAsia="Times New Roman" w:hAnsi="Times New Roman"/>
          <w:sz w:val="22"/>
          <w:szCs w:val="22"/>
          <w:color w:val="auto"/>
        </w:rPr>
        <w:t xml:space="preserve">” 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SOFR determined pursuant to this sentence shall be utilized for purposes of calculation of Daily Simple SOFR for no more than three</w:t>
      </w:r>
    </w:p>
    <w:p>
      <w:pPr>
        <w:spacing w:after="0" w:line="1" w:lineRule="exact"/>
        <w:rPr>
          <w:sz w:val="20"/>
          <w:szCs w:val="20"/>
          <w:color w:val="auto"/>
        </w:rPr>
      </w:pPr>
    </w:p>
    <w:p>
      <w:pPr>
        <w:jc w:val="both"/>
        <w:ind w:firstLine="8"/>
        <w:spacing w:after="0" w:line="245" w:lineRule="auto"/>
        <w:tabs>
          <w:tab w:leader="none" w:pos="3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consecutive SOFR Rate Days;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Daily Simple SOFR shall be rounded upwards to the next 1/100% (if necessary). Any change in Daily Simple SOFR due to a change in SOFR shall be effective from and including the effective date of such change in SOFR without notice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1" w:right="339" w:bottom="1440" w:gutter="0" w:footer="0" w:header="0"/>
        </w:sectPr>
      </w:pPr>
    </w:p>
    <w:bookmarkStart w:id="141" w:name="page142"/>
    <w:bookmarkEnd w:id="141"/>
    <w:p>
      <w:pPr>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“Default” </w:t>
      </w:r>
      <w:r>
        <w:rPr>
          <w:rFonts w:ascii="Times New Roman" w:cs="Times New Roman" w:eastAsia="Times New Roman" w:hAnsi="Times New Roman"/>
          <w:sz w:val="22"/>
          <w:szCs w:val="22"/>
          <w:color w:val="auto"/>
        </w:rPr>
        <w:t>means any Event of Default and any event that, upon the giving of notice, the lapse of time or both, would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an Event of Default.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“Default Rate” </w:t>
      </w:r>
      <w:r>
        <w:rPr>
          <w:rFonts w:ascii="Times New Roman" w:cs="Times New Roman" w:eastAsia="Times New Roman" w:hAnsi="Times New Roman"/>
          <w:sz w:val="22"/>
          <w:szCs w:val="22"/>
          <w:color w:val="auto"/>
        </w:rPr>
        <w:t>has the meaning set forth in Section 3.02(d).</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“Deposit Account” </w:t>
      </w:r>
      <w:r>
        <w:rPr>
          <w:rFonts w:ascii="Times New Roman" w:cs="Times New Roman" w:eastAsia="Times New Roman" w:hAnsi="Times New Roman"/>
          <w:sz w:val="22"/>
          <w:szCs w:val="22"/>
          <w:color w:val="auto"/>
        </w:rPr>
        <w:t>has the meaning set forth in the Security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“Designated Person” </w:t>
      </w:r>
      <w:r>
        <w:rPr>
          <w:rFonts w:ascii="Times New Roman" w:cs="Times New Roman" w:eastAsia="Times New Roman" w:hAnsi="Times New Roman"/>
          <w:sz w:val="22"/>
          <w:szCs w:val="22"/>
          <w:color w:val="auto"/>
        </w:rPr>
        <w:t>means a person or entity:</w:t>
      </w:r>
    </w:p>
    <w:p>
      <w:pPr>
        <w:spacing w:after="0" w:line="224" w:lineRule="exact"/>
        <w:rPr>
          <w:sz w:val="20"/>
          <w:szCs w:val="20"/>
          <w:color w:val="auto"/>
        </w:rPr>
      </w:pPr>
    </w:p>
    <w:p>
      <w:pPr>
        <w:ind w:left="660" w:firstLine="644"/>
        <w:spacing w:after="0" w:line="271" w:lineRule="auto"/>
        <w:tabs>
          <w:tab w:leader="none" w:pos="195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in the annex to, or otherwise targeted by the provisions of, the Executive Order (as disclosed by World-Check or another reputable commercially available database);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5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named as a “Specially Designated National and Blocked Person” on the most current list published by OFAC at its official website or any replacement website or other replacement official publication of such list (as disclosed by World-Check or another reputable commercially available database); or</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95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the Lenders are prohibited from dealing or otherwise engaging in any transaction by any Economic Sanctions Laws.</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“Device” </w:t>
      </w:r>
      <w:r>
        <w:rPr>
          <w:rFonts w:ascii="Times New Roman" w:cs="Times New Roman" w:eastAsia="Times New Roman" w:hAnsi="Times New Roman"/>
          <w:sz w:val="22"/>
          <w:szCs w:val="22"/>
          <w:color w:val="auto"/>
        </w:rPr>
        <w:t>means any (a) instrument, apparatus, implement, machine, contrivance, implant, in vitro reagent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(b) any other item that meets the definition of “device” as set forth in Section 201 of the FD&amp;C Act (21 U.S.C. § 321) and its implementing regulations, or (c) any other item that is a regulated medical device by any applicable non-U.S. Regulatory Authority. For purposes of this Agreement, the term “Device” does not include LDTs.</w:t>
      </w:r>
    </w:p>
    <w:p>
      <w:pPr>
        <w:spacing w:after="0" w:line="17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“Disqualified Equity Interests” </w:t>
      </w:r>
      <w:r>
        <w:rPr>
          <w:rFonts w:ascii="Times New Roman" w:cs="Times New Roman" w:eastAsia="Times New Roman" w:hAnsi="Times New Roman"/>
          <w:sz w:val="22"/>
          <w:szCs w:val="22"/>
          <w:color w:val="auto"/>
        </w:rPr>
        <w:t>means, with respect to any Person, any Equity Interest of such Person that, by its terms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distributions in cash or other securities that would constitute Disqualified Equity Interests, or (d)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Equity Interests are issued pursuant to any plan for the benefit of directors, officers, employees or consultants of such Person or by any such plan to such directors, officers, employees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7" w:right="339" w:bottom="1440" w:gutter="0" w:footer="0" w:header="0"/>
        </w:sectPr>
      </w:pPr>
    </w:p>
    <w:bookmarkStart w:id="142" w:name="page143"/>
    <w:bookmarkEnd w:id="142"/>
    <w:p>
      <w:pPr>
        <w:jc w:val="both"/>
        <w:spacing w:after="0" w:line="257" w:lineRule="auto"/>
        <w:rPr>
          <w:sz w:val="20"/>
          <w:szCs w:val="20"/>
          <w:color w:val="auto"/>
        </w:rPr>
      </w:pPr>
      <w:r>
        <w:rPr>
          <w:rFonts w:ascii="Times New Roman" w:cs="Times New Roman" w:eastAsia="Times New Roman" w:hAnsi="Times New Roman"/>
          <w:sz w:val="22"/>
          <w:szCs w:val="22"/>
          <w:color w:val="auto"/>
        </w:rPr>
        <w:t>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“Dollars”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 </w:t>
      </w:r>
      <w:r>
        <w:rPr>
          <w:rFonts w:ascii="Times New Roman" w:cs="Times New Roman" w:eastAsia="Times New Roman" w:hAnsi="Times New Roman"/>
          <w:sz w:val="22"/>
          <w:szCs w:val="22"/>
          <w:color w:val="auto"/>
        </w:rPr>
        <w:t>means lawful money of the United States of America.</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“Economic Sanctions Laws” </w:t>
      </w:r>
      <w:r>
        <w:rPr>
          <w:rFonts w:ascii="Times New Roman" w:cs="Times New Roman" w:eastAsia="Times New Roman" w:hAnsi="Times New Roman"/>
          <w:sz w:val="22"/>
          <w:szCs w:val="22"/>
          <w:color w:val="auto"/>
        </w:rPr>
        <w:t>means: (a) the Executive Order, the</w:t>
      </w:r>
      <w:r>
        <w:rPr>
          <w:rFonts w:ascii="Times New Roman" w:cs="Times New Roman" w:eastAsia="Times New Roman" w:hAnsi="Times New Roman"/>
          <w:sz w:val="22"/>
          <w:szCs w:val="22"/>
          <w:i w:val="1"/>
          <w:iCs w:val="1"/>
          <w:color w:val="auto"/>
        </w:rPr>
        <w:t xml:space="preserve"> International Emergency Economic Powers Act </w:t>
      </w:r>
      <w:r>
        <w:rPr>
          <w:rFonts w:ascii="Times New Roman" w:cs="Times New Roman" w:eastAsia="Times New Roman" w:hAnsi="Times New Roman"/>
          <w:sz w:val="22"/>
          <w:szCs w:val="22"/>
          <w:color w:val="auto"/>
        </w:rPr>
        <w:t>(50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U.S.C. §§ 1701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Trading with the Enemy Act</w:t>
      </w:r>
      <w:r>
        <w:rPr>
          <w:rFonts w:ascii="Times New Roman" w:cs="Times New Roman" w:eastAsia="Times New Roman" w:hAnsi="Times New Roman"/>
          <w:sz w:val="22"/>
          <w:szCs w:val="22"/>
          <w:color w:val="auto"/>
        </w:rPr>
        <w:t xml:space="preserve"> (50 U.S.C. App. §§ 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“EEA Financial Institution” </w:t>
      </w:r>
      <w:r>
        <w:rPr>
          <w:rFonts w:ascii="Times New Roman" w:cs="Times New Roman" w:eastAsia="Times New Roman" w:hAnsi="Times New Roman"/>
          <w:sz w:val="22"/>
          <w:szCs w:val="22"/>
          <w:color w:val="auto"/>
        </w:rPr>
        <w:t>means (a) any credit institution or investment firm established in any EEA Member Country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“EEA Member Country” </w:t>
      </w:r>
      <w:r>
        <w:rPr>
          <w:rFonts w:ascii="Times New Roman" w:cs="Times New Roman" w:eastAsia="Times New Roman" w:hAnsi="Times New Roman"/>
          <w:sz w:val="22"/>
          <w:szCs w:val="22"/>
          <w:color w:val="auto"/>
        </w:rPr>
        <w:t>means any of the member states of the European Union, Iceland, Liechtenstein, and Norway.</w:t>
      </w:r>
    </w:p>
    <w:p>
      <w:pPr>
        <w:spacing w:after="0" w:line="23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“EEA Resolution Authority” </w:t>
      </w:r>
      <w:r>
        <w:rPr>
          <w:rFonts w:ascii="Times New Roman" w:cs="Times New Roman" w:eastAsia="Times New Roman" w:hAnsi="Times New Roman"/>
          <w:sz w:val="22"/>
          <w:szCs w:val="22"/>
          <w:color w:val="auto"/>
        </w:rPr>
        <w:t>means any public administrative authority or any person entrusted with public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of any EEA Member Country (including any delegee) having responsibility for the resolution of any EEA Financial Institution.</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“Environmental Law” </w:t>
      </w:r>
      <w:r>
        <w:rPr>
          <w:rFonts w:ascii="Times New Roman" w:cs="Times New Roman" w:eastAsia="Times New Roman" w:hAnsi="Times New Roman"/>
          <w:sz w:val="22"/>
          <w:szCs w:val="22"/>
          <w:color w:val="auto"/>
        </w:rPr>
        <w:t>means any federal, state, provincial or local governmental law, rule, regulation, order, writ,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“Equity Interest” </w:t>
      </w:r>
      <w:r>
        <w:rPr>
          <w:rFonts w:ascii="Times New Roman" w:cs="Times New Roman" w:eastAsia="Times New Roman" w:hAnsi="Times New Roman"/>
          <w:sz w:val="22"/>
          <w:szCs w:val="22"/>
          <w:color w:val="auto"/>
        </w:rPr>
        <w:t>means, with respect to any Person, any and all shares, interests, participations or other equivalents,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“ERISA” </w:t>
      </w:r>
      <w:r>
        <w:rPr>
          <w:rFonts w:ascii="Times New Roman" w:cs="Times New Roman" w:eastAsia="Times New Roman" w:hAnsi="Times New Roman"/>
          <w:sz w:val="22"/>
          <w:szCs w:val="22"/>
          <w:color w:val="auto"/>
        </w:rPr>
        <w:t>means the United States Employee Retirement Income Security Act of 1974,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43" w:name="page144"/>
    <w:bookmarkEnd w:id="143"/>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“ERISA Affiliate” </w:t>
      </w:r>
      <w:r>
        <w:rPr>
          <w:rFonts w:ascii="Times New Roman" w:cs="Times New Roman" w:eastAsia="Times New Roman" w:hAnsi="Times New Roman"/>
          <w:sz w:val="22"/>
          <w:szCs w:val="22"/>
          <w:color w:val="auto"/>
        </w:rPr>
        <w:t>means any Person that, as of the relevant time, would be considered a single employer with an Obligor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Section 414(b), (c), (m) or (o) of the Code.</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“ERISA Event” </w:t>
      </w:r>
      <w:r>
        <w:rPr>
          <w:rFonts w:ascii="Times New Roman" w:cs="Times New Roman" w:eastAsia="Times New Roman" w:hAnsi="Times New Roman"/>
          <w:sz w:val="21"/>
          <w:szCs w:val="21"/>
          <w:color w:val="auto"/>
        </w:rPr>
        <w:t>means (a) a “reportable event” as defined in Section 4043 of ERISA with respect to a Title IV Plan,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w:t>
      </w:r>
    </w:p>
    <w:p>
      <w:pPr>
        <w:spacing w:after="0" w:line="1" w:lineRule="exact"/>
        <w:rPr>
          <w:sz w:val="20"/>
          <w:szCs w:val="20"/>
          <w:color w:val="auto"/>
        </w:rPr>
      </w:pPr>
    </w:p>
    <w:p>
      <w:pPr>
        <w:jc w:val="both"/>
        <w:ind w:firstLine="8"/>
        <w:spacing w:after="0" w:line="247" w:lineRule="auto"/>
        <w:tabs>
          <w:tab w:leader="none" w:pos="3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w:t>
      </w:r>
    </w:p>
    <w:p>
      <w:pPr>
        <w:spacing w:after="0" w:line="1" w:lineRule="exact"/>
        <w:rPr>
          <w:rFonts w:ascii="Times New Roman" w:cs="Times New Roman" w:eastAsia="Times New Roman" w:hAnsi="Times New Roman"/>
          <w:sz w:val="22"/>
          <w:szCs w:val="22"/>
          <w:color w:val="auto"/>
        </w:rPr>
      </w:pPr>
    </w:p>
    <w:p>
      <w:pPr>
        <w:jc w:val="both"/>
        <w:ind w:firstLine="8"/>
        <w:spacing w:after="0" w:line="246" w:lineRule="auto"/>
        <w:tabs>
          <w:tab w:leader="none" w:pos="31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or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unless such failures are cured within thirty (30) days; (f) the determination that any Title IV Plan is in “at-risk”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spacing w:after="0" w:line="18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“EU Bail-In Legislation Schedule” </w:t>
      </w:r>
      <w:r>
        <w:rPr>
          <w:rFonts w:ascii="Times New Roman" w:cs="Times New Roman" w:eastAsia="Times New Roman" w:hAnsi="Times New Roman"/>
          <w:sz w:val="22"/>
          <w:szCs w:val="22"/>
          <w:color w:val="auto"/>
        </w:rPr>
        <w:t>means the EU Bail-In Legislation Schedule published by the Loan Market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Association (or any successor Person), as in effect from time to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“Event of Default” </w:t>
      </w:r>
      <w:r>
        <w:rPr>
          <w:rFonts w:ascii="Times New Roman" w:cs="Times New Roman" w:eastAsia="Times New Roman" w:hAnsi="Times New Roman"/>
          <w:sz w:val="22"/>
          <w:szCs w:val="22"/>
          <w:color w:val="auto"/>
        </w:rPr>
        <w:t>has the meaning set forth in Section 10.01.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“Excess Funding Guarantor” </w:t>
      </w:r>
      <w:r>
        <w:rPr>
          <w:rFonts w:ascii="Times New Roman" w:cs="Times New Roman" w:eastAsia="Times New Roman" w:hAnsi="Times New Roman"/>
          <w:sz w:val="22"/>
          <w:szCs w:val="22"/>
          <w:color w:val="auto"/>
        </w:rPr>
        <w:t>has the meaning set forth in Section 11.08.</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“Excess Payment” </w:t>
      </w:r>
      <w:r>
        <w:rPr>
          <w:rFonts w:ascii="Times New Roman" w:cs="Times New Roman" w:eastAsia="Times New Roman" w:hAnsi="Times New Roman"/>
          <w:sz w:val="22"/>
          <w:szCs w:val="22"/>
          <w:color w:val="auto"/>
        </w:rPr>
        <w:t>has the meaning set forth in Section 11.08.</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promulgated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thereunder.</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“Excluded Accounts” </w:t>
      </w:r>
      <w:r>
        <w:rPr>
          <w:rFonts w:ascii="Times New Roman" w:cs="Times New Roman" w:eastAsia="Times New Roman" w:hAnsi="Times New Roman"/>
          <w:sz w:val="22"/>
          <w:szCs w:val="22"/>
          <w:color w:val="auto"/>
        </w:rPr>
        <w:t>means (a) Deposit Accounts exclusively used for payroll, payroll Taxes and other employee wage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benefit payments to or for the benefit of the employees of the Borrower and its Subsidiaries, (b) Deposit Accounts that are Segregated Health Care Accounts and (c) controlled disbursement accounts (to the extent that such accounts are zero balance accounts and so long as (i) such accounts are linked to a deposit account of a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7" w:right="339" w:bottom="1440" w:gutter="0" w:footer="0" w:header="0"/>
        </w:sectPr>
      </w:pPr>
    </w:p>
    <w:bookmarkStart w:id="144" w:name="page145"/>
    <w:bookmarkEnd w:id="14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that is subject to a Control Agreement and (ii) no cash or cash equivalent is maintained on deposit in such accounts other than amounts that are drawn from such linked deposit account and promptly disbursed from such zero-balance account).</w:t>
      </w:r>
    </w:p>
    <w:p>
      <w:pPr>
        <w:spacing w:after="0" w:line="15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“Excluded Taxes” </w:t>
      </w:r>
      <w:r>
        <w:rPr>
          <w:rFonts w:ascii="Times New Roman" w:cs="Times New Roman" w:eastAsia="Times New Roman" w:hAnsi="Times New Roman"/>
          <w:sz w:val="21"/>
          <w:szCs w:val="21"/>
          <w:color w:val="auto"/>
        </w:rPr>
        <w:t>means any of the following Taxes imposed on or with respect to a Recipient or required to be withheld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w:t>
      </w:r>
    </w:p>
    <w:p>
      <w:pPr>
        <w:spacing w:after="0" w:line="1" w:lineRule="exact"/>
        <w:rPr>
          <w:sz w:val="20"/>
          <w:szCs w:val="20"/>
          <w:color w:val="auto"/>
        </w:rPr>
      </w:pPr>
    </w:p>
    <w:p>
      <w:pPr>
        <w:jc w:val="both"/>
        <w:ind w:firstLine="8"/>
        <w:spacing w:after="0" w:line="246" w:lineRule="auto"/>
        <w:tabs>
          <w:tab w:leader="none" w:pos="32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are Other Connection Taxes, (b) any U.S. federal withholding Taxes that are imposed on amounts payable to a Lender to the extent that the obligation to withhold amounts existed on the date that (i) a Lender became a “Lender” under this Agreement or (ii) a Lender changes its lending office, except in each case to the extent such Lender is a direct or indirect assignee of any other Lender that was entitled, at the time the assignment of such other Lender became effective, to receive additional amounts under Section 5.03 or such Lender was entitled to receive additional amounts under Section 5.03 immediately before it changed its lending office, (c) any Taxes imposed in connection with FATCA, and (d) Taxes attributable to such Recipient’s failure to comply with Section 5.03(e).</w:t>
      </w:r>
    </w:p>
    <w:p>
      <w:pPr>
        <w:spacing w:after="0" w:line="18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“Executive Order” </w:t>
      </w:r>
      <w:r>
        <w:rPr>
          <w:rFonts w:ascii="Times New Roman" w:cs="Times New Roman" w:eastAsia="Times New Roman" w:hAnsi="Times New Roman"/>
          <w:sz w:val="22"/>
          <w:szCs w:val="22"/>
          <w:color w:val="auto"/>
        </w:rPr>
        <w:t>means the US Executive Order No. 13224 on Blocking Property and Prohibiting Transactions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Persons who commit, Threaten to Commit, or Support Terrorism.</w:t>
      </w:r>
    </w:p>
    <w:p>
      <w:pPr>
        <w:spacing w:after="0" w:line="13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“Existing Credit Documents” </w:t>
      </w:r>
      <w:r>
        <w:rPr>
          <w:rFonts w:ascii="Times New Roman" w:cs="Times New Roman" w:eastAsia="Times New Roman" w:hAnsi="Times New Roman"/>
          <w:sz w:val="22"/>
          <w:szCs w:val="22"/>
          <w:color w:val="auto"/>
        </w:rPr>
        <w:t>means the Existing Credit Facility and any other document, instrument, agreement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delivered in connection with the Existing Credit Facility.</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“Existing Credit Facility” </w:t>
      </w:r>
      <w:r>
        <w:rPr>
          <w:rFonts w:ascii="Times New Roman" w:cs="Times New Roman" w:eastAsia="Times New Roman" w:hAnsi="Times New Roman"/>
          <w:sz w:val="22"/>
          <w:szCs w:val="22"/>
          <w:color w:val="auto"/>
        </w:rPr>
        <w:t>means that certain Loan and Security Agreement, dated as of September 7, 2017 (as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that certain First Amendment to Loan and Security Agreement, entered into on November 19, 2019, that certain Second Amendment to Loan and Security Agreement, entered into on November 1, 2021, that certain Third Amendment to Loan and Security Agreement, entered into on April 28, 2023, and that certain Fourth Amendment to Loan and Security Agreement, entered into on April 12, 2024) by and among the Borrower and Innovatus Life Sciences Lending Fund I, LP.</w:t>
      </w:r>
    </w:p>
    <w:p>
      <w:pPr>
        <w:spacing w:after="0" w:line="17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“Expense Deposit” </w:t>
      </w:r>
      <w:r>
        <w:rPr>
          <w:rFonts w:ascii="Times New Roman" w:cs="Times New Roman" w:eastAsia="Times New Roman" w:hAnsi="Times New Roman"/>
          <w:sz w:val="22"/>
          <w:szCs w:val="22"/>
          <w:color w:val="auto"/>
        </w:rPr>
        <w:t>means a cash deposit in the amount of $50,000 made by the Borrower to an Affiliate of Perceptive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Advisors LLC pursuant to the Proposal Letter for the prepayment of the Lenders’ costs and expenses (payable pursuant to Section 13.03(a) and/or the Proposal Letter) incurred prior to the Closing Date.</w:t>
      </w:r>
    </w:p>
    <w:p>
      <w:pPr>
        <w:spacing w:after="0" w:line="16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“FATCA” </w:t>
      </w:r>
      <w:r>
        <w:rPr>
          <w:rFonts w:ascii="Times New Roman" w:cs="Times New Roman" w:eastAsia="Times New Roman" w:hAnsi="Times New Roman"/>
          <w:sz w:val="22"/>
          <w:szCs w:val="22"/>
          <w:color w:val="auto"/>
        </w:rPr>
        <w:t>means Sections 1471 through 1474 of the Code, as of the date of this Agreement (or any amended or successor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1" w:right="339" w:bottom="1440" w:gutter="0" w:footer="0" w:header="0"/>
        </w:sectPr>
      </w:pPr>
    </w:p>
    <w:bookmarkStart w:id="145" w:name="page146"/>
    <w:bookmarkEnd w:id="145"/>
    <w:p>
      <w:pPr>
        <w:jc w:val="both"/>
        <w:ind w:right="20" w:firstLine="648"/>
        <w:spacing w:after="0" w:line="299" w:lineRule="auto"/>
        <w:rPr>
          <w:sz w:val="20"/>
          <w:szCs w:val="20"/>
          <w:color w:val="auto"/>
        </w:rPr>
      </w:pPr>
      <w:r>
        <w:rPr>
          <w:rFonts w:ascii="Times New Roman" w:cs="Times New Roman" w:eastAsia="Times New Roman" w:hAnsi="Times New Roman"/>
          <w:sz w:val="21"/>
          <w:szCs w:val="21"/>
          <w:i w:val="1"/>
          <w:iCs w:val="1"/>
          <w:color w:val="auto"/>
        </w:rPr>
        <w:t xml:space="preserve">“FD&amp;C Act” </w:t>
      </w:r>
      <w:r>
        <w:rPr>
          <w:rFonts w:ascii="Times New Roman" w:cs="Times New Roman" w:eastAsia="Times New Roman" w:hAnsi="Times New Roman"/>
          <w:sz w:val="21"/>
          <w:szCs w:val="21"/>
          <w:color w:val="auto"/>
        </w:rPr>
        <w:t>means the U.S. Food, Drug and Cosmetic Act of 1938 (or any successor thereto), as amended from time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and the rules, regulations, guidelines, guidance documents and compliance policy guides issued or promulgated thereunder.</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“FDA” </w:t>
      </w:r>
      <w:r>
        <w:rPr>
          <w:rFonts w:ascii="Times New Roman" w:cs="Times New Roman" w:eastAsia="Times New Roman" w:hAnsi="Times New Roman"/>
          <w:sz w:val="22"/>
          <w:szCs w:val="22"/>
          <w:color w:val="auto"/>
        </w:rPr>
        <w:t>means the U.S. Food and Drug Administration and any successor entity.</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“Federal Health Care Program” </w:t>
      </w:r>
      <w:r>
        <w:rPr>
          <w:rFonts w:ascii="Times New Roman" w:cs="Times New Roman" w:eastAsia="Times New Roman" w:hAnsi="Times New Roman"/>
          <w:sz w:val="22"/>
          <w:szCs w:val="22"/>
          <w:color w:val="auto"/>
        </w:rPr>
        <w:t>has the meaning specified in Section 1128B(f) of the Social Security Act and includes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programs commonly known as Medicare, Medicaid, TRICARE and CHAMPVA.</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has the meaning set forth in Section 8.01(h).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“Floor” </w:t>
      </w:r>
      <w:r>
        <w:rPr>
          <w:rFonts w:ascii="Times New Roman" w:cs="Times New Roman" w:eastAsia="Times New Roman" w:hAnsi="Times New Roman"/>
          <w:sz w:val="22"/>
          <w:szCs w:val="22"/>
          <w:color w:val="auto"/>
        </w:rPr>
        <w:t>means a rate of interest equal to 4.75%.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“Foreign Lender” </w:t>
      </w:r>
      <w:r>
        <w:rPr>
          <w:rFonts w:ascii="Times New Roman" w:cs="Times New Roman" w:eastAsia="Times New Roman" w:hAnsi="Times New Roman"/>
          <w:sz w:val="22"/>
          <w:szCs w:val="22"/>
          <w:color w:val="auto"/>
        </w:rPr>
        <w:t>means a Lender that is not a U.S. Person.</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“GAAP” </w:t>
      </w:r>
      <w:r>
        <w:rPr>
          <w:rFonts w:ascii="Times New Roman" w:cs="Times New Roman" w:eastAsia="Times New Roman" w:hAnsi="Times New Roman"/>
          <w:sz w:val="22"/>
          <w:szCs w:val="22"/>
          <w:color w:val="auto"/>
        </w:rPr>
        <w:t>means generally accepted accounting principles in the United States of America, as in effect from time to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spacing w:after="0" w:line="19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“GDPR” </w:t>
      </w:r>
      <w:r>
        <w:rPr>
          <w:rFonts w:ascii="Times New Roman" w:cs="Times New Roman" w:eastAsia="Times New Roman" w:hAnsi="Times New Roman"/>
          <w:sz w:val="22"/>
          <w:szCs w:val="22"/>
          <w:color w:val="auto"/>
        </w:rPr>
        <w:t>means the General Data Protection Regulation (Regulation (EU) 2016/679 of the European Parliament and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Counsel of 27 April 2016.</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“Governmental Approval” </w:t>
      </w:r>
      <w:r>
        <w:rPr>
          <w:rFonts w:ascii="Times New Roman" w:cs="Times New Roman" w:eastAsia="Times New Roman" w:hAnsi="Times New Roman"/>
          <w:sz w:val="22"/>
          <w:szCs w:val="22"/>
          <w:color w:val="auto"/>
        </w:rPr>
        <w:t>means any consent, authorization, approval, order, license, franchise, permit, certification,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accreditation, registration, clearance, exemption, filing or notice that is issued or granted by or from (or pursuant to any act of) any Governmental Authority, including any application or submission related to any of the foregoing.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“Governmental Authority” </w:t>
      </w:r>
      <w:r>
        <w:rPr>
          <w:rFonts w:ascii="Times New Roman" w:cs="Times New Roman" w:eastAsia="Times New Roman" w:hAnsi="Times New Roman"/>
          <w:sz w:val="22"/>
          <w:szCs w:val="22"/>
          <w:color w:val="auto"/>
        </w:rPr>
        <w:t>means any nation, government, branch of power (whether executive, legislative or judicial),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 or any foreign country.</w:t>
      </w:r>
    </w:p>
    <w:p>
      <w:pPr>
        <w:spacing w:after="0" w:line="17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“Guarantee” </w:t>
      </w:r>
      <w:r>
        <w:rPr>
          <w:rFonts w:ascii="Times New Roman" w:cs="Times New Roman" w:eastAsia="Times New Roman" w:hAnsi="Times New Roman"/>
          <w:sz w:val="21"/>
          <w:szCs w:val="21"/>
          <w:color w:val="auto"/>
        </w:rPr>
        <w:t>of or by any Person (the</w:t>
      </w:r>
      <w:r>
        <w:rPr>
          <w:rFonts w:ascii="Times New Roman" w:cs="Times New Roman" w:eastAsia="Times New Roman" w:hAnsi="Times New Roman"/>
          <w:sz w:val="21"/>
          <w:szCs w:val="21"/>
          <w:i w:val="1"/>
          <w:iCs w:val="1"/>
          <w:color w:val="auto"/>
        </w:rPr>
        <w:t xml:space="preserve"> “guarantor”</w:t>
      </w:r>
      <w:r>
        <w:rPr>
          <w:rFonts w:ascii="Times New Roman" w:cs="Times New Roman" w:eastAsia="Times New Roman" w:hAnsi="Times New Roman"/>
          <w:sz w:val="21"/>
          <w:szCs w:val="21"/>
          <w:color w:val="auto"/>
        </w:rPr>
        <w:t>) means any obligation, contingent or otherwise, of the guarantor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guaranteeing or having the economic effect of guaranteeing any Indebtedness or other obligation of any other Person (the </w:t>
      </w:r>
      <w:r>
        <w:rPr>
          <w:rFonts w:ascii="Times New Roman" w:cs="Times New Roman" w:eastAsia="Times New Roman" w:hAnsi="Times New Roman"/>
          <w:sz w:val="21"/>
          <w:szCs w:val="21"/>
          <w:i w:val="1"/>
          <w:iCs w:val="1"/>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7" w:right="339" w:bottom="1440" w:gutter="0" w:footer="0" w:header="0"/>
        </w:sectPr>
      </w:pPr>
    </w:p>
    <w:bookmarkStart w:id="146" w:name="page147"/>
    <w:bookmarkEnd w:id="146"/>
    <w:p>
      <w:pPr>
        <w:jc w:val="both"/>
        <w:ind w:firstLine="8"/>
        <w:spacing w:after="0" w:line="249" w:lineRule="auto"/>
        <w:tabs>
          <w:tab w:leader="none" w:pos="31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Guarantee shall not include (i) endorsements for collection or deposit and (ii) guarantees of operating leases, in each case in the Ordinary Course of Business.</w:t>
      </w:r>
    </w:p>
    <w:p>
      <w:pPr>
        <w:spacing w:after="0" w:line="1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“Guarantee Assumption Agreement” </w:t>
      </w:r>
      <w:r>
        <w:rPr>
          <w:rFonts w:ascii="Times New Roman" w:cs="Times New Roman" w:eastAsia="Times New Roman" w:hAnsi="Times New Roman"/>
          <w:sz w:val="22"/>
          <w:szCs w:val="22"/>
          <w:color w:val="auto"/>
        </w:rPr>
        <w:t>means a Guarantee Assumption Agreement substantially in the form of Exhibit A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entity that, pursuant to Section 8.11(a), is required to become a “Guarantor”.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“Guaranteed Obligations” </w:t>
      </w:r>
      <w:r>
        <w:rPr>
          <w:rFonts w:ascii="Times New Roman" w:cs="Times New Roman" w:eastAsia="Times New Roman" w:hAnsi="Times New Roman"/>
          <w:sz w:val="22"/>
          <w:szCs w:val="22"/>
          <w:color w:val="auto"/>
        </w:rPr>
        <w:t>has the meaning set forth in Section 11.01.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“Guarantor” </w:t>
      </w:r>
      <w:r>
        <w:rPr>
          <w:rFonts w:ascii="Times New Roman" w:cs="Times New Roman" w:eastAsia="Times New Roman" w:hAnsi="Times New Roman"/>
          <w:sz w:val="21"/>
          <w:szCs w:val="21"/>
          <w:color w:val="auto"/>
        </w:rPr>
        <w:t>means each Subsidiary of the Borrower joined as a Guarantor from time to time pursuant to Section 8.11(a).</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avoidance of doubt, there are no Guarantors as of the Closing Date.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“Hazardous Material” </w:t>
      </w:r>
      <w:r>
        <w:rPr>
          <w:rFonts w:ascii="Times New Roman" w:cs="Times New Roman" w:eastAsia="Times New Roman" w:hAnsi="Times New Roman"/>
          <w:sz w:val="22"/>
          <w:szCs w:val="22"/>
          <w:color w:val="auto"/>
        </w:rPr>
        <w:t>means any substance, element, chemical, compound, product, solid, gas, liquid, waste, by-product,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“Health Care Compliance Program” </w:t>
      </w:r>
      <w:r>
        <w:rPr>
          <w:rFonts w:ascii="Times New Roman" w:cs="Times New Roman" w:eastAsia="Times New Roman" w:hAnsi="Times New Roman"/>
          <w:sz w:val="22"/>
          <w:szCs w:val="22"/>
          <w:color w:val="auto"/>
        </w:rPr>
        <w:t>has the meaning set forth in Section 7.07(b)(v).</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“Health Care Laws” </w:t>
      </w:r>
      <w:r>
        <w:rPr>
          <w:rFonts w:ascii="Times New Roman" w:cs="Times New Roman" w:eastAsia="Times New Roman" w:hAnsi="Times New Roman"/>
          <w:sz w:val="22"/>
          <w:szCs w:val="22"/>
          <w:color w:val="auto"/>
        </w:rPr>
        <w:t>means, collectively, all Laws applicable to the business of the Borrower, any other Obligor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 their Subsidiaries relating to (a) the manufacturing, sale, distribution, labeling, marketing, promotion, export, or the provision of and payment for, health care products, items and services, including all applicable Regulated Product Laws; (b) the privacy, security, storage, collection, or other processing of consumer information, including but not limited to GDPR, HIPAA, the California Consumer Privacy Act of 2018, and other applicable consumer privacy and security laws; (c) fraud and abuse, false claims, self-referral, kickbacks, fee-splitting, or patient brokering, including but not limited to (i) the federal Anti-Kickback Statute (42 U.S.C. § 1320a-7b(b)) and any similar state laws, (ii) 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w:t>
      </w:r>
      <w:r>
        <w:rPr>
          <w:rFonts w:ascii="Times New Roman" w:cs="Times New Roman" w:eastAsia="Times New Roman" w:hAnsi="Times New Roman"/>
          <w:sz w:val="22"/>
          <w:szCs w:val="22"/>
          <w:i w:val="1"/>
          <w:iCs w:val="1"/>
          <w:color w:val="auto"/>
        </w:rPr>
        <w:t>reserved</w:t>
      </w:r>
      <w:r>
        <w:rPr>
          <w:rFonts w:ascii="Times New Roman" w:cs="Times New Roman" w:eastAsia="Times New Roman" w:hAnsi="Times New Roman"/>
          <w:sz w:val="22"/>
          <w:szCs w:val="22"/>
          <w:color w:val="auto"/>
        </w:rPr>
        <w:t>, (vii) the Eliminating Kickbacks in Recovery Act (18 U.S.C. § 220), and (viii) other applicable requirements relating to prohibited remuneration, or the defrauding of, or making of any false claim, false statement, or misrepresentation of material facts to the Federal Health Care Programs or any Third-Party Payor Program); (d) the corporate practice of medicine; (e) the provision of health care supplies, items or services to Federal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53" w:lineRule="auto"/>
        <w:rPr>
          <w:sz w:val="20"/>
          <w:szCs w:val="20"/>
          <w:color w:val="auto"/>
        </w:rPr>
      </w:pPr>
      <w:r>
        <w:rPr>
          <w:rFonts w:ascii="Times New Roman" w:cs="Times New Roman" w:eastAsia="Times New Roman" w:hAnsi="Times New Roman"/>
          <w:sz w:val="22"/>
          <w:szCs w:val="22"/>
          <w:color w:val="auto"/>
        </w:rPr>
        <w:t>Care Program beneficiaries or the billing of the Federal Health Care Programs; (f) clinical or other human subjects research and patient consent, including but not limited to the Federal Policy for Protection of Human Subjects; (g) required material health care Permits, including CLIA and other applicable Laws relating to the licensure or registration of health care providers, suppliers, facilities, and manufacturers; (h) genetic testing services; and (i) all rules and regulations promulgated under or pursuant to any of the foregoing.</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“Hedging Agreement” </w:t>
      </w:r>
      <w:r>
        <w:rPr>
          <w:rFonts w:ascii="Times New Roman" w:cs="Times New Roman" w:eastAsia="Times New Roman" w:hAnsi="Times New Roman"/>
          <w:sz w:val="22"/>
          <w:szCs w:val="22"/>
          <w:color w:val="auto"/>
        </w:rPr>
        <w:t>means any interest rate exchange agreement, foreign currency exchange agreement, commodity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price protection agreement or other interest or currency exchange rate or commodity price hedging arrangement.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“HIPAA” </w:t>
      </w:r>
      <w:r>
        <w:rPr>
          <w:rFonts w:ascii="Times New Roman" w:cs="Times New Roman" w:eastAsia="Times New Roman" w:hAnsi="Times New Roman"/>
          <w:sz w:val="22"/>
          <w:szCs w:val="22"/>
          <w:color w:val="auto"/>
        </w:rPr>
        <w:t>means the Health Insurance Portability and Accountability Act of 1996, 42 U.S.C. §§ 1320d-1329d-8,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by the Health Information Technology for Economic and Clinical Health Act, enacted as Title XIII of the American Recovery and Reinvestment Act of 2009, Public Law 111-5, as the same may be further amended, modified or supplemented from time to time, and its implementing regulations.</w:t>
      </w:r>
    </w:p>
    <w:p>
      <w:pPr>
        <w:spacing w:after="0" w:line="16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“Indebtedness” </w:t>
      </w:r>
      <w:r>
        <w:rPr>
          <w:rFonts w:ascii="Times New Roman" w:cs="Times New Roman" w:eastAsia="Times New Roman" w:hAnsi="Times New Roman"/>
          <w:sz w:val="22"/>
          <w:szCs w:val="22"/>
          <w:color w:val="auto"/>
        </w:rPr>
        <w:t>of any Person means, without duplication, (a) all obligations of such Person for borrowed money, (b)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of such Person evidenced by bonds, debentures, notes, loan agreements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not overdue by more than one hundred twenty (120) days),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of such Person under license or other agreements containing a guaranteed minimum payment or purchase by such Person (excluding supply agreements entered into in the Ordinary Course of Business),</w:t>
      </w:r>
    </w:p>
    <w:p>
      <w:pPr>
        <w:spacing w:after="0" w:line="7" w:lineRule="exact"/>
        <w:rPr>
          <w:sz w:val="20"/>
          <w:szCs w:val="20"/>
          <w:color w:val="auto"/>
        </w:rPr>
      </w:pPr>
    </w:p>
    <w:p>
      <w:pPr>
        <w:jc w:val="both"/>
        <w:ind w:firstLine="8"/>
        <w:spacing w:after="0" w:line="260" w:lineRule="auto"/>
        <w:tabs>
          <w:tab w:leader="none" w:pos="37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Disqualified Equity Interests of such Person, (n) any earnout obligation at the time such obligation is both required to be reflected as a liability on the balance sheet of such Person in accordance with GAAP and not paid after becoming due and payable and (o) all other obligations required to be classified as indebtedness 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“Indemnified Party” </w:t>
      </w:r>
      <w:r>
        <w:rPr>
          <w:rFonts w:ascii="Times New Roman" w:cs="Times New Roman" w:eastAsia="Times New Roman" w:hAnsi="Times New Roman"/>
          <w:sz w:val="22"/>
          <w:szCs w:val="22"/>
          <w:color w:val="auto"/>
        </w:rPr>
        <w:t>has the meaning set forth in Section 13.03(b).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1" w:right="339" w:bottom="1440" w:gutter="0" w:footer="0" w:header="0"/>
        </w:sectPr>
      </w:pPr>
    </w:p>
    <w:bookmarkStart w:id="148" w:name="page149"/>
    <w:bookmarkEnd w:id="148"/>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“Indemnified Taxes” </w:t>
      </w:r>
      <w:r>
        <w:rPr>
          <w:rFonts w:ascii="Times New Roman" w:cs="Times New Roman" w:eastAsia="Times New Roman" w:hAnsi="Times New Roman"/>
          <w:sz w:val="22"/>
          <w:szCs w:val="22"/>
          <w:color w:val="auto"/>
        </w:rPr>
        <w:t>means (a) Taxes, other than Excluded Taxes, imposed on or with respect to any payment made by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account of any Obligation and (b) to the extent not otherwise described in clause (a), Other Taxes.</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Industrial Designs”</w:t>
      </w:r>
      <w:r>
        <w:rPr>
          <w:rFonts w:ascii="Times New Roman" w:cs="Times New Roman" w:eastAsia="Times New Roman" w:hAnsi="Times New Roman"/>
          <w:sz w:val="22"/>
          <w:szCs w:val="22"/>
          <w:color w:val="auto"/>
        </w:rPr>
        <w:t xml:space="preserve"> means all right, title and interests arising under any Laws in or relating to all industrial designs, intangibles of like nature, and any work subject to the design laws of the United States, Canada, Ireland or any other country or any political subdivision thereof.</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“Ineligible Assignee” </w:t>
      </w:r>
      <w:r>
        <w:rPr>
          <w:rFonts w:ascii="Times New Roman" w:cs="Times New Roman" w:eastAsia="Times New Roman" w:hAnsi="Times New Roman"/>
          <w:sz w:val="22"/>
          <w:szCs w:val="22"/>
          <w:color w:val="auto"/>
        </w:rPr>
        <w:t>means (a) a natural person or (b) the Obligors or any of their respective Affiliates.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“Information” </w:t>
      </w:r>
      <w:r>
        <w:rPr>
          <w:rFonts w:ascii="Times New Roman" w:cs="Times New Roman" w:eastAsia="Times New Roman" w:hAnsi="Times New Roman"/>
          <w:sz w:val="22"/>
          <w:szCs w:val="22"/>
          <w:color w:val="auto"/>
        </w:rPr>
        <w:t>has the meaning set forth in Section 13.17.</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i w:val="1"/>
          <w:iCs w:val="1"/>
          <w:color w:val="auto"/>
        </w:rPr>
        <w:t xml:space="preserve">“Insolvency Proceeding” </w:t>
      </w:r>
      <w:r>
        <w:rPr>
          <w:rFonts w:ascii="Times New Roman" w:cs="Times New Roman" w:eastAsia="Times New Roman" w:hAnsi="Times New Roman"/>
          <w:sz w:val="22"/>
          <w:szCs w:val="22"/>
          <w:color w:val="auto"/>
        </w:rPr>
        <w:t>means (a) any case, action or proceeding before any court or other Governmental Authority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relating to bankruptcy, reorganization, insolvency, liquidation, receivership, dissolution, winding-up or relief of debtors, or</w:t>
      </w:r>
    </w:p>
    <w:p>
      <w:pPr>
        <w:jc w:val="both"/>
        <w:ind w:firstLine="8"/>
        <w:spacing w:after="0" w:line="245" w:lineRule="auto"/>
        <w:tabs>
          <w:tab w:leader="none" w:pos="36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spacing w:after="0" w:line="1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“Intellectual Property” </w:t>
      </w:r>
      <w:r>
        <w:rPr>
          <w:rFonts w:ascii="Times New Roman" w:cs="Times New Roman" w:eastAsia="Times New Roman" w:hAnsi="Times New Roman"/>
          <w:sz w:val="22"/>
          <w:szCs w:val="22"/>
          <w:color w:val="auto"/>
        </w:rPr>
        <w:t>means, with respect to any Person, all of such Person’s rights, title and interest in and to 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Patents, Trademarks, Copyrights, Industrial Designs, Technical Information, whether registered or not and whether existing under U.S. or non-U.S. Law or jurisdiction, including, without limitation, all:</w:t>
      </w:r>
    </w:p>
    <w:p>
      <w:pPr>
        <w:spacing w:after="0" w:line="165" w:lineRule="exact"/>
        <w:rPr>
          <w:sz w:val="20"/>
          <w:szCs w:val="20"/>
          <w:color w:val="auto"/>
        </w:rPr>
      </w:pPr>
    </w:p>
    <w:p>
      <w:pPr>
        <w:ind w:left="1940" w:hanging="636"/>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applications, registrations, amendments and extensions relating to such Intellectual Property;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and privileges arising under any applicable Laws with respect to any Intellectual Property;</w:t>
      </w:r>
    </w:p>
    <w:p>
      <w:pPr>
        <w:spacing w:after="0" w:line="21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to sue for or collect any damages for any past, present or future infringements of any Intellectual</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Property; and</w:t>
      </w:r>
    </w:p>
    <w:p>
      <w:pPr>
        <w:spacing w:after="0" w:line="209" w:lineRule="exact"/>
        <w:rPr>
          <w:rFonts w:ascii="Times New Roman" w:cs="Times New Roman" w:eastAsia="Times New Roman" w:hAnsi="Times New Roman"/>
          <w:sz w:val="22"/>
          <w:szCs w:val="22"/>
          <w:color w:val="auto"/>
        </w:rPr>
      </w:pPr>
    </w:p>
    <w:p>
      <w:pPr>
        <w:ind w:left="660" w:firstLine="644"/>
        <w:spacing w:after="0" w:line="271" w:lineRule="auto"/>
        <w:tabs>
          <w:tab w:leader="none" w:pos="195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the same or similar effect or nature as described above in any jurisdiction corresponding to any Intellectual Property throughout the world.</w:t>
      </w:r>
    </w:p>
    <w:p>
      <w:pPr>
        <w:spacing w:after="0" w:line="1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i w:val="1"/>
          <w:iCs w:val="1"/>
          <w:color w:val="auto"/>
        </w:rPr>
        <w:t xml:space="preserve">“Interest Period” </w:t>
      </w:r>
      <w:r>
        <w:rPr>
          <w:rFonts w:ascii="Times New Roman" w:cs="Times New Roman" w:eastAsia="Times New Roman" w:hAnsi="Times New Roman"/>
          <w:sz w:val="22"/>
          <w:szCs w:val="22"/>
          <w:color w:val="auto"/>
        </w:rPr>
        <w:t>means, (a) as to the Tranche A Term Loan, (i) initially, the period beginning on (and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Closing Date and ending on (and including) the last day of the calendar month in which the Closing Date occurs, and</w:t>
      </w:r>
    </w:p>
    <w:p>
      <w:pPr>
        <w:spacing w:after="0" w:line="1" w:lineRule="exact"/>
        <w:rPr>
          <w:sz w:val="20"/>
          <w:szCs w:val="20"/>
          <w:color w:val="auto"/>
        </w:rPr>
      </w:pPr>
    </w:p>
    <w:p>
      <w:pPr>
        <w:jc w:val="both"/>
        <w:ind w:firstLine="8"/>
        <w:spacing w:after="0" w:line="249" w:lineRule="auto"/>
        <w:tabs>
          <w:tab w:leader="none" w:pos="32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the period beginning on (and including) the first day of each succeeding calendar month and ending on the earlier of (and including) (x) the last day of such calendar month and (y) the Maturity Date, (b) as to the Tranche B Term Loan, (i) the period commencing on (and including) the Tranche B Term Loan Borrowing Date and ending on (and including) the last day of the calendar month in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7" w:right="339" w:bottom="1440" w:gutter="0" w:footer="0" w:header="0"/>
        </w:sectPr>
      </w:pPr>
    </w:p>
    <w:bookmarkStart w:id="149" w:name="page150"/>
    <w:bookmarkEnd w:id="149"/>
    <w:p>
      <w:pPr>
        <w:jc w:val="both"/>
        <w:spacing w:after="0" w:line="251" w:lineRule="auto"/>
        <w:rPr>
          <w:sz w:val="20"/>
          <w:szCs w:val="20"/>
          <w:color w:val="auto"/>
        </w:rPr>
      </w:pPr>
      <w:r>
        <w:rPr>
          <w:rFonts w:ascii="Times New Roman" w:cs="Times New Roman" w:eastAsia="Times New Roman" w:hAnsi="Times New Roman"/>
          <w:sz w:val="22"/>
          <w:szCs w:val="22"/>
          <w:color w:val="auto"/>
        </w:rPr>
        <w:t>Tranche B Term Loan Borrowing Date occurs, and (ii) thereafter, the period beginning on (and including) the first day of each succeeding calendar month and ending on the earlier of (and including) (x) the last day of such calendar month and (y) the Maturity Date and (c) as to the Tranche D Term Loan, (i) the period commencing on (and including) the Tranche D Term Loan Borrowing Date and ending on (and including) the last day of the calendar month in which the Tranche D Term Loan Borrowing Date occurs, and (ii) thereafter, the period beginning on (and including) the first day of each succeeding calendar month and ending on the earlier of (and including) (x) the last day of such calendar month and (y) the Maturity Date.</w:t>
      </w:r>
    </w:p>
    <w:p>
      <w:pPr>
        <w:spacing w:after="0" w:line="17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“Invention” </w:t>
      </w:r>
      <w:r>
        <w:rPr>
          <w:rFonts w:ascii="Times New Roman" w:cs="Times New Roman" w:eastAsia="Times New Roman" w:hAnsi="Times New Roman"/>
          <w:sz w:val="22"/>
          <w:szCs w:val="22"/>
          <w:color w:val="auto"/>
        </w:rPr>
        <w:t>means any novel, inventive or useful art, apparatus, method, process, machine (including any article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Product), manufacture or composition of matter, or any novel, inventive and useful improvement in any art, method, process, machine (including any article or Product), manufacture or composition of matter.</w:t>
      </w:r>
    </w:p>
    <w:p>
      <w:pPr>
        <w:spacing w:after="0" w:line="16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“Investment” </w:t>
      </w:r>
      <w:r>
        <w:rPr>
          <w:rFonts w:ascii="Times New Roman" w:cs="Times New Roman" w:eastAsia="Times New Roman" w:hAnsi="Times New Roman"/>
          <w:sz w:val="22"/>
          <w:szCs w:val="22"/>
          <w:color w:val="auto"/>
        </w:rPr>
        <w:t>means, for any Person: (a) the acquisition (whether for cash, Property, services or securities or otherwise)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ninety (90) days arising in connection with the sale of services, inventory or supplies by such Person in the Ordinary Course of Business; (c) the entering into of any Guarantee of, or other contingent obligation with respect to, Indebtedness or other liability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spacing w:after="0" w:line="18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“IRS” </w:t>
      </w:r>
      <w:r>
        <w:rPr>
          <w:rFonts w:ascii="Times New Roman" w:cs="Times New Roman" w:eastAsia="Times New Roman" w:hAnsi="Times New Roman"/>
          <w:sz w:val="22"/>
          <w:szCs w:val="22"/>
          <w:color w:val="auto"/>
        </w:rPr>
        <w:t>means the U.S. Internal Revenue Service or any successor agency, and to the extent relevant, the U.S. Department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Treasury.</w:t>
      </w:r>
    </w:p>
    <w:p>
      <w:pPr>
        <w:spacing w:after="0" w:line="14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Knowledge</w:t>
      </w:r>
      <w:r>
        <w:rPr>
          <w:rFonts w:ascii="Times New Roman" w:cs="Times New Roman" w:eastAsia="Times New Roman" w:hAnsi="Times New Roman"/>
          <w:sz w:val="22"/>
          <w:szCs w:val="22"/>
          <w:color w:val="auto"/>
        </w:rPr>
        <w:t>” means to the “best of” the Borrower’s knowledge, or with a similar qualification, knowledge or awareness means the actual knowledge, after reasonable investigation, of the Responsible Officers.</w:t>
      </w:r>
    </w:p>
    <w:p>
      <w:pPr>
        <w:spacing w:after="0" w:line="1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“Laws” </w:t>
      </w:r>
      <w:r>
        <w:rPr>
          <w:rFonts w:ascii="Times New Roman" w:cs="Times New Roman" w:eastAsia="Times New Roman" w:hAnsi="Times New Roman"/>
          <w:sz w:val="22"/>
          <w:szCs w:val="22"/>
          <w:color w:val="auto"/>
        </w:rPr>
        <w:t>means, collectively, all international, foreign, federal, state, provincial, territorial, municipal and local statutes,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1" w:right="339" w:bottom="1440" w:gutter="0" w:footer="0" w:header="0"/>
        </w:sectPr>
      </w:pPr>
    </w:p>
    <w:bookmarkStart w:id="150" w:name="page151"/>
    <w:bookmarkEnd w:id="150"/>
    <w:p>
      <w:pPr>
        <w:jc w:val="both"/>
        <w:ind w:firstLine="648"/>
        <w:spacing w:after="0" w:line="268" w:lineRule="auto"/>
        <w:rPr>
          <w:sz w:val="20"/>
          <w:szCs w:val="20"/>
          <w:color w:val="auto"/>
        </w:rPr>
      </w:pPr>
      <w:r>
        <w:rPr>
          <w:rFonts w:ascii="Times New Roman" w:cs="Times New Roman" w:eastAsia="Times New Roman" w:hAnsi="Times New Roman"/>
          <w:sz w:val="21"/>
          <w:szCs w:val="21"/>
          <w:i w:val="1"/>
          <w:iCs w:val="1"/>
          <w:color w:val="auto"/>
        </w:rPr>
        <w:t xml:space="preserve">“LDT” </w:t>
      </w:r>
      <w:r>
        <w:rPr>
          <w:rFonts w:ascii="Times New Roman" w:cs="Times New Roman" w:eastAsia="Times New Roman" w:hAnsi="Times New Roman"/>
          <w:sz w:val="21"/>
          <w:szCs w:val="21"/>
          <w:color w:val="auto"/>
        </w:rPr>
        <w:t>means (a) any in vitro diagnostic product that is intended for clinical use and that is designed, validated, and used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within a single CLIA-certified laboratory that meets the regulatory requirements under CLIA to perform high complexity testing,</w:t>
      </w:r>
    </w:p>
    <w:p>
      <w:pPr>
        <w:spacing w:after="0" w:line="2" w:lineRule="exact"/>
        <w:rPr>
          <w:sz w:val="20"/>
          <w:szCs w:val="20"/>
          <w:color w:val="auto"/>
        </w:rPr>
      </w:pPr>
    </w:p>
    <w:p>
      <w:pPr>
        <w:ind w:firstLine="8"/>
        <w:spacing w:after="0" w:line="261" w:lineRule="auto"/>
        <w:tabs>
          <w:tab w:leader="none" w:pos="31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item that meets the definition of “laboratory developed test” as set forth in any Regulated Product Law, or (c) any other item that is regulated as a laboratory diagnostic test by any applicable non-U.S. Regulatory Authority.</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“Lenders” </w:t>
      </w:r>
      <w:r>
        <w:rPr>
          <w:rFonts w:ascii="Times New Roman" w:cs="Times New Roman" w:eastAsia="Times New Roman" w:hAnsi="Times New Roman"/>
          <w:sz w:val="22"/>
          <w:szCs w:val="22"/>
          <w:color w:val="auto"/>
        </w:rPr>
        <w:t>has the meaning set forth in the introduction hereto.</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Agreement</w:t>
      </w:r>
      <w:r>
        <w:rPr>
          <w:rFonts w:ascii="Times New Roman" w:cs="Times New Roman" w:eastAsia="Times New Roman" w:hAnsi="Times New Roman"/>
          <w:sz w:val="22"/>
          <w:szCs w:val="22"/>
          <w:color w:val="auto"/>
        </w:rPr>
        <w:t>” means that certain Letter Agreement, dated as of the Closing Date, among the Obligors, the Lender and the Administrative Agent.</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“Lien” </w:t>
      </w:r>
      <w:r>
        <w:rPr>
          <w:rFonts w:ascii="Times New Roman" w:cs="Times New Roman" w:eastAsia="Times New Roman" w:hAnsi="Times New Roman"/>
          <w:sz w:val="22"/>
          <w:szCs w:val="22"/>
          <w:color w:val="auto"/>
        </w:rPr>
        <w:t>means any mortgage, lien, pledge, charge or other security interest, or any lease, title retention agreement,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mortgage, restriction, easement, right-of-way, option or adverse Claim (of ownership or possession) or other encumbrance of any kind or character whatsoever or any preferential arrangement that has the practical effect of creating a security interest.</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“Loan Documents” </w:t>
      </w:r>
      <w:r>
        <w:rPr>
          <w:rFonts w:ascii="Times New Roman" w:cs="Times New Roman" w:eastAsia="Times New Roman" w:hAnsi="Times New Roman"/>
          <w:sz w:val="22"/>
          <w:szCs w:val="22"/>
          <w:color w:val="auto"/>
        </w:rPr>
        <w:t>means, collectively, this Agreement, any Notes, the Security Documents, any Guarantee Assumption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the Letter Agreement, the Warrant Certificate, any intercompany notes, any collateral access agreement or bailee waiver, and any subordination agreement, intercreditor agreement or other present or future document, instrument, agreement or certificate delivered to any Lender in connection with this Agreement or any of the other Loan Documents, in each case, as amended, restated, amended and restated, supplemented or otherwise modified.</w:t>
      </w:r>
    </w:p>
    <w:p>
      <w:pPr>
        <w:spacing w:after="0" w:line="1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“Loan Exposure” </w:t>
      </w:r>
      <w:r>
        <w:rPr>
          <w:rFonts w:ascii="Times New Roman" w:cs="Times New Roman" w:eastAsia="Times New Roman" w:hAnsi="Times New Roman"/>
          <w:sz w:val="22"/>
          <w:szCs w:val="22"/>
          <w:color w:val="auto"/>
        </w:rPr>
        <w:t>means, with respect to any Lender, as of any date of determination, the outstanding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such Lender’s portion of the Term Loans;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at any time prior to the making of a Term Loan, the Loan Exposure of any Lender shall be equal to such Lender’s Commitment with respect to such Term Loan.</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“Loss” </w:t>
      </w:r>
      <w:r>
        <w:rPr>
          <w:rFonts w:ascii="Times New Roman" w:cs="Times New Roman" w:eastAsia="Times New Roman" w:hAnsi="Times New Roman"/>
          <w:sz w:val="22"/>
          <w:szCs w:val="22"/>
          <w:color w:val="auto"/>
        </w:rPr>
        <w:t>means judgments, debts, liabilities, expenses, costs, damages or losses, contingent or otherwise, whether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“Majority Lenders” </w:t>
      </w:r>
      <w:r>
        <w:rPr>
          <w:rFonts w:ascii="Times New Roman" w:cs="Times New Roman" w:eastAsia="Times New Roman" w:hAnsi="Times New Roman"/>
          <w:sz w:val="22"/>
          <w:szCs w:val="22"/>
          <w:color w:val="auto"/>
        </w:rPr>
        <w:t>means, at any time, one or more Lenders having or holding Loan Exposure and representing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50% of the aggregate Loan Exposure of all Lenders.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means “margin stock” within the meaning of Regulations U and X.</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“Material Adverse Change”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“Material Adverse Effect” </w:t>
      </w:r>
      <w:r>
        <w:rPr>
          <w:rFonts w:ascii="Times New Roman" w:cs="Times New Roman" w:eastAsia="Times New Roman" w:hAnsi="Times New Roman"/>
          <w:sz w:val="22"/>
          <w:szCs w:val="22"/>
          <w:color w:val="auto"/>
        </w:rPr>
        <w:t>mean a material adverse change in or effect on (a)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financial condition, results of operations, performance or Property of the Obligors taken as a whole, (b) the ability of the Obligors to perform their obligations under any Loan Document, taken as a whole or (c) the legality, validity,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effect or enforceability of the Loan Documents or the rights and remedies of any Lender under any of the Loan Documents.</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i w:val="1"/>
          <w:iCs w:val="1"/>
          <w:color w:val="auto"/>
        </w:rPr>
        <w:t xml:space="preserve">“Material Agreement” </w:t>
      </w:r>
      <w:r>
        <w:rPr>
          <w:rFonts w:ascii="Times New Roman" w:cs="Times New Roman" w:eastAsia="Times New Roman" w:hAnsi="Times New Roman"/>
          <w:sz w:val="21"/>
          <w:szCs w:val="21"/>
          <w:color w:val="auto"/>
        </w:rPr>
        <w:t>means (a) any Contract which is listed in Schedule 7.14, (b) any other Contract to which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$2,500,000 or (ii) require payments or expenditures (including royalty, licensing or similar payments) made by any Obligor in an aggregate amount in excess of $2,500,000.</w:t>
      </w:r>
    </w:p>
    <w:p>
      <w:pPr>
        <w:spacing w:after="0" w:line="17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“Material Indebtedness” </w:t>
      </w:r>
      <w:r>
        <w:rPr>
          <w:rFonts w:ascii="Times New Roman" w:cs="Times New Roman" w:eastAsia="Times New Roman" w:hAnsi="Times New Roman"/>
          <w:sz w:val="22"/>
          <w:szCs w:val="22"/>
          <w:color w:val="auto"/>
        </w:rPr>
        <w:t>means, at any time, any Indebtedness of any Obligor, the outstanding principal amount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individually or in the aggregate, exceeds $2,000,000.</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“Maturity Date” </w:t>
      </w:r>
      <w:r>
        <w:rPr>
          <w:rFonts w:ascii="Times New Roman" w:cs="Times New Roman" w:eastAsia="Times New Roman" w:hAnsi="Times New Roman"/>
          <w:sz w:val="22"/>
          <w:szCs w:val="22"/>
          <w:color w:val="auto"/>
        </w:rPr>
        <w:t>means the earlier to occur of (a) the Stated Maturity Date, and (b) the date on which the Term Loans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accelerated pursuant to Section 10.02.</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“Multiemployer Plan” </w:t>
      </w:r>
      <w:r>
        <w:rPr>
          <w:rFonts w:ascii="Times New Roman" w:cs="Times New Roman" w:eastAsia="Times New Roman" w:hAnsi="Times New Roman"/>
          <w:sz w:val="22"/>
          <w:szCs w:val="22"/>
          <w:color w:val="auto"/>
        </w:rPr>
        <w:t>means any “multiemployer plan”, as defined in Section 400l(a)(3) of ERISA, with respect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any Obligor or ERISA Affiliate incurs, or otherwise has, any obligation or liability, contingent or otherwise.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“Net Cash Proceeds” </w:t>
      </w:r>
      <w:r>
        <w:rPr>
          <w:rFonts w:ascii="Times New Roman" w:cs="Times New Roman" w:eastAsia="Times New Roman" w:hAnsi="Times New Roman"/>
          <w:sz w:val="22"/>
          <w:szCs w:val="22"/>
          <w:color w:val="auto"/>
        </w:rPr>
        <w:t>means,</w:t>
      </w:r>
    </w:p>
    <w:p>
      <w:pPr>
        <w:spacing w:after="0" w:line="224" w:lineRule="exact"/>
        <w:rPr>
          <w:sz w:val="20"/>
          <w:szCs w:val="20"/>
          <w:color w:val="auto"/>
        </w:rPr>
      </w:pPr>
    </w:p>
    <w:p>
      <w:pPr>
        <w:jc w:val="both"/>
        <w:ind w:left="660" w:right="20" w:firstLine="644"/>
        <w:spacing w:after="0" w:line="257" w:lineRule="auto"/>
        <w:tabs>
          <w:tab w:leader="none" w:pos="195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Casualty Event, the amount of cash proceeds actually received from time to time by or on behalf of such Obligor after deducting therefrom only (i) actual costs and expenses related thereto incurred by such Obligor and (ii) Taxes paid or payable in each case, in connection therewith or as a result thereof;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5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spacing w:after="0" w:line="18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“Net Revenue” </w:t>
      </w:r>
      <w:r>
        <w:rPr>
          <w:rFonts w:ascii="Times New Roman" w:cs="Times New Roman" w:eastAsia="Times New Roman" w:hAnsi="Times New Roman"/>
          <w:sz w:val="22"/>
          <w:szCs w:val="22"/>
          <w:color w:val="auto"/>
        </w:rPr>
        <w:t>means, with respect to the Obligors, all amounts paid to and received by such Person in the Ordinary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Course of Business that, in accordance with GAAP, would be classified as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“Note” </w:t>
      </w:r>
      <w:r>
        <w:rPr>
          <w:rFonts w:ascii="Times New Roman" w:cs="Times New Roman" w:eastAsia="Times New Roman" w:hAnsi="Times New Roman"/>
          <w:sz w:val="22"/>
          <w:szCs w:val="22"/>
          <w:color w:val="auto"/>
        </w:rPr>
        <w:t>means a promissory note executed and delivered by the Borrower to any Lender in the form 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Exhibit C.</w:t>
      </w:r>
    </w:p>
    <w:p>
      <w:pPr>
        <w:spacing w:after="0" w:line="1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“Obligations” </w:t>
      </w:r>
      <w:r>
        <w:rPr>
          <w:rFonts w:ascii="Times New Roman" w:cs="Times New Roman" w:eastAsia="Times New Roman" w:hAnsi="Times New Roman"/>
          <w:sz w:val="22"/>
          <w:szCs w:val="22"/>
          <w:color w:val="auto"/>
        </w:rPr>
        <w:t>means, with respect to any Obligor, all amounts, obligations (including without limitation, all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post-filing or post-petition interest is allowed in any such proceeding, (c) any Prepayment Premium and (d) all fees, costs and expenses due and payable pursuant to Section 13.03, interest, commissions, charges, costs, disbursements, indemnities and reimbursement of amounts paid and other sums chargeable to such Obligor under any Loan Document.</w:t>
      </w:r>
    </w:p>
    <w:p>
      <w:pPr>
        <w:spacing w:after="0" w:line="17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“Obligor Intellectual Property” </w:t>
      </w:r>
      <w:r>
        <w:rPr>
          <w:rFonts w:ascii="Times New Roman" w:cs="Times New Roman" w:eastAsia="Times New Roman" w:hAnsi="Times New Roman"/>
          <w:sz w:val="22"/>
          <w:szCs w:val="22"/>
          <w:color w:val="auto"/>
        </w:rPr>
        <w:t>means, at any time of determination, Intellectual Property owned by, licensed to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held by any Obligor at such time including, without limitation, the Intellectual Property listed on Schedule 7.05(b).</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“Obligors” </w:t>
      </w:r>
      <w:r>
        <w:rPr>
          <w:rFonts w:ascii="Times New Roman" w:cs="Times New Roman" w:eastAsia="Times New Roman" w:hAnsi="Times New Roman"/>
          <w:sz w:val="22"/>
          <w:szCs w:val="22"/>
          <w:color w:val="auto"/>
        </w:rPr>
        <w:t>means, collectively, the Borrower and each Guarantor.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“OFAC” </w:t>
      </w:r>
      <w:r>
        <w:rPr>
          <w:rFonts w:ascii="Times New Roman" w:cs="Times New Roman" w:eastAsia="Times New Roman" w:hAnsi="Times New Roman"/>
          <w:sz w:val="21"/>
          <w:szCs w:val="21"/>
          <w:color w:val="auto"/>
        </w:rPr>
        <w:t>means the Office of Foreign Assets Control of the U.S. Department of the Treasury (or any successor thereto).</w:t>
      </w:r>
    </w:p>
    <w:p>
      <w:pPr>
        <w:spacing w:after="0" w:line="23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“Ordinary Course of Business” </w:t>
      </w:r>
      <w:r>
        <w:rPr>
          <w:rFonts w:ascii="Times New Roman" w:cs="Times New Roman" w:eastAsia="Times New Roman" w:hAnsi="Times New Roman"/>
          <w:sz w:val="22"/>
          <w:szCs w:val="22"/>
          <w:color w:val="auto"/>
        </w:rPr>
        <w:t>means, with respect to the Obligors, the ordinary course of business generally consistent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past custom and practice (including with respect to nature, scope, magnitude, quantity and frequency).</w:t>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means (a) with respect to any corporation, its certificate or articles of incorporation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“Other Connection Taxes” </w:t>
      </w:r>
      <w:r>
        <w:rPr>
          <w:rFonts w:ascii="Times New Roman" w:cs="Times New Roman" w:eastAsia="Times New Roman" w:hAnsi="Times New Roman"/>
          <w:sz w:val="22"/>
          <w:szCs w:val="22"/>
          <w:color w:val="auto"/>
        </w:rPr>
        <w:t>means, with respect to any Recipient, Taxes imposed as a result of a present or former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between such Recipient and the jurisdiction imposing such Tax (other than connections arising solely from such Recipient having executed, delivered, become a party to, performed its obligations under, received payments under, received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153" w:name="page154"/>
    <w:bookmarkEnd w:id="153"/>
    <w:p>
      <w:pPr>
        <w:jc w:val="both"/>
        <w:spacing w:after="0" w:line="271" w:lineRule="auto"/>
        <w:rPr>
          <w:sz w:val="20"/>
          <w:szCs w:val="20"/>
          <w:color w:val="auto"/>
        </w:rPr>
      </w:pPr>
      <w:r>
        <w:rPr>
          <w:rFonts w:ascii="Times New Roman" w:cs="Times New Roman" w:eastAsia="Times New Roman" w:hAnsi="Times New Roman"/>
          <w:sz w:val="22"/>
          <w:szCs w:val="22"/>
          <w:color w:val="auto"/>
        </w:rPr>
        <w:t>perfected a security interest under, engaged in any other transaction pursuant to or enforced any Loan Document, or sold or assigned an interest in any Term Loan or Loan Document).</w:t>
      </w:r>
    </w:p>
    <w:p>
      <w:pPr>
        <w:spacing w:after="0" w:line="15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21"/>
          <w:szCs w:val="21"/>
          <w:i w:val="1"/>
          <w:iCs w:val="1"/>
          <w:color w:val="auto"/>
        </w:rPr>
        <w:t xml:space="preserve">“Other Taxes” </w:t>
      </w:r>
      <w:r>
        <w:rPr>
          <w:rFonts w:ascii="Times New Roman" w:cs="Times New Roman" w:eastAsia="Times New Roman" w:hAnsi="Times New Roman"/>
          <w:sz w:val="21"/>
          <w:szCs w:val="21"/>
          <w:color w:val="auto"/>
        </w:rPr>
        <w:t>means all present or future stamp, court or documentary, intangible, recording, filing or similar Taxes that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“Participant” </w:t>
      </w:r>
      <w:r>
        <w:rPr>
          <w:rFonts w:ascii="Times New Roman" w:cs="Times New Roman" w:eastAsia="Times New Roman" w:hAnsi="Times New Roman"/>
          <w:sz w:val="22"/>
          <w:szCs w:val="22"/>
          <w:color w:val="auto"/>
        </w:rPr>
        <w:t>has the meaning set forth in Section 13.05(e).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“Participant Register” </w:t>
      </w:r>
      <w:r>
        <w:rPr>
          <w:rFonts w:ascii="Times New Roman" w:cs="Times New Roman" w:eastAsia="Times New Roman" w:hAnsi="Times New Roman"/>
          <w:sz w:val="22"/>
          <w:szCs w:val="22"/>
          <w:color w:val="auto"/>
        </w:rPr>
        <w:t>has the meaning set forth in Section 13.05(f).</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“Patents” </w:t>
      </w:r>
      <w:r>
        <w:rPr>
          <w:rFonts w:ascii="Times New Roman" w:cs="Times New Roman" w:eastAsia="Times New Roman" w:hAnsi="Times New Roman"/>
          <w:sz w:val="22"/>
          <w:szCs w:val="22"/>
          <w:color w:val="auto"/>
        </w:rPr>
        <w:t>has the meaning set forth in the Security Documents.</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“Payment Date” </w:t>
      </w:r>
      <w:r>
        <w:rPr>
          <w:rFonts w:ascii="Times New Roman" w:cs="Times New Roman" w:eastAsia="Times New Roman" w:hAnsi="Times New Roman"/>
          <w:sz w:val="22"/>
          <w:szCs w:val="22"/>
          <w:color w:val="auto"/>
        </w:rPr>
        <w:t>means the last day of each Interest Period;</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such last day of such Interest Period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Day, then the Payment Date for such Interest Period will be the next succeeding Business Day.</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“PBGC” </w:t>
      </w:r>
      <w:r>
        <w:rPr>
          <w:rFonts w:ascii="Times New Roman" w:cs="Times New Roman" w:eastAsia="Times New Roman" w:hAnsi="Times New Roman"/>
          <w:sz w:val="22"/>
          <w:szCs w:val="22"/>
          <w:color w:val="auto"/>
        </w:rPr>
        <w:t>means the United States Pension Benefit Guaranty Corporation referred to and defined in ERISA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successor entity performing similar functions.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Perceptive</w:t>
      </w:r>
      <w:r>
        <w:rPr>
          <w:rFonts w:ascii="Times New Roman" w:cs="Times New Roman" w:eastAsia="Times New Roman" w:hAnsi="Times New Roman"/>
          <w:sz w:val="22"/>
          <w:szCs w:val="22"/>
          <w:color w:val="auto"/>
        </w:rPr>
        <w:t>” has the meaning set forth in the introduction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“Periodic Term SOFR Determination Day” </w:t>
      </w:r>
      <w:r>
        <w:rPr>
          <w:rFonts w:ascii="Times New Roman" w:cs="Times New Roman" w:eastAsia="Times New Roman" w:hAnsi="Times New Roman"/>
          <w:sz w:val="22"/>
          <w:szCs w:val="22"/>
          <w:color w:val="auto"/>
        </w:rPr>
        <w:t>has the meaning specified in the definition of “Term SOFR.”</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“Permits” </w:t>
      </w:r>
      <w:r>
        <w:rPr>
          <w:rFonts w:ascii="Times New Roman" w:cs="Times New Roman" w:eastAsia="Times New Roman" w:hAnsi="Times New Roman"/>
          <w:sz w:val="22"/>
          <w:szCs w:val="22"/>
          <w:color w:val="auto"/>
        </w:rPr>
        <w:t>means all permits, licenses, registrations, certificates, orders, approvals, authorizations, consents, waivers,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franchises, variances and similar rights issued by or obtained from any Governmental Authority or any other Person, including, without limitation, those relating to Environmental Laws and Health Care Laws.</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“Permitted Acquisition” </w:t>
      </w:r>
      <w:r>
        <w:rPr>
          <w:rFonts w:ascii="Times New Roman" w:cs="Times New Roman" w:eastAsia="Times New Roman" w:hAnsi="Times New Roman"/>
          <w:sz w:val="22"/>
          <w:szCs w:val="22"/>
          <w:color w:val="auto"/>
        </w:rPr>
        <w:t>means any Acquisition by any Obligor or any of its wholly-owned Subsidiaries, by (a) purchase,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merger, amalgamation,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over the counter software license arrangements);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54" w:name="page155"/>
    <w:bookmarkEnd w:id="154"/>
    <w:p>
      <w:pPr>
        <w:ind w:left="1120" w:hanging="428"/>
        <w:spacing w:after="0" w:line="271" w:lineRule="auto"/>
        <w:tabs>
          <w:tab w:leader="none" w:pos="110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prior to, and immediately after giving effect thereto, no Default or Event of Default shall have occurred and be continuing or would result therefrom;</w:t>
      </w:r>
    </w:p>
    <w:p>
      <w:pPr>
        <w:spacing w:after="0" w:line="157" w:lineRule="exact"/>
        <w:rPr>
          <w:rFonts w:ascii="Times New Roman" w:cs="Times New Roman" w:eastAsia="Times New Roman" w:hAnsi="Times New Roman"/>
          <w:sz w:val="22"/>
          <w:szCs w:val="22"/>
          <w:color w:val="auto"/>
        </w:rPr>
      </w:pPr>
    </w:p>
    <w:p>
      <w:pPr>
        <w:ind w:left="1120" w:right="20" w:hanging="428"/>
        <w:spacing w:after="0" w:line="284" w:lineRule="auto"/>
        <w:tabs>
          <w:tab w:leader="none" w:pos="120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 connection therewith shall be consummated, in all material respects, in accordance with all applicable Laws and in conformity in all material respects with all applicable Governmental Approvals;</w:t>
      </w:r>
    </w:p>
    <w:p>
      <w:pPr>
        <w:spacing w:after="0" w:line="143" w:lineRule="exact"/>
        <w:rPr>
          <w:rFonts w:ascii="Times New Roman" w:cs="Times New Roman" w:eastAsia="Times New Roman" w:hAnsi="Times New Roman"/>
          <w:sz w:val="22"/>
          <w:szCs w:val="22"/>
          <w:color w:val="auto"/>
        </w:rPr>
      </w:pPr>
    </w:p>
    <w:p>
      <w:pPr>
        <w:jc w:val="both"/>
        <w:ind w:left="1120" w:hanging="428"/>
        <w:spacing w:after="0" w:line="268" w:lineRule="auto"/>
        <w:tabs>
          <w:tab w:leader="none" w:pos="112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the Borrower shall have taken, or caused to be taken, as of the date such Person becomes a Subsidiary of an Obligor, each of the actions set forth in Section 8.11, if applicable;</w:t>
      </w:r>
    </w:p>
    <w:p>
      <w:pPr>
        <w:spacing w:after="0" w:line="163" w:lineRule="exact"/>
        <w:rPr>
          <w:rFonts w:ascii="Times New Roman" w:cs="Times New Roman" w:eastAsia="Times New Roman" w:hAnsi="Times New Roman"/>
          <w:sz w:val="21"/>
          <w:szCs w:val="21"/>
          <w:color w:val="auto"/>
        </w:rPr>
      </w:pPr>
    </w:p>
    <w:p>
      <w:pPr>
        <w:jc w:val="both"/>
        <w:ind w:left="1120" w:hanging="428"/>
        <w:spacing w:after="0" w:line="262" w:lineRule="auto"/>
        <w:tabs>
          <w:tab w:leader="none" w:pos="110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Person (in the case of an Acquisition of Equity Interests) or assets (in the case of an Acquisition of assets or a division) (A) shall be engaged or used, as the case may be, in the same business or lines of business in which the Borrower and/or its Subsidiaries are engaged or a business reasonably and substantially similar or related thereto or</w:t>
      </w:r>
    </w:p>
    <w:p>
      <w:pPr>
        <w:spacing w:after="0" w:line="2"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shall have a similar customer base as the Borrower;</w:t>
      </w:r>
    </w:p>
    <w:p>
      <w:pPr>
        <w:spacing w:after="0" w:line="195" w:lineRule="exact"/>
        <w:rPr>
          <w:rFonts w:ascii="Times New Roman" w:cs="Times New Roman" w:eastAsia="Times New Roman" w:hAnsi="Times New Roman"/>
          <w:sz w:val="21"/>
          <w:szCs w:val="21"/>
          <w:color w:val="auto"/>
        </w:rPr>
      </w:pPr>
    </w:p>
    <w:p>
      <w:pPr>
        <w:jc w:val="both"/>
        <w:ind w:left="1120" w:hanging="428"/>
        <w:spacing w:after="0" w:line="263" w:lineRule="auto"/>
        <w:tabs>
          <w:tab w:leader="none" w:pos="111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have provided the Administrative Agent with at least ten (10) Business Days’ prior written notice of any such Acquisition, together with summaries, prepared in reasonable detail, of all material due diligence conducted by or on behalf of the Borrower or the applicable Subsidiary prior to such Acquisition;</w:t>
      </w:r>
    </w:p>
    <w:p>
      <w:pPr>
        <w:spacing w:after="0" w:line="167" w:lineRule="exact"/>
        <w:rPr>
          <w:sz w:val="20"/>
          <w:szCs w:val="20"/>
          <w:color w:val="auto"/>
        </w:rPr>
      </w:pPr>
    </w:p>
    <w:p>
      <w:pPr>
        <w:ind w:left="2580" w:hanging="628"/>
        <w:spacing w:after="0"/>
        <w:tabs>
          <w:tab w:leader="none" w:pos="2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assets or Equity Interests acquired in connection with such Acquisition shall be of a U.S.</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Person;</w:t>
      </w:r>
    </w:p>
    <w:p>
      <w:pPr>
        <w:spacing w:after="0" w:line="196" w:lineRule="exact"/>
        <w:rPr>
          <w:sz w:val="20"/>
          <w:szCs w:val="20"/>
          <w:color w:val="auto"/>
        </w:rPr>
      </w:pPr>
    </w:p>
    <w:p>
      <w:pPr>
        <w:ind w:left="1120" w:hanging="428"/>
        <w:spacing w:after="0" w:line="284" w:lineRule="auto"/>
        <w:tabs>
          <w:tab w:leader="none" w:pos="117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shall have been approved by the Board or other governing body or controlling Person of the Person acquired or the Person from whom such assets or division is acquired; and</w:t>
      </w:r>
    </w:p>
    <w:p>
      <w:pPr>
        <w:spacing w:after="0" w:line="140" w:lineRule="exact"/>
        <w:rPr>
          <w:sz w:val="20"/>
          <w:szCs w:val="20"/>
          <w:color w:val="auto"/>
        </w:rPr>
      </w:pPr>
    </w:p>
    <w:p>
      <w:pPr>
        <w:ind w:left="1120" w:hanging="431"/>
        <w:spacing w:after="0" w:line="275" w:lineRule="auto"/>
        <w:rPr>
          <w:sz w:val="20"/>
          <w:szCs w:val="20"/>
          <w:color w:val="auto"/>
        </w:rPr>
      </w:pPr>
      <w:r>
        <w:rPr>
          <w:rFonts w:ascii="Times New Roman" w:cs="Times New Roman" w:eastAsia="Times New Roman" w:hAnsi="Times New Roman"/>
          <w:sz w:val="22"/>
          <w:szCs w:val="22"/>
          <w:color w:val="auto"/>
        </w:rPr>
        <w:t xml:space="preserve">(viii)on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after giving effect to such Acquisition, the Obligors shall be in compliance with Sections 8.15(a) and 8.15(b).</w:t>
      </w:r>
    </w:p>
    <w:p>
      <w:pPr>
        <w:spacing w:after="0" w:line="1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i w:val="1"/>
          <w:iCs w:val="1"/>
          <w:color w:val="auto"/>
        </w:rPr>
        <w:t xml:space="preserve">“Permitted Cash Equivalent Investments” </w:t>
      </w:r>
      <w:r>
        <w:rPr>
          <w:rFonts w:ascii="Times New Roman" w:cs="Times New Roman" w:eastAsia="Times New Roman" w:hAnsi="Times New Roman"/>
          <w:sz w:val="22"/>
          <w:szCs w:val="22"/>
          <w:color w:val="auto"/>
        </w:rPr>
        <w:t>means (a) marketable direct obligations issued or unconditionally guaranteed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United States or any agency or any State thereof having maturities of not more than two (2) years from the date of acquisition, (b) commercial paper having the highest, or second highest, rating from either Standard &amp; Poor’s Ratings Group or Moody’s Investors Service, Inc., (c) any money market funds or other investment vehicles whose principal investments are in investments described in clauses (a) or (b) above, (d) certificates of deposit or bankers’ acceptances issued or accepted by any commercial bank organized under the laws of the United States of America or any state thereof or the District of Columbia that is at least (A) “adequately capitalized” (as defined in the regulations of its primary Federal banking regulator) and (B) has Tier 1 capital (as defined in such regulations) of not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55" w:name="page156"/>
    <w:bookmarkEnd w:id="155"/>
    <w:p>
      <w:pPr>
        <w:jc w:val="both"/>
        <w:spacing w:after="0" w:line="256" w:lineRule="auto"/>
        <w:rPr>
          <w:sz w:val="20"/>
          <w:szCs w:val="20"/>
          <w:color w:val="auto"/>
        </w:rPr>
      </w:pPr>
      <w:r>
        <w:rPr>
          <w:rFonts w:ascii="Times New Roman" w:cs="Times New Roman" w:eastAsia="Times New Roman" w:hAnsi="Times New Roman"/>
          <w:sz w:val="22"/>
          <w:szCs w:val="22"/>
          <w:color w:val="auto"/>
        </w:rPr>
        <w:t>$250,000,000; (e) investments permitted by the investment policy approved by the board of directors of Borrower, so long as Borrower provides written notice to the Lenders of any changes to the investment policy delivered to the Lenders on the Closing Date and such changes will not adversely affect the Lenders in any material respect in the determination of the Lenders in their reasonable discretion and (f) certificates of deposit maturing no more than one (1) year after issue.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“Permitted Indebtedness” </w:t>
      </w:r>
      <w:r>
        <w:rPr>
          <w:rFonts w:ascii="Times New Roman" w:cs="Times New Roman" w:eastAsia="Times New Roman" w:hAnsi="Times New Roman"/>
          <w:sz w:val="22"/>
          <w:szCs w:val="22"/>
          <w:color w:val="auto"/>
        </w:rPr>
        <w:t>means any Indebtedness permitted under Section 9.01.</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“Permitted Licenses” </w:t>
      </w:r>
      <w:r>
        <w:rPr>
          <w:rFonts w:ascii="Times New Roman" w:cs="Times New Roman" w:eastAsia="Times New Roman" w:hAnsi="Times New Roman"/>
          <w:sz w:val="22"/>
          <w:szCs w:val="22"/>
          <w:color w:val="auto"/>
        </w:rPr>
        <w:t>means (a) licenses of over-the-counter software that is commercially available to the public, (b)</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inbound licenses for the use of any Patents, Trademarks, Copyrights, Industrial Designs and Technical Information of any third party and (c) non-exclusive licenses for the use of Obligor Intellectual Property, in each case, entered into in the Ordinary Course of Business or as otherwise may be approved by the applicable Obligor’s Board and so long as (i) no Event of Default has occurred and is continuing at the time such license is entered into and (ii) such license does not materially impair the Lenders from exercising their rights under any of the Loan Documents.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“Permitted Liens” </w:t>
      </w:r>
      <w:r>
        <w:rPr>
          <w:rFonts w:ascii="Times New Roman" w:cs="Times New Roman" w:eastAsia="Times New Roman" w:hAnsi="Times New Roman"/>
          <w:sz w:val="22"/>
          <w:szCs w:val="22"/>
          <w:color w:val="auto"/>
        </w:rPr>
        <w:t>means any Liens permitted under Section 9.02.</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“Permitted Refinancing” </w:t>
      </w:r>
      <w:r>
        <w:rPr>
          <w:rFonts w:ascii="Times New Roman" w:cs="Times New Roman" w:eastAsia="Times New Roman" w:hAnsi="Times New Roman"/>
          <w:sz w:val="21"/>
          <w:szCs w:val="21"/>
          <w:color w:val="auto"/>
        </w:rPr>
        <w:t>means, with respect to any Indebtedness permitted to be refinanced, extended, renewed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replaced hereunder, any refinancings, extensions, renewals and replacements of such Indebtedness;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refinancing, extension, renewal or replacement shall not (a) increase the outstanding principal amount of the Indebtedness being refinanced, extended, renewed or replaced, (b) contain terms relating to outstanding principal amount, amortization, interest rate or equivalent yield, maturity, collateral security (if any) or subordination (if any), or other material terms that, taken as a whole, are less 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after giving effect to such refinancing, extension, renewal or replacement, no Default shall have occurred (or could reasonably be expected to occur) as a result thereof.</w:t>
      </w:r>
    </w:p>
    <w:p>
      <w:pPr>
        <w:spacing w:after="0" w:line="17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“Person” </w:t>
      </w:r>
      <w:r>
        <w:rPr>
          <w:rFonts w:ascii="Times New Roman" w:cs="Times New Roman" w:eastAsia="Times New Roman" w:hAnsi="Times New Roman"/>
          <w:sz w:val="22"/>
          <w:szCs w:val="22"/>
          <w:color w:val="auto"/>
        </w:rPr>
        <w:t>means any individual, corporation, company, voluntary association, partnership, limited liability company, joint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venture, trust, unincorporated organization or Governmental Authority or other entity of whatever nature.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“PFIC” </w:t>
      </w:r>
      <w:r>
        <w:rPr>
          <w:rFonts w:ascii="Times New Roman" w:cs="Times New Roman" w:eastAsia="Times New Roman" w:hAnsi="Times New Roman"/>
          <w:sz w:val="22"/>
          <w:szCs w:val="22"/>
          <w:color w:val="auto"/>
        </w:rPr>
        <w:t>has the meaning set forth in Section 8.01(i).</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“Prepayment Premium” </w:t>
      </w:r>
      <w:r>
        <w:rPr>
          <w:rFonts w:ascii="Times New Roman" w:cs="Times New Roman" w:eastAsia="Times New Roman" w:hAnsi="Times New Roman"/>
          <w:sz w:val="22"/>
          <w:szCs w:val="22"/>
          <w:color w:val="auto"/>
        </w:rPr>
        <w:t>has the meaning set forth in Section 3.03(a).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“Pro Rata Share” </w:t>
      </w:r>
      <w:r>
        <w:rPr>
          <w:rFonts w:ascii="Times New Roman" w:cs="Times New Roman" w:eastAsia="Times New Roman" w:hAnsi="Times New Roman"/>
          <w:sz w:val="22"/>
          <w:szCs w:val="22"/>
          <w:color w:val="auto"/>
        </w:rPr>
        <w:t>has the meaning set forth in Section 11.08.</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“Product” </w:t>
      </w:r>
      <w:r>
        <w:rPr>
          <w:rFonts w:ascii="Times New Roman" w:cs="Times New Roman" w:eastAsia="Times New Roman" w:hAnsi="Times New Roman"/>
          <w:sz w:val="22"/>
          <w:szCs w:val="22"/>
          <w:color w:val="auto"/>
        </w:rPr>
        <w:t>means any and all products of an Obligor that are sold or intended to be sold, including (a) those LDTs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Devices, if any, set forth (and described in reasonable detail) on Schedule 3 attached hereto, and (b) any current or future LDT or Device subject to any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22"/>
          <w:szCs w:val="22"/>
          <w:color w:val="auto"/>
        </w:rPr>
        <w:t>Development and Commercialization Activities by any Obligor, including any such LDT or Device currently in development.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the avoidance of doubt, all Products as of the Closing Date constitute LDTs.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“Product Agreement” </w:t>
      </w:r>
      <w:r>
        <w:rPr>
          <w:rFonts w:ascii="Times New Roman" w:cs="Times New Roman" w:eastAsia="Times New Roman" w:hAnsi="Times New Roman"/>
          <w:sz w:val="22"/>
          <w:szCs w:val="22"/>
          <w:color w:val="auto"/>
        </w:rPr>
        <w:t>means, with respect to any Product, any Contract, license, document, instrument, interest (equity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spacing w:after="0" w:line="18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i w:val="1"/>
          <w:iCs w:val="1"/>
          <w:color w:val="auto"/>
        </w:rPr>
        <w:t xml:space="preserve">“Product Assets” </w:t>
      </w:r>
      <w:r>
        <w:rPr>
          <w:rFonts w:ascii="Times New Roman" w:cs="Times New Roman" w:eastAsia="Times New Roman" w:hAnsi="Times New Roman"/>
          <w:sz w:val="22"/>
          <w:szCs w:val="22"/>
          <w:color w:val="auto"/>
        </w:rPr>
        <w:t>means, with respect to any Product, (a) any and all rights, title and interest of the Obligors or any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their Subsidiaries in any assets relating to such Product or any Product Development and Commercialization Activities with respect to such Product, (b) all Product Related Information with respect to such Product or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“Product Development and Commercialization Activities” </w:t>
      </w:r>
      <w:r>
        <w:rPr>
          <w:rFonts w:ascii="Times New Roman" w:cs="Times New Roman" w:eastAsia="Times New Roman" w:hAnsi="Times New Roman"/>
          <w:sz w:val="22"/>
          <w:szCs w:val="22"/>
          <w:color w:val="auto"/>
        </w:rPr>
        <w:t>means, with respect to any Product, any combination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“Product Related Information” </w:t>
      </w:r>
      <w:r>
        <w:rPr>
          <w:rFonts w:ascii="Times New Roman" w:cs="Times New Roman" w:eastAsia="Times New Roman" w:hAnsi="Times New Roman"/>
          <w:sz w:val="22"/>
          <w:szCs w:val="22"/>
          <w:color w:val="auto"/>
        </w:rPr>
        <w:t>means, with respect to any Product, all books, records, lists, ledgers, files, manuals,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correspondence, reports, plans, drawings and data (in any form or medium), and all techniques and other know-how, owned or possessed by the Obligors or any of their Subsidiaries that are necessary or required for any Product Development and Commercialization Activities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Regulatory Approval, any regulatory filings, updates, notices and correspondence (including adverse event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50" w:lineRule="auto"/>
        <w:rPr>
          <w:sz w:val="20"/>
          <w:szCs w:val="20"/>
          <w:color w:val="auto"/>
        </w:rPr>
      </w:pPr>
      <w:r>
        <w:rPr>
          <w:rFonts w:ascii="Times New Roman" w:cs="Times New Roman" w:eastAsia="Times New Roman" w:hAnsi="Times New Roman"/>
          <w:sz w:val="22"/>
          <w:szCs w:val="22"/>
          <w:color w:val="auto"/>
        </w:rPr>
        <w:t>pharmacovigilance and other post-marketing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know-how necessary or required in connection with the Product Development and Commercialization Activities for any Product.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“Prohibited Payment” </w:t>
      </w:r>
      <w:r>
        <w:rPr>
          <w:rFonts w:ascii="Times New Roman" w:cs="Times New Roman" w:eastAsia="Times New Roman" w:hAnsi="Times New Roman"/>
          <w:sz w:val="22"/>
          <w:szCs w:val="22"/>
          <w:color w:val="auto"/>
        </w:rPr>
        <w:t>means any bribe, rebate, payoff, influence payment, kickback or other payment or gift of money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Requirement of Law.</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has the meaning set forth in Section 7.04(b).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“Property” </w:t>
      </w:r>
      <w:r>
        <w:rPr>
          <w:rFonts w:ascii="Times New Roman" w:cs="Times New Roman" w:eastAsia="Times New Roman" w:hAnsi="Times New Roman"/>
          <w:sz w:val="22"/>
          <w:szCs w:val="22"/>
          <w:color w:val="auto"/>
        </w:rPr>
        <w:t>of any Person means any property or assets, or interest therein, of such Person.</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“Proportionate Share” </w:t>
      </w:r>
      <w:r>
        <w:rPr>
          <w:rFonts w:ascii="Times New Roman" w:cs="Times New Roman" w:eastAsia="Times New Roman" w:hAnsi="Times New Roman"/>
          <w:sz w:val="22"/>
          <w:szCs w:val="22"/>
          <w:color w:val="auto"/>
        </w:rPr>
        <w:t>means, with respect to any Lender, the percentage obtained by dividing (a) the Loan Exposure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Lender then in effect by (b) the aggregate Loan Exposure of all Lenders then in effect.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“Proposal Letter” </w:t>
      </w:r>
      <w:r>
        <w:rPr>
          <w:rFonts w:ascii="Times New Roman" w:cs="Times New Roman" w:eastAsia="Times New Roman" w:hAnsi="Times New Roman"/>
          <w:sz w:val="22"/>
          <w:szCs w:val="22"/>
          <w:color w:val="auto"/>
        </w:rPr>
        <w:t>means the letter agreement, dated March 10, 2025, among the Borrower and Perceptive Advisors LLC,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transactions contemplated hereby and the outline of proposed terms and conditions attached thereto.</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“Publicly Reporting Company” </w:t>
      </w:r>
      <w:r>
        <w:rPr>
          <w:rFonts w:ascii="Times New Roman" w:cs="Times New Roman" w:eastAsia="Times New Roman" w:hAnsi="Times New Roman"/>
          <w:sz w:val="22"/>
          <w:szCs w:val="22"/>
          <w:color w:val="auto"/>
        </w:rPr>
        <w:t>means an issuer generally subject to the public reporting requirements of the Exchange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w:t>
      </w:r>
    </w:p>
    <w:p>
      <w:pPr>
        <w:spacing w:after="0" w:line="20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“Qualified Equity Interest” </w:t>
      </w:r>
      <w:r>
        <w:rPr>
          <w:rFonts w:ascii="Times New Roman" w:cs="Times New Roman" w:eastAsia="Times New Roman" w:hAnsi="Times New Roman"/>
          <w:sz w:val="22"/>
          <w:szCs w:val="22"/>
          <w:color w:val="auto"/>
        </w:rPr>
        <w:t>means, with respect to any Person, any Equity Interest of such Person that is not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Disqualified Equity Interest.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“Recipient” </w:t>
      </w:r>
      <w:r>
        <w:rPr>
          <w:rFonts w:ascii="Times New Roman" w:cs="Times New Roman" w:eastAsia="Times New Roman" w:hAnsi="Times New Roman"/>
          <w:sz w:val="22"/>
          <w:szCs w:val="22"/>
          <w:color w:val="auto"/>
        </w:rPr>
        <w:t>means any Lender or the Administrative Agent.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“Redemption Date” </w:t>
      </w:r>
      <w:r>
        <w:rPr>
          <w:rFonts w:ascii="Times New Roman" w:cs="Times New Roman" w:eastAsia="Times New Roman" w:hAnsi="Times New Roman"/>
          <w:sz w:val="22"/>
          <w:szCs w:val="22"/>
          <w:color w:val="auto"/>
        </w:rPr>
        <w:t>has the meaning set forth in Section 3.03(a).</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“Redemption Price” </w:t>
      </w:r>
      <w:r>
        <w:rPr>
          <w:rFonts w:ascii="Times New Roman" w:cs="Times New Roman" w:eastAsia="Times New Roman" w:hAnsi="Times New Roman"/>
          <w:sz w:val="22"/>
          <w:szCs w:val="22"/>
          <w:color w:val="auto"/>
        </w:rPr>
        <w:t>has the meaning set forth in Section 3.03(a).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“Referral Source” </w:t>
      </w:r>
      <w:r>
        <w:rPr>
          <w:rFonts w:ascii="Times New Roman" w:cs="Times New Roman" w:eastAsia="Times New Roman" w:hAnsi="Times New Roman"/>
          <w:sz w:val="22"/>
          <w:szCs w:val="22"/>
          <w:color w:val="auto"/>
        </w:rPr>
        <w:t>has the meaning set forth in Section 7.07(b)(i).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“Register” </w:t>
      </w:r>
      <w:r>
        <w:rPr>
          <w:rFonts w:ascii="Times New Roman" w:cs="Times New Roman" w:eastAsia="Times New Roman" w:hAnsi="Times New Roman"/>
          <w:sz w:val="22"/>
          <w:szCs w:val="22"/>
          <w:color w:val="auto"/>
        </w:rPr>
        <w:t>has the meaning set forth in Section 13.05(d).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158" w:name="page159"/>
    <w:bookmarkEnd w:id="158"/>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“Regulated Product Laws” </w:t>
      </w:r>
      <w:r>
        <w:rPr>
          <w:rFonts w:ascii="Times New Roman" w:cs="Times New Roman" w:eastAsia="Times New Roman" w:hAnsi="Times New Roman"/>
          <w:sz w:val="22"/>
          <w:szCs w:val="22"/>
          <w:color w:val="auto"/>
        </w:rPr>
        <w:t>means all Laws relating to the Product Development and Commercialization Activities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including, as applicable (a) CLIA and state laboratory licensing laws, (b) the FD&amp;C Act, or (c) any non-U.S. equivalent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“Regulation T” </w:t>
      </w:r>
      <w:r>
        <w:rPr>
          <w:rFonts w:ascii="Times New Roman" w:cs="Times New Roman" w:eastAsia="Times New Roman" w:hAnsi="Times New Roman"/>
          <w:sz w:val="22"/>
          <w:szCs w:val="22"/>
          <w:color w:val="auto"/>
        </w:rPr>
        <w:t>means Regulation T of the Board of Governors of the Federal Reserve System,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“Regulation U” </w:t>
      </w:r>
      <w:r>
        <w:rPr>
          <w:rFonts w:ascii="Times New Roman" w:cs="Times New Roman" w:eastAsia="Times New Roman" w:hAnsi="Times New Roman"/>
          <w:sz w:val="22"/>
          <w:szCs w:val="22"/>
          <w:color w:val="auto"/>
        </w:rPr>
        <w:t>means Regulation U of the Board of Governors of the Federal Reserve System,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“Regulation X” </w:t>
      </w:r>
      <w:r>
        <w:rPr>
          <w:rFonts w:ascii="Times New Roman" w:cs="Times New Roman" w:eastAsia="Times New Roman" w:hAnsi="Times New Roman"/>
          <w:sz w:val="22"/>
          <w:szCs w:val="22"/>
          <w:color w:val="auto"/>
        </w:rPr>
        <w:t>means Regulation X of the Board of Governors of the Federal Reserve System, as amended.</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“Regulatory Approvals” </w:t>
      </w:r>
      <w:r>
        <w:rPr>
          <w:rFonts w:ascii="Times New Roman" w:cs="Times New Roman" w:eastAsia="Times New Roman" w:hAnsi="Times New Roman"/>
          <w:sz w:val="22"/>
          <w:szCs w:val="22"/>
          <w:color w:val="auto"/>
        </w:rPr>
        <w:t>means any Governmental Approval relating to any Product or any Product Development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Commercialization Activities related to such Product.</w:t>
      </w:r>
    </w:p>
    <w:p>
      <w:pPr>
        <w:spacing w:after="0" w:line="16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“Regulatory Authority” </w:t>
      </w:r>
      <w:r>
        <w:rPr>
          <w:rFonts w:ascii="Times New Roman" w:cs="Times New Roman" w:eastAsia="Times New Roman" w:hAnsi="Times New Roman"/>
          <w:sz w:val="22"/>
          <w:szCs w:val="22"/>
          <w:color w:val="auto"/>
        </w:rPr>
        <w:t>means any Governmental Authority that is concerned with or has regulatory or supervisory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oversight with respect to any Product or any Product Development and Commercialization Activities relating to any Product, including the Centers for Medicare &amp; Medicaid Services, the FDA and all equivalent Governmental Authorities, whether U.S. or non-U.S.</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“Representatives” </w:t>
      </w:r>
      <w:r>
        <w:rPr>
          <w:rFonts w:ascii="Times New Roman" w:cs="Times New Roman" w:eastAsia="Times New Roman" w:hAnsi="Times New Roman"/>
          <w:sz w:val="22"/>
          <w:szCs w:val="22"/>
          <w:color w:val="auto"/>
        </w:rPr>
        <w:t>has the meaning set forth in Section 13.17.</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“Requirement of Law” </w:t>
      </w:r>
      <w:r>
        <w:rPr>
          <w:rFonts w:ascii="Times New Roman" w:cs="Times New Roman" w:eastAsia="Times New Roman" w:hAnsi="Times New Roman"/>
          <w:sz w:val="22"/>
          <w:szCs w:val="22"/>
          <w:color w:val="auto"/>
        </w:rPr>
        <w:t>means, as to any Person, any Law applicable to or binding upon such Person or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Properties or revenues.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“Resignation Effective Date” </w:t>
      </w:r>
      <w:r>
        <w:rPr>
          <w:rFonts w:ascii="Times New Roman" w:cs="Times New Roman" w:eastAsia="Times New Roman" w:hAnsi="Times New Roman"/>
          <w:sz w:val="22"/>
          <w:szCs w:val="22"/>
          <w:color w:val="auto"/>
        </w:rPr>
        <w:t>has the meaning set forth in Section 12.06(a).</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“Resolution Authority” </w:t>
      </w:r>
      <w:r>
        <w:rPr>
          <w:rFonts w:ascii="Times New Roman" w:cs="Times New Roman" w:eastAsia="Times New Roman" w:hAnsi="Times New Roman"/>
          <w:sz w:val="22"/>
          <w:szCs w:val="22"/>
          <w:color w:val="auto"/>
        </w:rPr>
        <w:t>means an EEA Resolution Authority or, with respect to any UK Financial Institution, a UK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Resolution Authority.</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“Responsible Officer” </w:t>
      </w:r>
      <w:r>
        <w:rPr>
          <w:rFonts w:ascii="Times New Roman" w:cs="Times New Roman" w:eastAsia="Times New Roman" w:hAnsi="Times New Roman"/>
          <w:sz w:val="22"/>
          <w:szCs w:val="22"/>
          <w:color w:val="auto"/>
        </w:rPr>
        <w:t>of any Person means each of the president, chief executive officer, general counsel and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financial officer of such Person.</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“Restricted Payment” </w:t>
      </w:r>
      <w:r>
        <w:rPr>
          <w:rFonts w:ascii="Times New Roman" w:cs="Times New Roman" w:eastAsia="Times New Roman" w:hAnsi="Times New Roman"/>
          <w:sz w:val="22"/>
          <w:szCs w:val="22"/>
          <w:color w:val="auto"/>
        </w:rPr>
        <w:t>means any dividend or other distribution (which shall include any management fees) (whether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8" w:right="339" w:bottom="1440" w:gutter="0" w:footer="0" w:header="0"/>
        </w:sectPr>
      </w:pPr>
    </w:p>
    <w:bookmarkStart w:id="159" w:name="page160"/>
    <w:bookmarkEnd w:id="159"/>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Restrictive Agreement</w:t>
      </w:r>
      <w:r>
        <w:rPr>
          <w:rFonts w:ascii="Times New Roman" w:cs="Times New Roman" w:eastAsia="Times New Roman" w:hAnsi="Times New Roman"/>
          <w:sz w:val="21"/>
          <w:szCs w:val="21"/>
          <w:color w:val="auto"/>
        </w:rPr>
        <w:t>” 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(iv) restrictions in joint venture or similar agreements and (v) restrictions contained in any collaboration agreement, or (b) the ability of any Subsidiary to pay dividends or other distributions with respect to any shares of its Equity Interests or to make or repay loans or advances to an Obligor or any other Subsidiary or to Guarantee Indebtedness of an Obligor or any other Subsidiary.</w:t>
      </w:r>
    </w:p>
    <w:p>
      <w:pPr>
        <w:spacing w:after="0" w:line="1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“Sanctions” </w:t>
      </w:r>
      <w:r>
        <w:rPr>
          <w:rFonts w:ascii="Times New Roman" w:cs="Times New Roman" w:eastAsia="Times New Roman" w:hAnsi="Times New Roman"/>
          <w:sz w:val="22"/>
          <w:szCs w:val="22"/>
          <w:color w:val="auto"/>
        </w:rPr>
        <w:t>means economic or financial sanctions, requirements or trade embargoes imposed, administered or enforced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time to time by any Governmental Authority (including, but not limited to, OFAC, the U.S. Department of State and the U.S. Department of Commerce).</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“Sanctions Laws” </w:t>
      </w:r>
      <w:r>
        <w:rPr>
          <w:rFonts w:ascii="Times New Roman" w:cs="Times New Roman" w:eastAsia="Times New Roman" w:hAnsi="Times New Roman"/>
          <w:sz w:val="22"/>
          <w:szCs w:val="22"/>
          <w:color w:val="auto"/>
        </w:rPr>
        <w:t>means all laws, rules, regulations and requirements of any jurisdiction applicable to the Obligors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party to the Loan Documents concerning or relating to Sanctions, terrorism or money laundering.</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“SEC” </w:t>
      </w:r>
      <w:r>
        <w:rPr>
          <w:rFonts w:ascii="Times New Roman" w:cs="Times New Roman" w:eastAsia="Times New Roman" w:hAnsi="Times New Roman"/>
          <w:sz w:val="22"/>
          <w:szCs w:val="22"/>
          <w:color w:val="auto"/>
        </w:rPr>
        <w:t>means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“Securities Account” </w:t>
      </w:r>
      <w:r>
        <w:rPr>
          <w:rFonts w:ascii="Times New Roman" w:cs="Times New Roman" w:eastAsia="Times New Roman" w:hAnsi="Times New Roman"/>
          <w:sz w:val="22"/>
          <w:szCs w:val="22"/>
          <w:color w:val="auto"/>
        </w:rPr>
        <w:t>has the meaning set forth in the Security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“Security Agreement” </w:t>
      </w:r>
      <w:r>
        <w:rPr>
          <w:rFonts w:ascii="Times New Roman" w:cs="Times New Roman" w:eastAsia="Times New Roman" w:hAnsi="Times New Roman"/>
          <w:sz w:val="22"/>
          <w:szCs w:val="22"/>
          <w:color w:val="auto"/>
        </w:rPr>
        <w:t>means the Security Agreement, dated as of the date hereof (as the same may be amended, restated,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and restated, modified, or supplemented from time to time), in substantially the form of Exhibit G, among the Obligors, the Lenders and the Administrative Agent, granting a security interest in the personal Property constituting Collateral thereunder in favor of the Administrative Agent for the benefit of the Lenders.</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“Security Documents” </w:t>
      </w:r>
      <w:r>
        <w:rPr>
          <w:rFonts w:ascii="Times New Roman" w:cs="Times New Roman" w:eastAsia="Times New Roman" w:hAnsi="Times New Roman"/>
          <w:sz w:val="22"/>
          <w:szCs w:val="22"/>
          <w:color w:val="auto"/>
        </w:rPr>
        <w:t>means, collectively, the Security Agreement, each Short-Form IP Security Agreement,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security document, control agreement or financing statement executed to perfect Liens in favor of the Administrative Agent for the benefit of the Lenders.</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“Segregated Health Care Account” </w:t>
      </w:r>
      <w:r>
        <w:rPr>
          <w:rFonts w:ascii="Times New Roman" w:cs="Times New Roman" w:eastAsia="Times New Roman" w:hAnsi="Times New Roman"/>
          <w:sz w:val="22"/>
          <w:szCs w:val="22"/>
          <w:color w:val="auto"/>
        </w:rPr>
        <w:t>means, a Deposit Account of an Obligor in the name of such Obligor and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sole dominion and control of such Obligor maintained in accordance with the requirements of Section 8.17(c) hereof, the only funds on deposit in which constitute the direct proceeds of payments made by Federal Health Care Programs.</w:t>
      </w:r>
    </w:p>
    <w:p>
      <w:pPr>
        <w:spacing w:after="0" w:line="1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“Short-Form IP Security Agreements” </w:t>
      </w:r>
      <w:r>
        <w:rPr>
          <w:rFonts w:ascii="Times New Roman" w:cs="Times New Roman" w:eastAsia="Times New Roman" w:hAnsi="Times New Roman"/>
          <w:sz w:val="22"/>
          <w:szCs w:val="22"/>
          <w:color w:val="auto"/>
        </w:rPr>
        <w:t>means any short-form copyright, patent or trademark (as the case may be) security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agreements, in substantially the form of Exhibits H-1 and H-2, entered into by one or more Obligors in favor of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1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benefit of the Lenders, each in form and substance reasonably satisfactory to the Administrative Agent.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“SOFR Administrator’s Website” </w:t>
      </w:r>
      <w:r>
        <w:rPr>
          <w:rFonts w:ascii="Times New Roman" w:cs="Times New Roman" w:eastAsia="Times New Roman" w:hAnsi="Times New Roman"/>
          <w:sz w:val="22"/>
          <w:szCs w:val="22"/>
          <w:color w:val="auto"/>
        </w:rPr>
        <w:t>means the website of the Federal Reserve Bank of New York, currently 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http://www.newyorkfed.org, or any successor source for the secured overnight financing rate identified as such by the SOFR Administrator from time to time.</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“SOFR Determination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“SOFR Rate Day” </w:t>
      </w:r>
      <w:r>
        <w:rPr>
          <w:rFonts w:ascii="Times New Roman" w:cs="Times New Roman" w:eastAsia="Times New Roman" w:hAnsi="Times New Roman"/>
          <w:sz w:val="22"/>
          <w:szCs w:val="22"/>
          <w:color w:val="auto"/>
        </w:rPr>
        <w:t>has the meaning specified in the definition of</w:t>
      </w:r>
      <w:r>
        <w:rPr>
          <w:rFonts w:ascii="Times New Roman" w:cs="Times New Roman" w:eastAsia="Times New Roman" w:hAnsi="Times New Roman"/>
          <w:sz w:val="22"/>
          <w:szCs w:val="22"/>
          <w:i w:val="1"/>
          <w:iCs w:val="1"/>
          <w:color w:val="auto"/>
        </w:rPr>
        <w:t xml:space="preserve"> “Daily Simple SOFR”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“Solvent” </w:t>
      </w:r>
      <w:r>
        <w:rPr>
          <w:rFonts w:ascii="Times New Roman" w:cs="Times New Roman" w:eastAsia="Times New Roman" w:hAnsi="Times New Roman"/>
          <w:sz w:val="22"/>
          <w:szCs w:val="22"/>
          <w:color w:val="auto"/>
        </w:rPr>
        <w:t>means, with respect to any Person at any time, that (a) the present fair saleable value of the Property of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“Standard Body” </w:t>
      </w:r>
      <w:r>
        <w:rPr>
          <w:rFonts w:ascii="Times New Roman" w:cs="Times New Roman" w:eastAsia="Times New Roman" w:hAnsi="Times New Roman"/>
          <w:sz w:val="22"/>
          <w:szCs w:val="22"/>
          <w:color w:val="auto"/>
        </w:rPr>
        <w:t>means any of the organizations that create, sponsor or maintain safety, quality or other standards,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ISO, ANSI, CEN and SCC and the like.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“Stated Maturity Date” </w:t>
      </w:r>
      <w:r>
        <w:rPr>
          <w:rFonts w:ascii="Times New Roman" w:cs="Times New Roman" w:eastAsia="Times New Roman" w:hAnsi="Times New Roman"/>
          <w:sz w:val="22"/>
          <w:szCs w:val="22"/>
          <w:color w:val="auto"/>
        </w:rPr>
        <w:t>means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Closing Date;</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if any such date shall occur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day that is not a Business Day, then the Stated Maturity Date shall be the immediately succeeding Business Day.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with respect to any Person (the</w:t>
      </w:r>
      <w:r>
        <w:rPr>
          <w:rFonts w:ascii="Times New Roman" w:cs="Times New Roman" w:eastAsia="Times New Roman" w:hAnsi="Times New Roman"/>
          <w:sz w:val="22"/>
          <w:szCs w:val="22"/>
          <w:i w:val="1"/>
          <w:iCs w:val="1"/>
          <w:color w:val="auto"/>
        </w:rPr>
        <w:t xml:space="preserve"> “parent”</w:t>
      </w:r>
      <w:r>
        <w:rPr>
          <w:rFonts w:ascii="Times New Roman" w:cs="Times New Roman" w:eastAsia="Times New Roman" w:hAnsi="Times New Roman"/>
          <w:sz w:val="22"/>
          <w:szCs w:val="22"/>
          <w:color w:val="auto"/>
        </w:rPr>
        <w:t>) at any time of determination, any other Person of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the Borrower.</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Sweep Agreement</w:t>
      </w:r>
      <w:r>
        <w:rPr>
          <w:rFonts w:ascii="Times New Roman" w:cs="Times New Roman" w:eastAsia="Times New Roman" w:hAnsi="Times New Roman"/>
          <w:sz w:val="22"/>
          <w:szCs w:val="22"/>
          <w:color w:val="auto"/>
        </w:rPr>
        <w:t>” means an agreement, in form and substance reasonably satisfactory to the Administrative Agent, between an Obligor maintaining a Segregated Health Care Account, the Administrative Agent and applicable bank or other financial institution at which such Segregated Health Care Account is maintained, pursuant to which such bank or financial institution (a) agrees to automatically sweep amounts deposited in such Segregated Health Care Account to a Controlled Account satisfying the requirements set forth in Section 8.17(c) hereof, as and when funds clear and become available in accordance with such bank’s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2" w:right="339" w:bottom="1440" w:gutter="0" w:footer="0" w:header="0"/>
        </w:sectPr>
      </w:pPr>
    </w:p>
    <w:bookmarkStart w:id="161" w:name="page162"/>
    <w:bookmarkEnd w:id="161"/>
    <w:p>
      <w:pPr>
        <w:jc w:val="both"/>
        <w:spacing w:after="0" w:line="253" w:lineRule="auto"/>
        <w:rPr>
          <w:sz w:val="20"/>
          <w:szCs w:val="20"/>
          <w:color w:val="auto"/>
        </w:rPr>
      </w:pPr>
      <w:r>
        <w:rPr>
          <w:rFonts w:ascii="Times New Roman" w:cs="Times New Roman" w:eastAsia="Times New Roman" w:hAnsi="Times New Roman"/>
          <w:sz w:val="22"/>
          <w:szCs w:val="22"/>
          <w:color w:val="auto"/>
        </w:rPr>
        <w:t>institution’s standard practices and procedures, and (b) agrees not to change such standing sweep instructions until the date at least five (5) days (or such lesser period as the Administrative Agent may agree in its sole discretion or as may be required by applicable Law relating to the Federal Health Care Programs) after receipt of notice from such Obligor maintaining such Segregated Health Care Account by the Administrative Agent and such bank or financial institution of the termination of such standing sweep instruction.</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“Taxes” </w:t>
      </w:r>
      <w:r>
        <w:rPr>
          <w:rFonts w:ascii="Times New Roman" w:cs="Times New Roman" w:eastAsia="Times New Roman" w:hAnsi="Times New Roman"/>
          <w:sz w:val="22"/>
          <w:szCs w:val="22"/>
          <w:color w:val="auto"/>
        </w:rPr>
        <w:t>means all present or future taxes, levies, imposts, duties, deductions, withholdings (including backup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 assessments, fees or other charges imposed by any Governmental Authority, including any interest, additions to tax, penalties or other liabilities applicable thereto, whether disputed or not.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“Technical Information” </w:t>
      </w:r>
      <w:r>
        <w:rPr>
          <w:rFonts w:ascii="Times New Roman" w:cs="Times New Roman" w:eastAsia="Times New Roman" w:hAnsi="Times New Roman"/>
          <w:sz w:val="22"/>
          <w:szCs w:val="22"/>
          <w:color w:val="auto"/>
        </w:rPr>
        <w:t>means all trade secrets and other proprietary or confidential information, which may include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know-how, technical information, systems, methodologies, computer programs or information technology.</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“Term Loans” </w:t>
      </w:r>
      <w:r>
        <w:rPr>
          <w:rFonts w:ascii="Times New Roman" w:cs="Times New Roman" w:eastAsia="Times New Roman" w:hAnsi="Times New Roman"/>
          <w:sz w:val="22"/>
          <w:szCs w:val="22"/>
          <w:color w:val="auto"/>
        </w:rPr>
        <w:t>means the Tranche A Term Loan, the Tranche B Term Loan, the Tranche C Term Loan and the Tranche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w:t>
      </w:r>
    </w:p>
    <w:p>
      <w:pPr>
        <w:spacing w:after="0" w:line="13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Term SOFR</w:t>
      </w:r>
      <w:r>
        <w:rPr>
          <w:rFonts w:ascii="Times New Roman" w:cs="Times New Roman" w:eastAsia="Times New Roman" w:hAnsi="Times New Roman"/>
          <w:sz w:val="21"/>
          <w:szCs w:val="21"/>
          <w:color w:val="auto"/>
        </w:rPr>
        <w:t xml:space="preserve">” means the Term SOFR Reference Rate for a tenor comparable to the applicable Interest Period on the day (such day, the </w:t>
      </w:r>
      <w:r>
        <w:rPr>
          <w:rFonts w:ascii="Times New Roman" w:cs="Times New Roman" w:eastAsia="Times New Roman" w:hAnsi="Times New Roman"/>
          <w:sz w:val="21"/>
          <w:szCs w:val="21"/>
          <w:i w:val="1"/>
          <w:iCs w:val="1"/>
          <w:color w:val="auto"/>
        </w:rPr>
        <w:t>“Periodic Term SOFR Determination Day”</w:t>
      </w:r>
      <w:r>
        <w:rPr>
          <w:rFonts w:ascii="Times New Roman" w:cs="Times New Roman" w:eastAsia="Times New Roman" w:hAnsi="Times New Roman"/>
          <w:sz w:val="21"/>
          <w:szCs w:val="21"/>
          <w:color w:val="auto"/>
        </w:rPr>
        <w:t>) that is two (2) U.S. Government Securities Business Days prior to the first day of such Interest Period, as such rate is published by the Term SOFR Administrator</w:t>
      </w:r>
      <w:r>
        <w:rPr>
          <w:rFonts w:ascii="Times New Roman" w:cs="Times New Roman" w:eastAsia="Times New Roman" w:hAnsi="Times New Roman"/>
          <w:sz w:val="21"/>
          <w:szCs w:val="21"/>
          <w:i w:val="1"/>
          <w:iCs w:val="1"/>
          <w:color w:val="auto"/>
        </w:rPr>
        <w:t>; provided, however</w:t>
      </w:r>
      <w:r>
        <w:rPr>
          <w:rFonts w:ascii="Times New Roman" w:cs="Times New Roman" w:eastAsia="Times New Roman" w:hAnsi="Times New Roman"/>
          <w:sz w:val="21"/>
          <w:szCs w:val="21"/>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Term SOFR shall be rounded upwards to the next 1/100% (if necessary);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Term SOFR as so determined shall ever be less than the Floor, then Term SOFR shall be deemed to be the Floor.</w:t>
      </w:r>
    </w:p>
    <w:p>
      <w:pPr>
        <w:spacing w:after="0" w:line="16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the Administrative Agent in its reasonable discretion).</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2" w:right="339" w:bottom="1440" w:gutter="0" w:footer="0" w:header="0"/>
        </w:sectPr>
      </w:pPr>
    </w:p>
    <w:bookmarkStart w:id="162" w:name="page163"/>
    <w:bookmarkEnd w:id="162"/>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“Third-Party Payor Authorizations” </w:t>
      </w:r>
      <w:r>
        <w:rPr>
          <w:rFonts w:ascii="Times New Roman" w:cs="Times New Roman" w:eastAsia="Times New Roman" w:hAnsi="Times New Roman"/>
          <w:sz w:val="22"/>
          <w:szCs w:val="22"/>
          <w:color w:val="auto"/>
        </w:rPr>
        <w:t>means all participation agreements, provider or supplier agreements, enrollments,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accreditations, and billing numbers required to participate in and receive reimbursement from a Third-Party Payor Program.</w:t>
      </w:r>
    </w:p>
    <w:p>
      <w:pPr>
        <w:spacing w:after="0" w:line="14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“Third-Party Payor Program” </w:t>
      </w:r>
      <w:r>
        <w:rPr>
          <w:rFonts w:ascii="Times New Roman" w:cs="Times New Roman" w:eastAsia="Times New Roman" w:hAnsi="Times New Roman"/>
          <w:sz w:val="22"/>
          <w:szCs w:val="22"/>
          <w:color w:val="auto"/>
        </w:rPr>
        <w:t>means any Federal Health Care Program, or any other health care payment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reimbursement program in which an Obligor or Subsidiary participates, including programs sponsored by private insurers or managed care plans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“Title IV Plan” </w:t>
      </w:r>
      <w:r>
        <w:rPr>
          <w:rFonts w:ascii="Times New Roman" w:cs="Times New Roman" w:eastAsia="Times New Roman" w:hAnsi="Times New Roman"/>
          <w:sz w:val="21"/>
          <w:szCs w:val="21"/>
          <w:color w:val="auto"/>
        </w:rPr>
        <w:t>means an “employee benefit plan” as defined in Section 3(3) of ERISA (other than a Multiemployer Plan)</w:t>
      </w:r>
    </w:p>
    <w:p>
      <w:pPr>
        <w:spacing w:after="0" w:line="43" w:lineRule="exact"/>
        <w:rPr>
          <w:sz w:val="20"/>
          <w:szCs w:val="20"/>
          <w:color w:val="auto"/>
        </w:rPr>
      </w:pPr>
    </w:p>
    <w:p>
      <w:pPr>
        <w:jc w:val="both"/>
        <w:ind w:right="20" w:firstLine="8"/>
        <w:spacing w:after="0" w:line="252" w:lineRule="auto"/>
        <w:tabs>
          <w:tab w:leader="none" w:pos="31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maintained. sponsored or contributed to by any Obligor or ERISA Affiliate or with respect to which any Obligor or ERISA Affiliate has or may have liability and (b) that is or was subject to Section 412 of the Code, Section 302 of ERISA or Title IV of ERISA.</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“Trademarks” </w:t>
      </w:r>
      <w:r>
        <w:rPr>
          <w:rFonts w:ascii="Times New Roman" w:cs="Times New Roman" w:eastAsia="Times New Roman" w:hAnsi="Times New Roman"/>
          <w:sz w:val="22"/>
          <w:szCs w:val="22"/>
          <w:color w:val="auto"/>
        </w:rPr>
        <w:t>has the meaning set forth in the Security Documents.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 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Term Loan Commitment</w:t>
      </w:r>
      <w:r>
        <w:rPr>
          <w:rFonts w:ascii="Times New Roman" w:cs="Times New Roman" w:eastAsia="Times New Roman" w:hAnsi="Times New Roman"/>
          <w:sz w:val="22"/>
          <w:szCs w:val="22"/>
          <w:color w:val="auto"/>
        </w:rPr>
        <w:t>” means the commitment of a Lender to make or otherwise fund the Tranche A Term Loan and “</w:t>
      </w:r>
      <w:r>
        <w:rPr>
          <w:rFonts w:ascii="Times New Roman" w:cs="Times New Roman" w:eastAsia="Times New Roman" w:hAnsi="Times New Roman"/>
          <w:sz w:val="22"/>
          <w:szCs w:val="22"/>
          <w:i w:val="1"/>
          <w:iCs w:val="1"/>
          <w:color w:val="auto"/>
        </w:rPr>
        <w:t>Tranche A Term Loan Commitments</w:t>
      </w:r>
      <w:r>
        <w:rPr>
          <w:rFonts w:ascii="Times New Roman" w:cs="Times New Roman" w:eastAsia="Times New Roman" w:hAnsi="Times New Roman"/>
          <w:sz w:val="22"/>
          <w:szCs w:val="22"/>
          <w:color w:val="auto"/>
        </w:rPr>
        <w:t>” means such commitments of all Lenders in the aggregate. The amount of each Lender’s Tranche A Term Loan Commitment, if any, is set forth on Schedule 1. The aggregate amount of the Tranche A Term Loan Commitments as of the Closing Date is $25,000,000.</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w:t>
      </w:r>
      <w:r>
        <w:rPr>
          <w:rFonts w:ascii="Times New Roman" w:cs="Times New Roman" w:eastAsia="Times New Roman" w:hAnsi="Times New Roman"/>
          <w:sz w:val="22"/>
          <w:szCs w:val="22"/>
          <w:color w:val="auto"/>
        </w:rPr>
        <w:t>” 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w:t>
      </w:r>
    </w:p>
    <w:p>
      <w:pPr>
        <w:spacing w:after="0" w:line="168" w:lineRule="exact"/>
        <w:rPr>
          <w:sz w:val="20"/>
          <w:szCs w:val="20"/>
          <w:color w:val="auto"/>
        </w:rPr>
      </w:pPr>
    </w:p>
    <w:p>
      <w:pPr>
        <w:jc w:val="both"/>
        <w:ind w:right="20"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Borrowing Date</w:t>
      </w:r>
      <w:r>
        <w:rPr>
          <w:rFonts w:ascii="Times New Roman" w:cs="Times New Roman" w:eastAsia="Times New Roman" w:hAnsi="Times New Roman"/>
          <w:sz w:val="22"/>
          <w:szCs w:val="22"/>
          <w:color w:val="auto"/>
        </w:rPr>
        <w:t>” means with respect to the Tranche B Term Loan, the Business Day on which all conditions set forth in Section 6.02 have been satisfied or waived by the Lenders and the Tranche B Term Loan is made hereunder.</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w:t>
      </w:r>
      <w:r>
        <w:rPr>
          <w:rFonts w:ascii="Times New Roman" w:cs="Times New Roman" w:eastAsia="Times New Roman" w:hAnsi="Times New Roman"/>
          <w:sz w:val="22"/>
          <w:szCs w:val="22"/>
          <w:color w:val="auto"/>
        </w:rPr>
        <w:t>” means the commitment of a Lender to make or otherwise fund the Tranche B Term Loan and “</w:t>
      </w:r>
      <w:r>
        <w:rPr>
          <w:rFonts w:ascii="Times New Roman" w:cs="Times New Roman" w:eastAsia="Times New Roman" w:hAnsi="Times New Roman"/>
          <w:sz w:val="22"/>
          <w:szCs w:val="22"/>
          <w:i w:val="1"/>
          <w:iCs w:val="1"/>
          <w:color w:val="auto"/>
        </w:rPr>
        <w:t>Tranche B Term Loan Commitments</w:t>
      </w:r>
      <w:r>
        <w:rPr>
          <w:rFonts w:ascii="Times New Roman" w:cs="Times New Roman" w:eastAsia="Times New Roman" w:hAnsi="Times New Roman"/>
          <w:sz w:val="22"/>
          <w:szCs w:val="22"/>
          <w:color w:val="auto"/>
        </w:rPr>
        <w:t>” means such commitments of all Lenders in the aggregate. The amount of each Lender’s Tranche B Term Loan Commitment, if any, is set forth on Schedule 1. The aggregate amount of the Tranche B Term Loan Commitments as of the Closing Date is $10,000,000.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means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18" w:right="339" w:bottom="1440" w:gutter="0" w:footer="0" w:header="0"/>
        </w:sectPr>
      </w:pPr>
    </w:p>
    <w:bookmarkStart w:id="163" w:name="page164"/>
    <w:bookmarkEnd w:id="163"/>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Term Loan</w:t>
      </w:r>
      <w:r>
        <w:rPr>
          <w:rFonts w:ascii="Times New Roman" w:cs="Times New Roman" w:eastAsia="Times New Roman" w:hAnsi="Times New Roman"/>
          <w:sz w:val="22"/>
          <w:szCs w:val="22"/>
          <w:color w:val="auto"/>
        </w:rPr>
        <w:t>” means the term loan advanced by a Lender pursuant to Section 2.01(c). On the First Amendment Effective Date, no Tranche C Term Loans are outstanding under this Agreement.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Term Loan Commitment</w:t>
      </w:r>
      <w:r>
        <w:rPr>
          <w:rFonts w:ascii="Times New Roman" w:cs="Times New Roman" w:eastAsia="Times New Roman" w:hAnsi="Times New Roman"/>
          <w:sz w:val="22"/>
          <w:szCs w:val="22"/>
          <w:color w:val="auto"/>
        </w:rPr>
        <w:t>” means the commitment of a Lender to make or otherwise fund the Tranche C Term Loan and “</w:t>
      </w:r>
      <w:r>
        <w:rPr>
          <w:rFonts w:ascii="Times New Roman" w:cs="Times New Roman" w:eastAsia="Times New Roman" w:hAnsi="Times New Roman"/>
          <w:sz w:val="22"/>
          <w:szCs w:val="22"/>
          <w:i w:val="1"/>
          <w:iCs w:val="1"/>
          <w:color w:val="auto"/>
        </w:rPr>
        <w:t>Tranche C Term Loan Commitments</w:t>
      </w:r>
      <w:r>
        <w:rPr>
          <w:rFonts w:ascii="Times New Roman" w:cs="Times New Roman" w:eastAsia="Times New Roman" w:hAnsi="Times New Roman"/>
          <w:sz w:val="22"/>
          <w:szCs w:val="22"/>
          <w:color w:val="auto"/>
        </w:rPr>
        <w:t>” means such commitments of all Lenders in the aggregate. The amount of each Lender’s Tranche C Term Loan Commitment, if any, is set forth on Schedule 1. The aggregate amount of the Tranche C Term Loan Commitments as of the First Amendment Effective Date is $0.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Term Loan Commitment Termination Date</w:t>
      </w:r>
      <w:r>
        <w:rPr>
          <w:rFonts w:ascii="Times New Roman" w:cs="Times New Roman" w:eastAsia="Times New Roman" w:hAnsi="Times New Roman"/>
          <w:sz w:val="22"/>
          <w:szCs w:val="22"/>
          <w:color w:val="auto"/>
        </w:rPr>
        <w:t>” means the First Amendment Effective Date.</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D Term Loan</w:t>
      </w:r>
      <w:r>
        <w:rPr>
          <w:rFonts w:ascii="Times New Roman" w:cs="Times New Roman" w:eastAsia="Times New Roman" w:hAnsi="Times New Roman"/>
          <w:sz w:val="22"/>
          <w:szCs w:val="22"/>
          <w:color w:val="auto"/>
        </w:rPr>
        <w:t>” means the term loan advanced by a Lender pursuant to Section 2.01(d). For purposes of clarification, any calculation of the aggregate outstanding principal amount of the Tranche D Term Loan on any date of determination shall mean the aggregate principal amount of the Tranche D Term Loan made pursuant to Section 2.01(d) that has not yet been repaid as of such date.</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D Term Loan Borrowing Date</w:t>
      </w:r>
      <w:r>
        <w:rPr>
          <w:rFonts w:ascii="Times New Roman" w:cs="Times New Roman" w:eastAsia="Times New Roman" w:hAnsi="Times New Roman"/>
          <w:sz w:val="22"/>
          <w:szCs w:val="22"/>
          <w:color w:val="auto"/>
        </w:rPr>
        <w:t>” means with respect to the Tranche D Term Loan, the Business Day on which Borrower requests the Tranche D Term Loan be made and all conditions set forth in Section 6.04 have been satisfied or waived by the Lenders and the Tranche D Term Loan is made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“Tranche D Term Loan Expiration Date” </w:t>
      </w:r>
      <w:r>
        <w:rPr>
          <w:rFonts w:ascii="Times New Roman" w:cs="Times New Roman" w:eastAsia="Times New Roman" w:hAnsi="Times New Roman"/>
          <w:sz w:val="22"/>
          <w:szCs w:val="22"/>
          <w:color w:val="auto"/>
        </w:rPr>
        <w:t>means March 31, 2027.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“Tranche D Term Loan Request” </w:t>
      </w:r>
      <w:r>
        <w:rPr>
          <w:rFonts w:ascii="Times New Roman" w:cs="Times New Roman" w:eastAsia="Times New Roman" w:hAnsi="Times New Roman"/>
          <w:sz w:val="21"/>
          <w:szCs w:val="21"/>
          <w:color w:val="auto"/>
        </w:rPr>
        <w:t>means a notice requesting the Tranche D Term Loan substantially in the form of Exhibit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“Tranche D Term Loan Maximum Amount” </w:t>
      </w:r>
      <w:r>
        <w:rPr>
          <w:rFonts w:ascii="Times New Roman" w:cs="Times New Roman" w:eastAsia="Times New Roman" w:hAnsi="Times New Roman"/>
          <w:sz w:val="22"/>
          <w:szCs w:val="22"/>
          <w:color w:val="auto"/>
        </w:rPr>
        <w:t>means $30,000,000.</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“Transactions” </w:t>
      </w:r>
      <w:r>
        <w:rPr>
          <w:rFonts w:ascii="Times New Roman" w:cs="Times New Roman" w:eastAsia="Times New Roman" w:hAnsi="Times New Roman"/>
          <w:sz w:val="22"/>
          <w:szCs w:val="22"/>
          <w:color w:val="auto"/>
        </w:rPr>
        <w:t>means the execution, delivery and performance by each Obligor of this Agreement and the other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to which such Obligor is a party and the other transactions contemplated hereby and thereby, including disbursement and application of the proceeds of the Term Loans.</w:t>
      </w:r>
    </w:p>
    <w:p>
      <w:pPr>
        <w:spacing w:after="0" w:line="16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“UK Financial Institution” </w:t>
      </w:r>
      <w:r>
        <w:rPr>
          <w:rFonts w:ascii="Times New Roman" w:cs="Times New Roman" w:eastAsia="Times New Roman" w:hAnsi="Times New Roman"/>
          <w:sz w:val="22"/>
          <w:szCs w:val="22"/>
          <w:color w:val="auto"/>
        </w:rPr>
        <w:t>means any BRRD Undertaking (as such term is defined under the PRA Rulebook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“UK Resolution Authority” </w:t>
      </w:r>
      <w:r>
        <w:rPr>
          <w:rFonts w:ascii="Times New Roman" w:cs="Times New Roman" w:eastAsia="Times New Roman" w:hAnsi="Times New Roman"/>
          <w:sz w:val="22"/>
          <w:szCs w:val="22"/>
          <w:color w:val="auto"/>
        </w:rPr>
        <w:t>means the Bank of England or any other public administrative authority having responsibility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18" w:right="339" w:bottom="1440" w:gutter="0" w:footer="0" w:header="0"/>
        </w:sectPr>
      </w:pPr>
    </w:p>
    <w:bookmarkStart w:id="164" w:name="page165"/>
    <w:bookmarkEnd w:id="164"/>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i w:val="1"/>
          <w:iCs w:val="1"/>
          <w:color w:val="auto"/>
        </w:rPr>
        <w:t xml:space="preserve">“Unrestricted Cash” </w:t>
      </w:r>
      <w:r>
        <w:rPr>
          <w:rFonts w:ascii="Times New Roman" w:cs="Times New Roman" w:eastAsia="Times New Roman" w:hAnsi="Times New Roman"/>
          <w:sz w:val="21"/>
          <w:szCs w:val="21"/>
          <w:color w:val="auto"/>
        </w:rPr>
        <w:t>means the balance of unencumbered cash (other than cash encumbered by the Liens granted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on behalf of the Lenders pursuant to the Loan Documents) and Permitted Cash Equivalent Investments (which for greater certainty shall not include any undrawn credit lines), in each case, to the extent held in a Controlled Account.</w:t>
      </w:r>
    </w:p>
    <w:p>
      <w:pPr>
        <w:spacing w:after="0" w:line="14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“U.S. Government Securities Business Day” </w:t>
      </w:r>
      <w:r>
        <w:rPr>
          <w:rFonts w:ascii="Times New Roman" w:cs="Times New Roman" w:eastAsia="Times New Roman" w:hAnsi="Times New Roman"/>
          <w:sz w:val="22"/>
          <w:szCs w:val="22"/>
          <w:color w:val="auto"/>
        </w:rPr>
        <w:t>means any day except for (a) a Saturday, (b) a Sunday or (c) a day on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“U.S. Person” </w:t>
      </w:r>
      <w:r>
        <w:rPr>
          <w:rFonts w:ascii="Times New Roman" w:cs="Times New Roman" w:eastAsia="Times New Roman" w:hAnsi="Times New Roman"/>
          <w:sz w:val="22"/>
          <w:szCs w:val="22"/>
          <w:color w:val="auto"/>
        </w:rPr>
        <w:t>means a “United States person” within the meaning of Section 7701(a)(30)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“U.S. Tax Compliance Certificate” </w:t>
      </w:r>
      <w:r>
        <w:rPr>
          <w:rFonts w:ascii="Times New Roman" w:cs="Times New Roman" w:eastAsia="Times New Roman" w:hAnsi="Times New Roman"/>
          <w:sz w:val="22"/>
          <w:szCs w:val="22"/>
          <w:color w:val="auto"/>
        </w:rPr>
        <w:t>has the meaning set forth in Section 5.03(f)(ii)(B)(3).</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“Warrant Certificate” </w:t>
      </w:r>
      <w:r>
        <w:rPr>
          <w:rFonts w:ascii="Times New Roman" w:cs="Times New Roman" w:eastAsia="Times New Roman" w:hAnsi="Times New Roman"/>
          <w:sz w:val="22"/>
          <w:szCs w:val="22"/>
          <w:color w:val="auto"/>
        </w:rPr>
        <w:t>means the warrant to be delivered to the Administrative Agent pursuant to Section 6.01(e)(xii)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among other things, grants the holder thereof the right to purchase the number of common shares of the Borrower as indicated on the warrant shares table on Schedule 1, as the Warrant Certificate may be amended, replaced or otherwise modified pursuant to the terms thereof.</w:t>
      </w:r>
    </w:p>
    <w:p>
      <w:pPr>
        <w:spacing w:after="0" w:line="18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“Warrant Obligations” </w:t>
      </w:r>
      <w:r>
        <w:rPr>
          <w:rFonts w:ascii="Times New Roman" w:cs="Times New Roman" w:eastAsia="Times New Roman" w:hAnsi="Times New Roman"/>
          <w:sz w:val="22"/>
          <w:szCs w:val="22"/>
          <w:color w:val="auto"/>
        </w:rPr>
        <w:t>means, with respect to the Borrower, all of its Obligations arising out of, under or in connection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any Warrant Certificate.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“Write-Down and Conversion Powers” </w:t>
      </w:r>
      <w:r>
        <w:rPr>
          <w:rFonts w:ascii="Times New Roman" w:cs="Times New Roman" w:eastAsia="Times New Roman" w:hAnsi="Times New Roman"/>
          <w:sz w:val="22"/>
          <w:szCs w:val="22"/>
          <w:color w:val="auto"/>
        </w:rPr>
        <w:t>means, (a) with respect to any EEA Resolution Authority, the write-down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5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i w:val="1"/>
          <w:iCs w:val="1"/>
          <w:color w:val="auto"/>
        </w:rPr>
        <w:t>Section 1.02. Accounting Terms and Principles</w:t>
      </w:r>
      <w:r>
        <w:rPr>
          <w:rFonts w:ascii="Times New Roman" w:cs="Times New Roman" w:eastAsia="Times New Roman" w:hAnsi="Times New Roman"/>
          <w:sz w:val="22"/>
          <w:szCs w:val="22"/>
          <w:color w:val="auto"/>
        </w:rPr>
        <w:t>. All accounting determinations required to be made pursuant hereto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unless expressly otherwise provided herein, be made substantially in accordance with GAAP. If, after the date hereof, any change occurs in GAAP or in the application thereof (an </w:t>
      </w:r>
      <w:r>
        <w:rPr>
          <w:rFonts w:ascii="Times New Roman" w:cs="Times New Roman" w:eastAsia="Times New Roman" w:hAnsi="Times New Roman"/>
          <w:sz w:val="22"/>
          <w:szCs w:val="22"/>
          <w:i w:val="1"/>
          <w:iCs w:val="1"/>
          <w:color w:val="auto"/>
        </w:rPr>
        <w:t>“Accounting Change”</w:t>
      </w:r>
      <w:r>
        <w:rPr>
          <w:rFonts w:ascii="Times New Roman" w:cs="Times New Roman" w:eastAsia="Times New Roman" w:hAnsi="Times New Roman"/>
          <w:sz w:val="22"/>
          <w:szCs w:val="22"/>
          <w:color w:val="auto"/>
        </w:rPr>
        <w:t>) and such change would cause any amount required to be determined for the purposes of the covenants to be maintained or calculated pursuant to Article 8 or 9 to be materially different than the amount that would be determined prior to such change, then the Borrower will provide a detailed notice of such change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18" w:right="339" w:bottom="1440" w:gutter="0" w:footer="0" w:header="0"/>
        </w:sectPr>
      </w:pPr>
    </w:p>
    <w:bookmarkStart w:id="165" w:name="page166"/>
    <w:bookmarkEnd w:id="165"/>
    <w:p>
      <w:pPr>
        <w:jc w:val="both"/>
        <w:spacing w:after="0" w:line="221" w:lineRule="auto"/>
        <w:rPr>
          <w:sz w:val="20"/>
          <w:szCs w:val="20"/>
          <w:color w:val="auto"/>
        </w:rPr>
      </w:pPr>
      <w:r>
        <w:rPr>
          <w:rFonts w:ascii="Times New Roman" w:cs="Times New Roman" w:eastAsia="Times New Roman" w:hAnsi="Times New Roman"/>
          <w:sz w:val="21"/>
          <w:szCs w:val="21"/>
          <w:i w:val="1"/>
          <w:iCs w:val="1"/>
          <w:color w:val="auto"/>
        </w:rPr>
        <w:t>“Accounting Change Notice”</w:t>
      </w:r>
      <w:r>
        <w:rPr>
          <w:rFonts w:ascii="Times New Roman" w:cs="Times New Roman" w:eastAsia="Times New Roman" w:hAnsi="Times New Roman"/>
          <w:sz w:val="21"/>
          <w:szCs w:val="21"/>
          <w:color w:val="auto"/>
        </w:rPr>
        <w:t>) to the Administrative Agent in conjunction with the next required delivery of financial statements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to Section 8.01. If the Borrower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the Borrower agree that they will negotiate in good faith amendments to the provisions of this Agreement that are directly affected by such Accounting Change with the intent of having the respective positions of the Administrative Agent and the Borrower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the Borrower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All components of financial calculations made to determine compliance with this Agreement shall be adjusted to include or exclude, as the case may be, without duplication, such components of such calculations attributable to any Acquisition, other Investment or disposition of assets consummated after the first day of the applicable period of determination and prior to the end of such period, as determined in good faith by the Borrower based on assumptions expressed therein and that were reasonable based on the information available to the Borrower at the time of preparation of the Compliance Certificate setting forth such calculations.</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w:t>
      </w:r>
    </w:p>
    <w:p>
      <w:pPr>
        <w:spacing w:after="0" w:line="13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i w:val="1"/>
          <w:iCs w:val="1"/>
          <w:color w:val="auto"/>
        </w:rPr>
        <w:t>Section 1.03. Interpretation</w:t>
      </w:r>
      <w:r>
        <w:rPr>
          <w:rFonts w:ascii="Times New Roman" w:cs="Times New Roman" w:eastAsia="Times New Roman" w:hAnsi="Times New Roman"/>
          <w:sz w:val="21"/>
          <w:szCs w:val="21"/>
          <w:color w:val="auto"/>
        </w:rPr>
        <w:t>. For all purposes of this Agreement, except as otherwise expressly provided herein or unless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context otherwise requires, (a) the terms defined in this Agreement include the plural as well as the singular and vice versa;</w:t>
      </w:r>
    </w:p>
    <w:p>
      <w:pPr>
        <w:spacing w:after="0" w:line="1" w:lineRule="exact"/>
        <w:rPr>
          <w:sz w:val="20"/>
          <w:szCs w:val="20"/>
          <w:color w:val="auto"/>
        </w:rPr>
      </w:pPr>
    </w:p>
    <w:p>
      <w:pPr>
        <w:jc w:val="both"/>
        <w:ind w:firstLine="8"/>
        <w:spacing w:after="0" w:line="207" w:lineRule="auto"/>
        <w:tabs>
          <w:tab w:leader="none" w:pos="3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amendments and restatements, extensions, supplements and other modifications thereto permitted by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1" w:right="339" w:bottom="1440" w:gutter="0" w:footer="0" w:header="0"/>
        </w:sectPr>
      </w:pPr>
    </w:p>
    <w:bookmarkStart w:id="166" w:name="page167"/>
    <w:bookmarkEnd w:id="166"/>
    <w:p>
      <w:pPr>
        <w:jc w:val="both"/>
        <w:ind w:firstLine="648"/>
        <w:spacing w:after="0" w:line="228" w:lineRule="auto"/>
        <w:rPr>
          <w:sz w:val="20"/>
          <w:szCs w:val="20"/>
          <w:color w:val="auto"/>
        </w:rPr>
      </w:pPr>
      <w:r>
        <w:rPr>
          <w:rFonts w:ascii="Times New Roman" w:cs="Times New Roman" w:eastAsia="Times New Roman" w:hAnsi="Times New Roman"/>
          <w:sz w:val="21"/>
          <w:szCs w:val="21"/>
          <w:i w:val="1"/>
          <w:iCs w:val="1"/>
          <w:color w:val="auto"/>
        </w:rPr>
        <w:t>Section 1.04. Divisions</w:t>
      </w:r>
      <w:r>
        <w:rPr>
          <w:rFonts w:ascii="Times New Roman" w:cs="Times New Roman" w:eastAsia="Times New Roman" w:hAnsi="Times New Roman"/>
          <w:sz w:val="21"/>
          <w:szCs w:val="21"/>
          <w:color w:val="auto"/>
        </w:rPr>
        <w:t>. For all purposes under the Loan Documents, in connection with any division or plan of division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9"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i w:val="1"/>
          <w:iCs w:val="1"/>
          <w:color w:val="auto"/>
        </w:rPr>
        <w:t>Section 1.05. Interest Rates</w:t>
      </w:r>
      <w:r>
        <w:rPr>
          <w:rFonts w:ascii="Times New Roman" w:cs="Times New Roman" w:eastAsia="Times New Roman" w:hAnsi="Times New Roman"/>
          <w:sz w:val="22"/>
          <w:szCs w:val="22"/>
          <w:color w:val="auto"/>
        </w:rPr>
        <w:t>. The Administrative Agent does not warrant or accept responsibility for, and shall not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4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7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The Commitments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2.01.  Term Loans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940" w:hanging="636"/>
        <w:spacing w:after="0"/>
        <w:tabs>
          <w:tab w:leader="none" w:pos="19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A Term Loan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8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each Lender, severally and not jointly, agrees to provide its share of the Tranche A Term Loan to the Borrower on the Closing Date in Dollars in a principal amount equal to such Lender’s Tranche A Term Loan Commitment. No Lender shall have an obligation to make a Tranche A Term Loan in excess of such Lender’s Tranche A Term Loan Commitment.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6.01), the Borrower shall deliver to the Administrative Agent a fully executed Borrowing Notice no later than 5 p.m. (New York City time) at least one (1) Business Day in advance of the Closing Date.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A Term Loan Commitment which shall be on the Closing Date. Subject to Sections 3.01 and 3.03, all amounts owed hereunder with respect to the Tranche A Term Loan (other than unasserted contingent liabilities) shall be paid in full no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1" w:right="339" w:bottom="1440" w:gutter="0" w:footer="0" w:header="0"/>
        </w:sectPr>
      </w:pPr>
    </w:p>
    <w:bookmarkStart w:id="167" w:name="page168"/>
    <w:bookmarkEnd w:id="167"/>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than the Maturity Date. Each Lender’s Tranche A Term Loan Commitment shall terminate immediately and without further action on the Closing Date after giving effect to the funding of such Lender’s Tranche A Term Loan Commitment on such date.</w:t>
      </w:r>
    </w:p>
    <w:p>
      <w:pPr>
        <w:spacing w:after="0" w:line="148" w:lineRule="exact"/>
        <w:rPr>
          <w:sz w:val="20"/>
          <w:szCs w:val="20"/>
          <w:color w:val="auto"/>
        </w:rPr>
      </w:pPr>
    </w:p>
    <w:p>
      <w:pPr>
        <w:ind w:left="820" w:hanging="636"/>
        <w:spacing w:after="0"/>
        <w:tabs>
          <w:tab w:leader="none" w:pos="8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17" w:lineRule="auto"/>
        <w:tabs>
          <w:tab w:leader="none" w:pos="146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each Lender, severally and not jointly, agrees prior to the Tranche B Term Loan Commitment Termination Date, to provide its share of the Tranche B Term Loan to the Borrower on the Tranche B Term Loan Borrowing Date in Dollars in a principal amount equal to such Lender’s Tranche B Term Loan Commitment. No Lender shall have an obligation to make the Tranche B Term Loan in excess of such Lender’s Tranche B Term Loan Commitment.</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(including Section 6.02), the Borrower shall deliver to the Administrative Agent a fully executed Borrowing Notice no later than 5 p.m. (New York City time) at least three (3) Business Days in advance of the proposed Tranche B Term Loan Borrowing Date.</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3" w:lineRule="auto"/>
        <w:tabs>
          <w:tab w:leader="none" w:pos="147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B Term Loan Commitment which shall be on the Tranche B Term Loan Borrowing Date. Subject to Sections 3.01 and 3.03, all amounts owed hereunder with respect to the Tranche B Term Loan (other than unasserted contingent liabilities)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7" w:lineRule="auto"/>
        <w:tabs>
          <w:tab w:leader="none" w:pos="83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Tranche C Term Loan. </w:t>
      </w:r>
      <w:r>
        <w:rPr>
          <w:rFonts w:ascii="Times New Roman" w:cs="Times New Roman" w:eastAsia="Times New Roman" w:hAnsi="Times New Roman"/>
          <w:sz w:val="22"/>
          <w:szCs w:val="22"/>
          <w:color w:val="auto"/>
        </w:rPr>
        <w:t>The Tranche C Term Loan Commitment Termination Date has occurred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Tranche C Term Loan Commitment was reduced to $0. No Tranche C Term Loans are outstanding or available under this Agreement.</w:t>
      </w:r>
    </w:p>
    <w:p>
      <w:pPr>
        <w:spacing w:after="0" w:line="146"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D Term Loan</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6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Tranche D Term Loan Expiration Date, the Borrower may, by delivery of a Tranche D Term Loan Request from Borrower to the Administrative Agent, request to borrow the Tranche D Term Loan from the Lenders in an amount not to exceed the Tranche D Term Loan Maximum Amount. Within five (5) Business Days following the Administrative Agent’s receipt of a Tranche D Term Loan Request, the Administrative Agent shall provide written notice to Borrower of whether or not the Lenders, (x) decline to provide the requested Tranche D Term Loan or (y) elect to provide the requested Tranche D Term Loan. If Administrative Agent does not respond within five (5) Business Days of its receipt of a Tranche D Term Loan Request, the Lenders shall be deemed to have declined to provide such Tranche D Term Loan.</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may make one borrowing under the Tranche D Term Loan Amount, which shall be on the Tranche D Term Loan Borrowing Date, prior to the Tranche D Term Loan Expiration Date. Subject to Sections 3.01 and 3.03, all amounts owed hereunder with respect to the Tranche D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0120"/>
          </w:cols>
          <w:pgMar w:left="1440" w:top="1395" w:right="339" w:bottom="1440" w:gutter="0" w:footer="0" w:header="0"/>
        </w:sectPr>
      </w:pPr>
    </w:p>
    <w:bookmarkStart w:id="168" w:name="page169"/>
    <w:bookmarkEnd w:id="168"/>
    <w:p>
      <w:pPr>
        <w:ind w:left="1300"/>
        <w:spacing w:after="0"/>
        <w:rPr>
          <w:sz w:val="20"/>
          <w:szCs w:val="20"/>
          <w:color w:val="auto"/>
        </w:rPr>
      </w:pPr>
      <w:r>
        <w:rPr>
          <w:rFonts w:ascii="Times New Roman" w:cs="Times New Roman" w:eastAsia="Times New Roman" w:hAnsi="Times New Roman"/>
          <w:sz w:val="22"/>
          <w:szCs w:val="22"/>
          <w:color w:val="auto"/>
        </w:rPr>
        <w:t>(other than unasserted contingent liabilities) shall be paid in full no later than the Maturity Date.</w:t>
      </w:r>
    </w:p>
    <w:p>
      <w:pPr>
        <w:spacing w:after="0" w:line="179" w:lineRule="exact"/>
        <w:rPr>
          <w:sz w:val="20"/>
          <w:szCs w:val="20"/>
          <w:color w:val="auto"/>
        </w:rPr>
      </w:pPr>
    </w:p>
    <w:p>
      <w:pPr>
        <w:ind w:left="660" w:firstLine="644"/>
        <w:spacing w:after="0" w:line="236" w:lineRule="auto"/>
        <w:tabs>
          <w:tab w:leader="none" w:pos="195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amount of the Term Loans borrowed under Sections 2.01(a), (b), (c) or (d) hereof and subsequently repaid or prepaid may not be reborrowed.</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i w:val="1"/>
          <w:iCs w:val="1"/>
          <w:color w:val="auto"/>
        </w:rPr>
        <w:t>Section 2.02. Proportionate Shares</w:t>
      </w:r>
      <w:r>
        <w:rPr>
          <w:rFonts w:ascii="Times New Roman" w:cs="Times New Roman" w:eastAsia="Times New Roman" w:hAnsi="Times New Roman"/>
          <w:sz w:val="22"/>
          <w:szCs w:val="22"/>
          <w:color w:val="auto"/>
        </w:rPr>
        <w:t>. All Term Loans shall be made, and all participations purchased, by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Section 2.03. Fees</w:t>
      </w:r>
      <w:r>
        <w:rPr>
          <w:rFonts w:ascii="Times New Roman" w:cs="Times New Roman" w:eastAsia="Times New Roman" w:hAnsi="Times New Roman"/>
          <w:sz w:val="22"/>
          <w:szCs w:val="22"/>
          <w:color w:val="auto"/>
        </w:rPr>
        <w:t>. On the Closing Date, the Borrower shall pay to the Administrative Agent, in accordance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the Letter Agreement and for distribution to each Lender in accordance with its Proportionate Share of the Term Loans, the Closing Fee. Such payments shall be in addition to such fees, costs and expenses due and payable pursuant to Section 13.03.</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Section 2.04. Notes</w:t>
      </w:r>
      <w:r>
        <w:rPr>
          <w:rFonts w:ascii="Times New Roman" w:cs="Times New Roman" w:eastAsia="Times New Roman" w:hAnsi="Times New Roman"/>
          <w:sz w:val="22"/>
          <w:szCs w:val="22"/>
          <w:color w:val="auto"/>
        </w:rPr>
        <w:t>. Upon the written request of any Lender, the Borrower shall prepare, execute and deliver 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one or more Notes evidencing the portion of the Term Loans payable to such Lender (or if requested by it, to it and its registered assigns).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Section 2.05. Use of Proceeds</w:t>
      </w:r>
      <w:r>
        <w:rPr>
          <w:rFonts w:ascii="Times New Roman" w:cs="Times New Roman" w:eastAsia="Times New Roman" w:hAnsi="Times New Roman"/>
          <w:sz w:val="22"/>
          <w:szCs w:val="22"/>
          <w:color w:val="auto"/>
        </w:rPr>
        <w:t>. The Borrower shall use the proceeds of the Term Loans (a) for general working capital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purposes and corporate purposes permitted hereunder, including certain business development activities, (b) to refinance certain existing Indebtedness on the Closing Date (including Indebtedness outstanding pursuant to the Existing Credit Facility) and (c) to pay fees, costs and expenses incurred in connection with the Transactions.</w:t>
      </w:r>
    </w:p>
    <w:p>
      <w:pPr>
        <w:spacing w:after="0" w:line="1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Payments of Principal and Interest</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Section 3.01. Repayment</w:t>
      </w:r>
      <w:r>
        <w:rPr>
          <w:rFonts w:ascii="Times New Roman" w:cs="Times New Roman" w:eastAsia="Times New Roman" w:hAnsi="Times New Roman"/>
          <w:sz w:val="22"/>
          <w:szCs w:val="22"/>
          <w:color w:val="auto"/>
        </w:rPr>
        <w:t>. There will be no scheduled repayments of principal on the Term Loans prior to the Maturity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Date. The entire outstanding principal amount of the Term Loans, together with all accrued and unpaid interest thereon, will be due and payable on the Maturity Date.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3.02.  Interest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7" w:lineRule="auto"/>
        <w:tabs>
          <w:tab w:leader="none" w:pos="195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Interest Generally. </w:t>
      </w:r>
      <w:r>
        <w:rPr>
          <w:rFonts w:ascii="Times New Roman" w:cs="Times New Roman" w:eastAsia="Times New Roman" w:hAnsi="Times New Roman"/>
          <w:sz w:val="22"/>
          <w:szCs w:val="22"/>
          <w:color w:val="auto"/>
        </w:rPr>
        <w:t>The Borrower agrees to pay to the Lenders interest in cash on the outstanding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the Term Loans for each Interest Period at a rate per annum equal to the sum of (i) Term SOFR plus (ii) the Applicable Margin.</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8" w:lineRule="auto"/>
        <w:tabs>
          <w:tab w:leader="none" w:pos="1951"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 SOFR Conforming Changes. </w:t>
      </w:r>
      <w:r>
        <w:rPr>
          <w:rFonts w:ascii="Times New Roman" w:cs="Times New Roman" w:eastAsia="Times New Roman" w:hAnsi="Times New Roman"/>
          <w:sz w:val="21"/>
          <w:szCs w:val="21"/>
          <w:color w:val="auto"/>
        </w:rPr>
        <w:t>In connection with the use or administration of Term SOFR and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consultation with the Borrower,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of the effectiveness of any Conforming Changes in connection with the use or administration of Term SOFR.</w:t>
      </w:r>
    </w:p>
    <w:p>
      <w:pPr>
        <w:spacing w:after="0" w:line="175" w:lineRule="exact"/>
        <w:rPr>
          <w:sz w:val="20"/>
          <w:szCs w:val="20"/>
          <w:color w:val="auto"/>
        </w:rPr>
      </w:pPr>
    </w:p>
    <w:p>
      <w:pPr>
        <w:ind w:left="1280" w:hanging="636"/>
        <w:spacing w:after="0"/>
        <w:tabs>
          <w:tab w:leader="none" w:pos="12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Benchmark Transition Event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19" w:lineRule="auto"/>
        <w:tabs>
          <w:tab w:leader="none" w:pos="192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Benchmark Replacement</w:t>
      </w:r>
      <w:r>
        <w:rPr>
          <w:rFonts w:ascii="Times New Roman" w:cs="Times New Roman" w:eastAsia="Times New Roman" w:hAnsi="Times New Roman"/>
          <w:sz w:val="21"/>
          <w:szCs w:val="21"/>
          <w:color w:val="auto"/>
        </w:rPr>
        <w:t>. Notwithstanding anything to the contrary herein or in any other Loan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any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w:t>
      </w:r>
    </w:p>
    <w:p>
      <w:pPr>
        <w:spacing w:after="0" w:line="155" w:lineRule="exact"/>
        <w:rPr>
          <w:rFonts w:ascii="Times New Roman" w:cs="Times New Roman" w:eastAsia="Times New Roman" w:hAnsi="Times New Roman"/>
          <w:sz w:val="21"/>
          <w:szCs w:val="21"/>
          <w:color w:val="auto"/>
        </w:rPr>
      </w:pPr>
    </w:p>
    <w:p>
      <w:pPr>
        <w:jc w:val="both"/>
        <w:ind w:left="640" w:firstLine="652"/>
        <w:spacing w:after="0" w:line="232" w:lineRule="auto"/>
        <w:tabs>
          <w:tab w:leader="none" w:pos="193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Conforming Changes</w:t>
      </w:r>
      <w:r>
        <w:rPr>
          <w:rFonts w:ascii="Times New Roman" w:cs="Times New Roman" w:eastAsia="Times New Roman" w:hAnsi="Times New Roman"/>
          <w:sz w:val="21"/>
          <w:szCs w:val="21"/>
          <w:color w:val="auto"/>
        </w:rPr>
        <w:t>. In connection with the implementation of a Benchmark Replacement,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w:t>
      </w:r>
    </w:p>
    <w:p>
      <w:pPr>
        <w:spacing w:after="0" w:line="146" w:lineRule="exact"/>
        <w:rPr>
          <w:rFonts w:ascii="Times New Roman" w:cs="Times New Roman" w:eastAsia="Times New Roman" w:hAnsi="Times New Roman"/>
          <w:sz w:val="21"/>
          <w:szCs w:val="21"/>
          <w:color w:val="auto"/>
        </w:rPr>
      </w:pPr>
    </w:p>
    <w:p>
      <w:pPr>
        <w:jc w:val="both"/>
        <w:ind w:left="640" w:firstLine="652"/>
        <w:spacing w:after="0" w:line="212" w:lineRule="auto"/>
        <w:tabs>
          <w:tab w:leader="none" w:pos="19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 Standards for Decisions and Determinations</w:t>
      </w:r>
      <w:r>
        <w:rPr>
          <w:rFonts w:ascii="Times New Roman" w:cs="Times New Roman" w:eastAsia="Times New Roman" w:hAnsi="Times New Roman"/>
          <w:sz w:val="22"/>
          <w:szCs w:val="22"/>
          <w:color w:val="auto"/>
        </w:rPr>
        <w:t>. The Administrative Agent will promptly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notify the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w:t>
      </w:r>
    </w:p>
    <w:p>
      <w:pPr>
        <w:spacing w:after="0" w:line="148" w:lineRule="exact"/>
        <w:rPr>
          <w:rFonts w:ascii="Times New Roman" w:cs="Times New Roman" w:eastAsia="Times New Roman" w:hAnsi="Times New Roman"/>
          <w:sz w:val="22"/>
          <w:szCs w:val="22"/>
          <w:color w:val="auto"/>
        </w:rPr>
      </w:pPr>
    </w:p>
    <w:p>
      <w:pPr>
        <w:jc w:val="both"/>
        <w:ind w:left="640" w:firstLine="652"/>
        <w:spacing w:after="0" w:line="216" w:lineRule="auto"/>
        <w:tabs>
          <w:tab w:leader="none" w:pos="192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Unavailability of Tenor of Benchmark</w:t>
      </w:r>
      <w:r>
        <w:rPr>
          <w:rFonts w:ascii="Times New Roman" w:cs="Times New Roman" w:eastAsia="Times New Roman" w:hAnsi="Times New Roman"/>
          <w:sz w:val="22"/>
          <w:szCs w:val="22"/>
          <w:color w:val="auto"/>
        </w:rPr>
        <w:t>. Notwithstanding anything to the contrary herein or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580"/>
          </w:cols>
          <w:pgMar w:left="980" w:top="1395" w:right="339" w:bottom="1440" w:gutter="0" w:footer="0" w:header="0"/>
        </w:sectPr>
      </w:pPr>
    </w:p>
    <w:bookmarkStart w:id="170" w:name="page171"/>
    <w:bookmarkEnd w:id="170"/>
    <w:p>
      <w:pPr>
        <w:jc w:val="both"/>
        <w:ind w:left="640"/>
        <w:spacing w:after="0" w:line="222" w:lineRule="auto"/>
        <w:rPr>
          <w:sz w:val="20"/>
          <w:szCs w:val="20"/>
          <w:color w:val="auto"/>
        </w:rPr>
      </w:pPr>
      <w:r>
        <w:rPr>
          <w:rFonts w:ascii="Times New Roman" w:cs="Times New Roman" w:eastAsia="Times New Roman" w:hAnsi="Times New Roman"/>
          <w:sz w:val="21"/>
          <w:szCs w:val="21"/>
          <w:color w:val="auto"/>
        </w:rPr>
        <w:t>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3" w:lineRule="exact"/>
        <w:rPr>
          <w:sz w:val="20"/>
          <w:szCs w:val="20"/>
          <w:color w:val="auto"/>
        </w:rPr>
      </w:pPr>
    </w:p>
    <w:p>
      <w:pPr>
        <w:jc w:val="both"/>
        <w:ind w:firstLine="644"/>
        <w:spacing w:after="0" w:line="213" w:lineRule="auto"/>
        <w:tabs>
          <w:tab w:leader="none" w:pos="129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Default Interest. </w:t>
      </w:r>
      <w:r>
        <w:rPr>
          <w:rFonts w:ascii="Times New Roman" w:cs="Times New Roman" w:eastAsia="Times New Roman" w:hAnsi="Times New Roman"/>
          <w:sz w:val="22"/>
          <w:szCs w:val="22"/>
          <w:color w:val="auto"/>
        </w:rPr>
        <w:t>Notwithstanding the foregoing, upon the occurrence and during the continuance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Event of Default and upon the written election of the Administrative Agent, the Applicable Margin shall increase automatically by 4.00% per annum (the interest rate, as increased pursuant to this Section 3.02(d), being the </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Rate”</w:t>
      </w:r>
      <w:r>
        <w:rPr>
          <w:rFonts w:ascii="Times New Roman" w:cs="Times New Roman" w:eastAsia="Times New Roman" w:hAnsi="Times New Roman"/>
          <w:sz w:val="22"/>
          <w:szCs w:val="22"/>
          <w:color w:val="auto"/>
        </w:rPr>
        <w:t>). Notwithstanding any other provision herein, if interest is required to be paid at the Default Rate, it shall also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paid entirely in cash. If any Obligation is not paid when due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spacing w:after="0" w:line="147" w:lineRule="exact"/>
        <w:rPr>
          <w:rFonts w:ascii="Times New Roman" w:cs="Times New Roman" w:eastAsia="Times New Roman" w:hAnsi="Times New Roman"/>
          <w:sz w:val="22"/>
          <w:szCs w:val="22"/>
          <w:color w:val="auto"/>
        </w:rPr>
      </w:pPr>
    </w:p>
    <w:p>
      <w:pPr>
        <w:jc w:val="both"/>
        <w:ind w:firstLine="644"/>
        <w:spacing w:after="0" w:line="221" w:lineRule="auto"/>
        <w:tabs>
          <w:tab w:leader="none" w:pos="129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Dates. </w:t>
      </w:r>
      <w:r>
        <w:rPr>
          <w:rFonts w:ascii="Times New Roman" w:cs="Times New Roman" w:eastAsia="Times New Roman" w:hAnsi="Times New Roman"/>
          <w:sz w:val="22"/>
          <w:szCs w:val="22"/>
          <w:color w:val="auto"/>
        </w:rPr>
        <w:t>Accrued interest on the Term Loans shall be payable in arrears on each Payment Date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 to the most recently completed Interest Period in cash, and upon the payment or prepayment of the Term Loans (on the principal amount being so paid or prepaid);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interest payable at the Default Rate shall be payable from time to time on demand by the Administrative Agent.</w:t>
      </w:r>
    </w:p>
    <w:p>
      <w:pPr>
        <w:spacing w:after="0" w:line="148" w:lineRule="exact"/>
        <w:rPr>
          <w:rFonts w:ascii="Times New Roman" w:cs="Times New Roman" w:eastAsia="Times New Roman" w:hAnsi="Times New Roman"/>
          <w:sz w:val="22"/>
          <w:szCs w:val="22"/>
          <w:color w:val="auto"/>
        </w:rPr>
      </w:pPr>
    </w:p>
    <w:p>
      <w:pPr>
        <w:jc w:val="both"/>
        <w:ind w:firstLine="644"/>
        <w:spacing w:after="0" w:line="214" w:lineRule="auto"/>
        <w:tabs>
          <w:tab w:leader="none" w:pos="129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Maximum Rate. </w:t>
      </w:r>
      <w:r>
        <w:rPr>
          <w:rFonts w:ascii="Times New Roman" w:cs="Times New Roman" w:eastAsia="Times New Roman" w:hAnsi="Times New Roman"/>
          <w:sz w:val="22"/>
          <w:szCs w:val="22"/>
          <w:color w:val="auto"/>
        </w:rPr>
        <w:t>Notwithstanding any other provision of this Agreement, in no event will any interest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3.03.  Prepayments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1280" w:hanging="636"/>
        <w:spacing w:after="0"/>
        <w:tabs>
          <w:tab w:leader="none" w:pos="1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Optional Prepayments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40" w:firstLine="652"/>
        <w:spacing w:after="0" w:line="215" w:lineRule="auto"/>
        <w:tabs>
          <w:tab w:leader="none" w:pos="192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the right to optionally prepay in whole or in part (in a minimum amount of $500,000 and integral multiples of $100,000 in excess of that amount for each partial prepayment, or, if less, the entire outstanding principal amount of the Term Loans) the outstanding principal amount of the Term Loans on any Business Day (a </w:t>
      </w:r>
      <w:r>
        <w:rPr>
          <w:rFonts w:ascii="Times New Roman" w:cs="Times New Roman" w:eastAsia="Times New Roman" w:hAnsi="Times New Roman"/>
          <w:sz w:val="22"/>
          <w:szCs w:val="22"/>
          <w:i w:val="1"/>
          <w:iCs w:val="1"/>
          <w:color w:val="auto"/>
        </w:rPr>
        <w:t>“Redemption Date”</w:t>
      </w:r>
      <w:r>
        <w:rPr>
          <w:rFonts w:ascii="Times New Roman" w:cs="Times New Roman" w:eastAsia="Times New Roman" w:hAnsi="Times New Roman"/>
          <w:sz w:val="22"/>
          <w:szCs w:val="22"/>
          <w:color w:val="auto"/>
        </w:rPr>
        <w:t xml:space="preserve">) for an amount equal to the sum of (x) the aggregate principal amount of the Term Loans being prepaid, (y) the prepayment premium set forth in clause (ii) below (the </w:t>
      </w:r>
      <w:r>
        <w:rPr>
          <w:rFonts w:ascii="Times New Roman" w:cs="Times New Roman" w:eastAsia="Times New Roman" w:hAnsi="Times New Roman"/>
          <w:sz w:val="22"/>
          <w:szCs w:val="22"/>
          <w:i w:val="1"/>
          <w:iCs w:val="1"/>
          <w:color w:val="auto"/>
        </w:rPr>
        <w:t>“Prepayment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Premium”</w:t>
      </w:r>
      <w:r>
        <w:rPr>
          <w:rFonts w:ascii="Times New Roman" w:cs="Times New Roman" w:eastAsia="Times New Roman" w:hAnsi="Times New Roman"/>
          <w:sz w:val="22"/>
          <w:szCs w:val="22"/>
          <w:color w:val="auto"/>
        </w:rPr>
        <w:t>) and (z) any accrued but unpaid interest in respect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580"/>
          </w:cols>
          <w:pgMar w:left="980" w:top="1395" w:right="339" w:bottom="1440" w:gutter="0" w:footer="0" w:header="0"/>
        </w:sectPr>
      </w:pPr>
    </w:p>
    <w:bookmarkStart w:id="171" w:name="page172"/>
    <w:bookmarkEnd w:id="171"/>
    <w:p>
      <w:pPr>
        <w:ind w:left="180"/>
        <w:spacing w:after="0"/>
        <w:rPr>
          <w:sz w:val="20"/>
          <w:szCs w:val="20"/>
          <w:color w:val="auto"/>
        </w:rPr>
      </w:pPr>
      <w:r>
        <w:rPr>
          <w:rFonts w:ascii="Times New Roman" w:cs="Times New Roman" w:eastAsia="Times New Roman" w:hAnsi="Times New Roman"/>
          <w:sz w:val="22"/>
          <w:szCs w:val="22"/>
          <w:color w:val="auto"/>
        </w:rPr>
        <w:t xml:space="preserve">aggregate principal amount of the Term Loans being prepaid (such aggregate amount, the </w:t>
      </w:r>
      <w:r>
        <w:rPr>
          <w:rFonts w:ascii="Times New Roman" w:cs="Times New Roman" w:eastAsia="Times New Roman" w:hAnsi="Times New Roman"/>
          <w:sz w:val="22"/>
          <w:szCs w:val="22"/>
          <w:i w:val="1"/>
          <w:iCs w:val="1"/>
          <w:color w:val="auto"/>
        </w:rPr>
        <w:t>“Redemption Price”</w:t>
      </w:r>
      <w:r>
        <w:rPr>
          <w:rFonts w:ascii="Times New Roman" w:cs="Times New Roman" w:eastAsia="Times New Roman" w:hAnsi="Times New Roman"/>
          <w:sz w:val="22"/>
          <w:szCs w:val="22"/>
          <w:color w:val="auto"/>
        </w:rPr>
        <w:t>).</w:t>
      </w:r>
    </w:p>
    <w:p>
      <w:pPr>
        <w:ind w:left="180"/>
        <w:spacing w:after="0"/>
        <w:rPr>
          <w:sz w:val="20"/>
          <w:szCs w:val="20"/>
          <w:color w:val="auto"/>
        </w:rPr>
      </w:pPr>
      <w:r>
        <w:rPr>
          <w:rFonts w:ascii="Times New Roman" w:cs="Times New Roman" w:eastAsia="Times New Roman" w:hAnsi="Times New Roman"/>
          <w:sz w:val="22"/>
          <w:szCs w:val="22"/>
          <w:color w:val="auto"/>
        </w:rPr>
        <w:t>The applicable Prepayment Premium shall be an amount calculated pursuant to Section 3.03(a)(ii).</w:t>
      </w:r>
    </w:p>
    <w:p>
      <w:pPr>
        <w:spacing w:after="0" w:line="155" w:lineRule="exact"/>
        <w:rPr>
          <w:sz w:val="20"/>
          <w:szCs w:val="20"/>
          <w:color w:val="auto"/>
        </w:rPr>
      </w:pPr>
    </w:p>
    <w:p>
      <w:pPr>
        <w:ind w:left="1480" w:hanging="648"/>
        <w:spacing w:after="0"/>
        <w:tabs>
          <w:tab w:leader="none" w:pos="14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Redemption Date occurs:</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5"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first anniversary of the Closing Date, the Prepayment Premium shall be an amount equal to ten percent (10%) of the aggregate outstanding principal amount of the Term Loans being prepaid on such Redemption Date;</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7"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first anniversary of the Closing Date and on or prior to the second anniversary of the Closing Date, the Prepayment Premium shall be an amount equal to nine percent (9%) of the aggregate outstanding principal amount of the Term Loans being prepaid on such Redemption Date;</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7"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second anniversary of the Closing Date and on or prior to the third anniversary of the Closing Date, the Prepayment Premium shall be an amount equal to eight percent (8%) of the aggregate outstanding principal amount of the Term Loans being prepaid on such Redemption Date;</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5"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third anniversary of the Closing Date and on or prior to the fourth anniversary of the Closing Date, the Prepayment Premium shall be an amount equal to six percent (6%) of the aggregate outstanding principal amount of the Term Loans being prepaid on such Redemption Date; and</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8"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fourth anniversary of the Closing Date and prior to the Stated Maturity Date, the Prepayment Premium shall be an amount equal to two percent (2%) of the aggregate outstanding principal amount of the Term Loans being prepaid on such Redemption Date.</w:t>
      </w:r>
    </w:p>
    <w:p>
      <w:pPr>
        <w:spacing w:after="0" w:line="148" w:lineRule="exact"/>
        <w:rPr>
          <w:rFonts w:ascii="Times New Roman" w:cs="Times New Roman" w:eastAsia="Times New Roman" w:hAnsi="Times New Roman"/>
          <w:sz w:val="22"/>
          <w:szCs w:val="22"/>
          <w:color w:val="auto"/>
        </w:rPr>
      </w:pPr>
    </w:p>
    <w:p>
      <w:pPr>
        <w:jc w:val="both"/>
        <w:ind w:left="-460" w:firstLine="644"/>
        <w:spacing w:after="0" w:line="221" w:lineRule="auto"/>
        <w:tabs>
          <w:tab w:leader="none" w:pos="83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Mandatory Prepayments. </w:t>
      </w:r>
      <w:r>
        <w:rPr>
          <w:rFonts w:ascii="Times New Roman" w:cs="Times New Roman" w:eastAsia="Times New Roman" w:hAnsi="Times New Roman"/>
          <w:sz w:val="22"/>
          <w:szCs w:val="22"/>
          <w:color w:val="auto"/>
        </w:rPr>
        <w:t>The Borrower shall prepay the Term Loans in amounts as provided below, plus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3" w:lineRule="auto"/>
        <w:tabs>
          <w:tab w:leader="none" w:pos="146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five (5) days following receipt by any Obligor of the proceeds of any Casualty Event, an amount equal to 100% of the Net Cash Proceeds received by any Obligor with respect thereto;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so long as no Default has occurred and is continuing, within one hundred eighty (180) days after receipt of such Net Cash Proceeds, the Borrower may reinvest such Net Cash Proceeds toward the replacement or repair of destroyed or damaged property;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subject to the terms of the Loan Documents, any such reinvested property shall be Collateral in which the Administrative Agent for the benefit of the Lenders has been granted a security interest under the Security Documents.</w:t>
      </w:r>
    </w:p>
    <w:p>
      <w:pPr>
        <w:spacing w:after="0" w:line="156" w:lineRule="exact"/>
        <w:rPr>
          <w:sz w:val="20"/>
          <w:szCs w:val="20"/>
          <w:color w:val="auto"/>
        </w:rPr>
      </w:pPr>
    </w:p>
    <w:p>
      <w:pPr>
        <w:ind w:left="180" w:firstLine="652"/>
        <w:spacing w:after="0" w:line="236" w:lineRule="auto"/>
        <w:tabs>
          <w:tab w:leader="none" w:pos="147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any Obligor incurs Indebtedness other than Indebtedness that is permitted by Section 9.01 hereof, 100% of the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120"/>
          </w:cols>
          <w:pgMar w:left="1440" w:top="1382" w:right="339" w:bottom="1440" w:gutter="0" w:footer="0" w:header="0"/>
        </w:sectPr>
      </w:pPr>
    </w:p>
    <w:bookmarkStart w:id="172" w:name="page173"/>
    <w:bookmarkEnd w:id="172"/>
    <w:p>
      <w:pPr>
        <w:jc w:val="both"/>
        <w:ind w:left="644"/>
        <w:spacing w:after="0" w:line="220" w:lineRule="auto"/>
        <w:rPr>
          <w:sz w:val="20"/>
          <w:szCs w:val="20"/>
          <w:color w:val="auto"/>
        </w:rPr>
      </w:pPr>
      <w:r>
        <w:rPr>
          <w:rFonts w:ascii="Times New Roman" w:cs="Times New Roman" w:eastAsia="Times New Roman" w:hAnsi="Times New Roman"/>
          <w:sz w:val="22"/>
          <w:szCs w:val="22"/>
          <w:color w:val="auto"/>
        </w:rPr>
        <w:t>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spacing w:after="0" w:line="152" w:lineRule="exact"/>
        <w:rPr>
          <w:sz w:val="20"/>
          <w:szCs w:val="20"/>
          <w:color w:val="auto"/>
        </w:rPr>
      </w:pPr>
    </w:p>
    <w:p>
      <w:pPr>
        <w:jc w:val="both"/>
        <w:ind w:left="644" w:firstLine="652"/>
        <w:spacing w:after="0" w:line="218" w:lineRule="auto"/>
        <w:tabs>
          <w:tab w:leader="none" w:pos="194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any Obligor consummates an Asset Sale other than an Asset Sale that is permitted by Section 9.09 hereof (other than Section 9.09(l)), 100% of the Net Cash Proceeds received by such Obligor in connection with such Asset Sale;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so long as no Default has occurred and is continuing, within one hundred eighty (180) days after receipt of such Net Cash Proceeds, the Borrower may reinvest such Net Cash Proceeds;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subject to the terms of the Loan Documents, any such reinvested property shall be Collateral in which the Administrative Agent for the benefit of the Lenders has been granted a security interest under the Security Documents. For the avoidance of doubt, any prepayment made pursuant to this Section 3.03(b)</w:t>
      </w:r>
    </w:p>
    <w:p>
      <w:pPr>
        <w:jc w:val="both"/>
        <w:ind w:left="644" w:firstLine="4"/>
        <w:spacing w:after="0" w:line="218" w:lineRule="auto"/>
        <w:tabs>
          <w:tab w:leader="none" w:pos="104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deemed to be a consent to any Asset Sale or a cure or waiver of any Event of Default which occurs in connection therewith, it being understood that any such Event of Default may only be waived with the express consent of the Majority Lenders.</w:t>
      </w:r>
    </w:p>
    <w:p>
      <w:pPr>
        <w:spacing w:after="0" w:line="147" w:lineRule="exact"/>
        <w:rPr>
          <w:sz w:val="20"/>
          <w:szCs w:val="20"/>
          <w:color w:val="auto"/>
        </w:rPr>
      </w:pPr>
    </w:p>
    <w:p>
      <w:pPr>
        <w:jc w:val="both"/>
        <w:ind w:left="4" w:firstLine="644"/>
        <w:spacing w:after="0" w:line="216" w:lineRule="auto"/>
        <w:tabs>
          <w:tab w:leader="none" w:pos="1297"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Prepayment Premium. </w:t>
      </w:r>
      <w:r>
        <w:rPr>
          <w:rFonts w:ascii="Times New Roman" w:cs="Times New Roman" w:eastAsia="Times New Roman" w:hAnsi="Times New Roman"/>
          <w:sz w:val="21"/>
          <w:szCs w:val="21"/>
          <w:color w:val="auto"/>
        </w:rPr>
        <w:t>Payment of any Prepayment Premium under this Section 3.03 constitutes liquidated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PREPAYMENT PREMIUM IN CONNECTION WITH ANY SUCH EVENTS. The Borrower and the other Obligors expressly agree (to the fullest extent it and they may lawfully do so) that with respect to any Prepayment Premium payable under the terms of this Agreement:</w:t>
      </w:r>
    </w:p>
    <w:p>
      <w:pPr>
        <w:spacing w:after="0" w:line="8" w:lineRule="exact"/>
        <w:rPr>
          <w:rFonts w:ascii="Times New Roman" w:cs="Times New Roman" w:eastAsia="Times New Roman" w:hAnsi="Times New Roman"/>
          <w:sz w:val="21"/>
          <w:szCs w:val="21"/>
          <w:color w:val="auto"/>
        </w:rPr>
      </w:pPr>
    </w:p>
    <w:p>
      <w:pPr>
        <w:jc w:val="both"/>
        <w:ind w:left="4" w:hanging="4"/>
        <w:spacing w:after="0" w:line="210" w:lineRule="auto"/>
        <w:tabs>
          <w:tab w:leader="none" w:pos="302"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584"/>
          </w:cols>
          <w:pgMar w:left="976" w:top="1395" w:right="339" w:bottom="1440" w:gutter="0" w:footer="0" w:header="0"/>
        </w:sectPr>
      </w:pPr>
    </w:p>
    <w:bookmarkStart w:id="173" w:name="page174"/>
    <w:bookmarkEnd w:id="173"/>
    <w:p>
      <w:pPr>
        <w:ind w:left="432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7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Payments, Etc.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4.01.  Payments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4"/>
        <w:spacing w:after="0" w:line="228" w:lineRule="auto"/>
        <w:tabs>
          <w:tab w:leader="none" w:pos="129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Payments Generally. </w:t>
      </w:r>
      <w:r>
        <w:rPr>
          <w:rFonts w:ascii="Times New Roman" w:cs="Times New Roman" w:eastAsia="Times New Roman" w:hAnsi="Times New Roman"/>
          <w:sz w:val="21"/>
          <w:szCs w:val="21"/>
          <w:color w:val="auto"/>
        </w:rPr>
        <w:t>Each payment of principal, interest and other amounts to be made by the Obligors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under this Agreement or any other Loan Document shall be made in Dollars, in immediately available funds, without deduction, set off or counterclaim, to the deposit account of the Administrative Agent specified to the Borrower from time to time, not later than 3:00 p.m. (New York City time) on the date on which such payment shall become due (each such payment made after such time on such due date to be deemed to have been made on the next succeeding Business Day).</w:t>
      </w:r>
    </w:p>
    <w:p>
      <w:pPr>
        <w:spacing w:after="0" w:line="148" w:lineRule="exact"/>
        <w:rPr>
          <w:rFonts w:ascii="Times New Roman" w:cs="Times New Roman" w:eastAsia="Times New Roman" w:hAnsi="Times New Roman"/>
          <w:sz w:val="21"/>
          <w:szCs w:val="21"/>
          <w:color w:val="auto"/>
        </w:rPr>
      </w:pPr>
    </w:p>
    <w:p>
      <w:pPr>
        <w:jc w:val="both"/>
        <w:ind w:firstLine="644"/>
        <w:spacing w:after="0" w:line="221"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Application of Payments Prior to a Default. </w:t>
      </w:r>
      <w:r>
        <w:rPr>
          <w:rFonts w:ascii="Times New Roman" w:cs="Times New Roman" w:eastAsia="Times New Roman" w:hAnsi="Times New Roman"/>
          <w:sz w:val="22"/>
          <w:szCs w:val="22"/>
          <w:color w:val="auto"/>
        </w:rPr>
        <w:t>Prior to the occurrence of a Default, each payment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or any other Loan Document shall be applied in the following order of priority, with proceeds being applied to a succeeding level of priority only if amounts owing pursuant to the immediately preceding level of priority have been paid in full in cash:</w:t>
      </w:r>
    </w:p>
    <w:p>
      <w:pPr>
        <w:spacing w:after="0" w:line="148" w:lineRule="exact"/>
        <w:rPr>
          <w:rFonts w:ascii="Times New Roman" w:cs="Times New Roman" w:eastAsia="Times New Roman" w:hAnsi="Times New Roman"/>
          <w:sz w:val="22"/>
          <w:szCs w:val="22"/>
          <w:color w:val="auto"/>
        </w:rPr>
      </w:pPr>
    </w:p>
    <w:p>
      <w:pPr>
        <w:ind w:left="640" w:right="20" w:firstLine="652"/>
        <w:spacing w:after="0" w:line="238" w:lineRule="auto"/>
        <w:tabs>
          <w:tab w:leader="none" w:pos="192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in reduction of the Borrower’s obligation to pay any unpaid interest and any fees then due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owing including, without limitation, any Prepayment Premium, if applicable; and</w:t>
      </w:r>
    </w:p>
    <w:p>
      <w:pPr>
        <w:spacing w:after="0" w:line="146" w:lineRule="exact"/>
        <w:rPr>
          <w:rFonts w:ascii="Times New Roman" w:cs="Times New Roman" w:eastAsia="Times New Roman" w:hAnsi="Times New Roman"/>
          <w:sz w:val="22"/>
          <w:szCs w:val="22"/>
          <w:color w:val="auto"/>
        </w:rPr>
      </w:pPr>
    </w:p>
    <w:p>
      <w:pPr>
        <w:ind w:left="640" w:firstLine="652"/>
        <w:spacing w:after="0" w:line="238" w:lineRule="auto"/>
        <w:tabs>
          <w:tab w:leader="none" w:pos="193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the payment of unpaid principal of the Term Loans to the Lenders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Lender’s Proportionate Share.</w:t>
      </w:r>
    </w:p>
    <w:p>
      <w:pPr>
        <w:spacing w:after="0" w:line="146" w:lineRule="exact"/>
        <w:rPr>
          <w:rFonts w:ascii="Times New Roman" w:cs="Times New Roman" w:eastAsia="Times New Roman" w:hAnsi="Times New Roman"/>
          <w:sz w:val="22"/>
          <w:szCs w:val="22"/>
          <w:color w:val="auto"/>
        </w:rPr>
      </w:pPr>
    </w:p>
    <w:p>
      <w:pPr>
        <w:jc w:val="both"/>
        <w:ind w:firstLine="644"/>
        <w:spacing w:after="0" w:line="221"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Application of Payments Following a Default</w:t>
      </w:r>
      <w:r>
        <w:rPr>
          <w:rFonts w:ascii="Times New Roman" w:cs="Times New Roman" w:eastAsia="Times New Roman" w:hAnsi="Times New Roman"/>
          <w:sz w:val="22"/>
          <w:szCs w:val="22"/>
          <w:color w:val="auto"/>
        </w:rPr>
        <w:t>. Following the occurrence and during the continuance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of Default,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spacing w:after="0" w:line="139"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any unpaid costs and expenses referred to in Section 13.03(a) then due and</w:t>
      </w:r>
    </w:p>
    <w:p>
      <w:pPr>
        <w:ind w:left="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owing;</w:t>
      </w:r>
    </w:p>
    <w:p>
      <w:pPr>
        <w:spacing w:after="0" w:line="151" w:lineRule="exact"/>
        <w:rPr>
          <w:rFonts w:ascii="Times New Roman" w:cs="Times New Roman" w:eastAsia="Times New Roman" w:hAnsi="Times New Roman"/>
          <w:sz w:val="22"/>
          <w:szCs w:val="22"/>
          <w:color w:val="auto"/>
        </w:rPr>
      </w:pPr>
    </w:p>
    <w:p>
      <w:pPr>
        <w:jc w:val="both"/>
        <w:ind w:left="640" w:right="20" w:firstLine="652"/>
        <w:spacing w:after="0" w:line="227" w:lineRule="auto"/>
        <w:tabs>
          <w:tab w:leader="none" w:pos="193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in reduction of the Borrower’s obligation to pay any unpaid interest and any fees then due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owing including, without limitation, (A) interest payable at the Default Rate and (B) any Prepayment Premium, if applicable;</w:t>
      </w:r>
    </w:p>
    <w:p>
      <w:pPr>
        <w:spacing w:after="0" w:line="146" w:lineRule="exact"/>
        <w:rPr>
          <w:rFonts w:ascii="Times New Roman" w:cs="Times New Roman" w:eastAsia="Times New Roman" w:hAnsi="Times New Roman"/>
          <w:sz w:val="22"/>
          <w:szCs w:val="22"/>
          <w:color w:val="auto"/>
        </w:rPr>
      </w:pPr>
    </w:p>
    <w:p>
      <w:pPr>
        <w:ind w:left="640" w:firstLine="652"/>
        <w:spacing w:after="0" w:line="238" w:lineRule="auto"/>
        <w:tabs>
          <w:tab w:leader="none" w:pos="193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the payment of unpaid principal of the Term Loans to the Lenders in accordance with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Proportionate Share;</w:t>
      </w:r>
    </w:p>
    <w:p>
      <w:pPr>
        <w:spacing w:after="0" w:line="146" w:lineRule="exact"/>
        <w:rPr>
          <w:rFonts w:ascii="Times New Roman" w:cs="Times New Roman" w:eastAsia="Times New Roman" w:hAnsi="Times New Roman"/>
          <w:sz w:val="22"/>
          <w:szCs w:val="22"/>
          <w:color w:val="auto"/>
        </w:rPr>
      </w:pPr>
    </w:p>
    <w:p>
      <w:pPr>
        <w:ind w:left="640" w:firstLine="652"/>
        <w:spacing w:after="0" w:line="238" w:lineRule="auto"/>
        <w:tabs>
          <w:tab w:leader="none" w:pos="192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in reduction of the Borrower’s obligation to pay any Claims or Losses referred to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13.03(b) then due and owing;</w:t>
      </w:r>
    </w:p>
    <w:p>
      <w:pPr>
        <w:spacing w:after="0" w:line="146"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in reduction of any other Obligation then due and owing; and</w:t>
      </w:r>
    </w:p>
    <w:p>
      <w:pPr>
        <w:spacing w:after="0" w:line="179" w:lineRule="exact"/>
        <w:rPr>
          <w:rFonts w:ascii="Times New Roman" w:cs="Times New Roman" w:eastAsia="Times New Roman" w:hAnsi="Times New Roman"/>
          <w:sz w:val="22"/>
          <w:szCs w:val="22"/>
          <w:color w:val="auto"/>
        </w:rPr>
      </w:pPr>
    </w:p>
    <w:p>
      <w:pPr>
        <w:ind w:left="640" w:right="20" w:firstLine="652"/>
        <w:spacing w:after="0" w:line="238" w:lineRule="auto"/>
        <w:tabs>
          <w:tab w:leader="none" w:pos="192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the Borrower or such other Persons as may lawfully be entitled to or directed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Borrower to receive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580"/>
          </w:cols>
          <w:pgMar w:left="980" w:top="1391" w:right="339" w:bottom="1440" w:gutter="0" w:footer="0" w:header="0"/>
        </w:sectPr>
      </w:pPr>
    </w:p>
    <w:bookmarkStart w:id="174" w:name="page175"/>
    <w:bookmarkEnd w:id="17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spacing w:after="0" w:line="155" w:lineRule="exact"/>
        <w:rPr>
          <w:sz w:val="20"/>
          <w:szCs w:val="20"/>
          <w:color w:val="auto"/>
        </w:rPr>
      </w:pPr>
    </w:p>
    <w:p>
      <w:pPr>
        <w:jc w:val="both"/>
        <w:ind w:left="660" w:firstLine="644"/>
        <w:spacing w:after="0" w:line="221" w:lineRule="auto"/>
        <w:tabs>
          <w:tab w:leader="none" w:pos="19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Non-Business Days. </w:t>
      </w:r>
      <w:r>
        <w:rPr>
          <w:rFonts w:ascii="Times New Roman" w:cs="Times New Roman" w:eastAsia="Times New Roman" w:hAnsi="Times New Roman"/>
          <w:sz w:val="22"/>
          <w:szCs w:val="22"/>
          <w:color w:val="auto"/>
        </w:rPr>
        <w:t>If the due date of any payment under this Agreement (whether in respect of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4.02. Computations. </w:t>
      </w:r>
      <w:r>
        <w:rPr>
          <w:rFonts w:ascii="Times New Roman" w:cs="Times New Roman" w:eastAsia="Times New Roman" w:hAnsi="Times New Roman"/>
          <w:sz w:val="22"/>
          <w:szCs w:val="22"/>
          <w:color w:val="auto"/>
        </w:rPr>
        <w:t>All computations of interest and fees hereunder shall be computed on the basis of a year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360 days and actual days elapsed during the period for which payable.</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4.03. Notices. </w:t>
      </w:r>
      <w:r>
        <w:rPr>
          <w:rFonts w:ascii="Times New Roman" w:cs="Times New Roman" w:eastAsia="Times New Roman" w:hAnsi="Times New Roman"/>
          <w:sz w:val="22"/>
          <w:szCs w:val="22"/>
          <w:color w:val="auto"/>
        </w:rPr>
        <w:t>Each notice of optional prepayment shall be effective only if received by the Lenders not later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3:00 p.m. (New York City time) on the date three (3) Business Days prior to the date of prepayment. Each notice of optional prepayment shall specify the amount to be prepaid and the date of prepayment.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4.04.  Set-Off</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1" w:lineRule="auto"/>
        <w:tabs>
          <w:tab w:leader="none" w:pos="195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Set-Off Generally. </w:t>
      </w:r>
      <w:r>
        <w:rPr>
          <w:rFonts w:ascii="Times New Roman" w:cs="Times New Roman" w:eastAsia="Times New Roman" w:hAnsi="Times New Roman"/>
          <w:sz w:val="22"/>
          <w:szCs w:val="22"/>
          <w:color w:val="auto"/>
        </w:rPr>
        <w:t>Upon the occurrence and during the continuance of any Event of Default,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The Lenders agree promptly to notify the Borrower after any such set-off and application,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the Lenders and their respective Affiliates under this Section 4.04 are in addition to other rights and remedies (including other rights of set-off) that the Lenders and their respective Affiliates may have.</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1"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Exercise of Rights Not Required. </w:t>
      </w:r>
      <w:r>
        <w:rPr>
          <w:rFonts w:ascii="Times New Roman" w:cs="Times New Roman" w:eastAsia="Times New Roman" w:hAnsi="Times New Roman"/>
          <w:sz w:val="21"/>
          <w:szCs w:val="21"/>
          <w:color w:val="auto"/>
        </w:rPr>
        <w:t>Nothing contained herein shall require the Administrative Agent,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Lenders or any of their respective Affiliates to exercise any such right or shall affect the right of such Persons to exercise, and retain the benefits of exercising, any such right with respect to any other Indebtedness or obligation of any Obligor.</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7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Yield Protection, Etc.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5.01.  Additional Costs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1" w:lineRule="auto"/>
        <w:tabs>
          <w:tab w:leader="none" w:pos="195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Requirements of Law Generally. </w:t>
      </w:r>
      <w:r>
        <w:rPr>
          <w:rFonts w:ascii="Times New Roman" w:cs="Times New Roman" w:eastAsia="Times New Roman" w:hAnsi="Times New Roman"/>
          <w:sz w:val="22"/>
          <w:szCs w:val="22"/>
          <w:color w:val="auto"/>
        </w:rPr>
        <w:t>If, on or after the date hereof, the adoption of any Requirement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75" w:name="page176"/>
    <w:bookmarkEnd w:id="175"/>
    <w:p>
      <w:pPr>
        <w:jc w:val="both"/>
        <w:spacing w:after="0" w:line="218" w:lineRule="auto"/>
        <w:rPr>
          <w:sz w:val="20"/>
          <w:szCs w:val="20"/>
          <w:color w:val="auto"/>
        </w:rPr>
      </w:pPr>
      <w:r>
        <w:rPr>
          <w:rFonts w:ascii="Times New Roman" w:cs="Times New Roman" w:eastAsia="Times New Roman" w:hAnsi="Times New Roman"/>
          <w:sz w:val="21"/>
          <w:szCs w:val="21"/>
          <w:color w:val="auto"/>
        </w:rPr>
        <w:t>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Excluded Taxes and (iii) Connection Income Taxes), then Obligors shall promptly pay to such Lender on demand such additional amount or amounts as will compensate such Lender for such increased cost or reduction with respect to this Agreement or any Term Loans funded hereunder (solely to the extent such request is consistent with the treatment of similarly situated customers of such Lender under agreements having provisions similar to this Section 5.01).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spacing w:after="0" w:line="152" w:lineRule="exact"/>
        <w:rPr>
          <w:sz w:val="20"/>
          <w:szCs w:val="20"/>
          <w:color w:val="auto"/>
        </w:rPr>
      </w:pPr>
    </w:p>
    <w:p>
      <w:pPr>
        <w:jc w:val="both"/>
        <w:ind w:firstLine="644"/>
        <w:spacing w:after="0" w:line="210"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Change in Capital Requirements. </w:t>
      </w:r>
      <w:r>
        <w:rPr>
          <w:rFonts w:ascii="Times New Roman" w:cs="Times New Roman" w:eastAsia="Times New Roman" w:hAnsi="Times New Roman"/>
          <w:sz w:val="22"/>
          <w:szCs w:val="22"/>
          <w:color w:val="auto"/>
        </w:rPr>
        <w:t>If a Lender shall have determined that, on or after the date hereof,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has or would have the effect of reducing the rate of return on capital of a Lender (or its parent) as a consequence of a Lender’s obligations hereunder or the Term Loans to a level below that which a Lender (or its parent) could have achieved but for such adoption, change, request or directive by an amount reasonably deemed by it to be material, then Obligors shall promptly pay to such Lender on demand such additional amount or amounts as will compensate such Lender (or its parent) for such reduction (solely to the extent such request is consistent with the treatment of similarly situated customers of such Lender under agreements having provisions similar to this Section 5.01).</w:t>
      </w:r>
    </w:p>
    <w:p>
      <w:pPr>
        <w:spacing w:after="0" w:line="157" w:lineRule="exact"/>
        <w:rPr>
          <w:rFonts w:ascii="Times New Roman" w:cs="Times New Roman" w:eastAsia="Times New Roman" w:hAnsi="Times New Roman"/>
          <w:sz w:val="22"/>
          <w:szCs w:val="22"/>
          <w:color w:val="auto"/>
        </w:rPr>
      </w:pPr>
    </w:p>
    <w:p>
      <w:pPr>
        <w:jc w:val="both"/>
        <w:ind w:firstLine="644"/>
        <w:spacing w:after="0" w:line="213"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Notification by Lender. </w:t>
      </w:r>
      <w:r>
        <w:rPr>
          <w:rFonts w:ascii="Times New Roman" w:cs="Times New Roman" w:eastAsia="Times New Roman" w:hAnsi="Times New Roman"/>
          <w:sz w:val="22"/>
          <w:szCs w:val="22"/>
          <w:color w:val="auto"/>
        </w:rPr>
        <w:t>The Lenders will promptly notify the Borrower of any event of which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knowledge, occurring after the date hereof, which will entitle a Lender to compensation pursuant to this Section 5.01. Before giving any such notice pursuant to this Section 5.01(c) such Lender shall designate a different lending office if such 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the amount or amounts to be paid to it hereunder, shall be conclusive and binding on Obligors in the absence of manifest error. The Obligors shall pay such Lender the amount shown on any such certificate within ten (10) Business Days after receipt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0580"/>
          </w:cols>
          <w:pgMar w:left="980" w:top="1395" w:right="339" w:bottom="1440" w:gutter="0" w:footer="0" w:header="0"/>
        </w:sectPr>
      </w:pPr>
    </w:p>
    <w:bookmarkStart w:id="176" w:name="page177"/>
    <w:bookmarkEnd w:id="176"/>
    <w:p>
      <w:pPr>
        <w:jc w:val="both"/>
        <w:ind w:firstLine="648"/>
        <w:spacing w:after="0" w:line="219" w:lineRule="auto"/>
        <w:rPr>
          <w:sz w:val="20"/>
          <w:szCs w:val="20"/>
          <w:color w:val="auto"/>
        </w:rPr>
      </w:pPr>
      <w:r>
        <w:rPr>
          <w:rFonts w:ascii="Times New Roman" w:cs="Times New Roman" w:eastAsia="Times New Roman" w:hAnsi="Times New Roman"/>
          <w:sz w:val="21"/>
          <w:szCs w:val="21"/>
          <w:i w:val="1"/>
          <w:iCs w:val="1"/>
          <w:color w:val="auto"/>
        </w:rPr>
        <w:t xml:space="preserve">Section 5.02. Illegality. </w:t>
      </w:r>
      <w:r>
        <w:rPr>
          <w:rFonts w:ascii="Times New Roman" w:cs="Times New Roman" w:eastAsia="Times New Roman" w:hAnsi="Times New Roman"/>
          <w:sz w:val="21"/>
          <w:szCs w:val="21"/>
          <w:color w:val="auto"/>
        </w:rPr>
        <w:t>Notwithstanding any other provision of this Agreement, in the event that on or after the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hereof the adoption of or any change in any Requirement of Law or in the interpretation or application thereof by any competent Governmental Authority shall make it unlawful for a Lender or its lending office to make or maintain the Term Loans (and, in the opinion of such Lender, the designation of a different lending office would either not avoid such unlawfulness or would be disadvantageous to such Lender), then such Lender shall promptly notify the Borrower thereof following which (a) the Lender’s Commitment shall be suspended until such time as such Lender may again make and maintain the Term Loans hereunder and</w:t>
      </w:r>
    </w:p>
    <w:p>
      <w:pPr>
        <w:spacing w:after="0" w:line="2" w:lineRule="exact"/>
        <w:rPr>
          <w:sz w:val="20"/>
          <w:szCs w:val="20"/>
          <w:color w:val="auto"/>
        </w:rPr>
      </w:pPr>
    </w:p>
    <w:p>
      <w:pPr>
        <w:jc w:val="both"/>
        <w:ind w:firstLine="8"/>
        <w:spacing w:after="0" w:line="218" w:lineRule="auto"/>
        <w:tabs>
          <w:tab w:leader="none" w:pos="30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Requirement of Law shall so mandate, the Term Loans shall be prepaid, by Obligors on or before such date as shall be mandated by such Requirement of Law in an amount equal to the Redemption Price applicable on the date of such prepayment in accordance with Section 3.03(a).</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5.03.  Taxes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21" w:lineRule="auto"/>
        <w:tabs>
          <w:tab w:leader="none" w:pos="195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Payments Free of Taxes. </w:t>
      </w:r>
      <w:r>
        <w:rPr>
          <w:rFonts w:ascii="Times New Roman" w:cs="Times New Roman" w:eastAsia="Times New Roman" w:hAnsi="Times New Roman"/>
          <w:sz w:val="21"/>
          <w:szCs w:val="21"/>
          <w:color w:val="auto"/>
        </w:rPr>
        <w:t>Any and all payments by or on account of any Obligation shall be made without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deduction or withholding for any Taxes, except as required by applicable Law. If any applicable Law (as determined in the good faith discretion of the Administrative Agent or any applicable withholding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spacing w:after="0" w:line="152" w:lineRule="exact"/>
        <w:rPr>
          <w:rFonts w:ascii="Times New Roman" w:cs="Times New Roman" w:eastAsia="Times New Roman" w:hAnsi="Times New Roman"/>
          <w:sz w:val="21"/>
          <w:szCs w:val="21"/>
          <w:color w:val="auto"/>
        </w:rPr>
      </w:pPr>
    </w:p>
    <w:p>
      <w:pPr>
        <w:jc w:val="both"/>
        <w:ind w:left="660" w:firstLine="644"/>
        <w:spacing w:after="0" w:line="227" w:lineRule="auto"/>
        <w:tabs>
          <w:tab w:leader="none" w:pos="195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Other Taxes by the Obligors. </w:t>
      </w:r>
      <w:r>
        <w:rPr>
          <w:rFonts w:ascii="Times New Roman" w:cs="Times New Roman" w:eastAsia="Times New Roman" w:hAnsi="Times New Roman"/>
          <w:sz w:val="22"/>
          <w:szCs w:val="22"/>
          <w:color w:val="auto"/>
        </w:rPr>
        <w:t>The Obligors shall timely pay to the relevant Governmental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Authority in accordance with applicable Law, or at the option of the Administrative Agent, timely reimburse it for, Other Taxes.</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32" w:lineRule="auto"/>
        <w:tabs>
          <w:tab w:leader="none" w:pos="1953"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Evidence of Payments. </w:t>
      </w:r>
      <w:r>
        <w:rPr>
          <w:rFonts w:ascii="Times New Roman" w:cs="Times New Roman" w:eastAsia="Times New Roman" w:hAnsi="Times New Roman"/>
          <w:sz w:val="21"/>
          <w:szCs w:val="21"/>
          <w:color w:val="auto"/>
        </w:rPr>
        <w:t>As soon as practicable after any payment of Taxes by Obligors to a Governmental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Authority, as a withholding Tax pursuant to this Section 5.03, the Borrower shall deliver to the Administrative Agent the original or a certified copy of a receipt issued by such Governmental Authority evidencing such payment, or a copy of the return reporting such payment or other evidence of such payment reasonably satisfactory to the Administrative Agent.</w:t>
      </w:r>
    </w:p>
    <w:p>
      <w:pPr>
        <w:spacing w:after="0" w:line="146" w:lineRule="exact"/>
        <w:rPr>
          <w:rFonts w:ascii="Times New Roman" w:cs="Times New Roman" w:eastAsia="Times New Roman" w:hAnsi="Times New Roman"/>
          <w:sz w:val="21"/>
          <w:szCs w:val="21"/>
          <w:color w:val="auto"/>
        </w:rPr>
      </w:pPr>
    </w:p>
    <w:p>
      <w:pPr>
        <w:jc w:val="both"/>
        <w:ind w:left="660" w:firstLine="644"/>
        <w:spacing w:after="0" w:line="212" w:lineRule="auto"/>
        <w:tabs>
          <w:tab w:leader="none" w:pos="195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w:t>
      </w:r>
      <w:r>
        <w:rPr>
          <w:rFonts w:ascii="Times New Roman" w:cs="Times New Roman" w:eastAsia="Times New Roman" w:hAnsi="Times New Roman"/>
          <w:sz w:val="22"/>
          <w:szCs w:val="22"/>
          <w:color w:val="auto"/>
        </w:rPr>
        <w:t>Obligors shall reimburse and indemnify each Recipient, within ten (10) days after demand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1" w:right="339" w:bottom="1440" w:gutter="0" w:footer="0" w:header="0"/>
        </w:sectPr>
      </w:pPr>
    </w:p>
    <w:bookmarkStart w:id="177" w:name="page178"/>
    <w:bookmarkEnd w:id="177"/>
    <w:p>
      <w:pPr>
        <w:jc w:val="both"/>
        <w:ind w:left="-460" w:firstLine="644"/>
        <w:spacing w:after="0" w:line="210" w:lineRule="auto"/>
        <w:tabs>
          <w:tab w:leader="none" w:pos="83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Indemnification by the Lenders. </w:t>
      </w:r>
      <w:r>
        <w:rPr>
          <w:rFonts w:ascii="Times New Roman" w:cs="Times New Roman" w:eastAsia="Times New Roman" w:hAnsi="Times New Roman"/>
          <w:sz w:val="22"/>
          <w:szCs w:val="22"/>
          <w:color w:val="auto"/>
        </w:rPr>
        <w:t>Each Lender shall severally indemnify the Administrative Agent, within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ten (10) days after demand therefor, for (i) any Indemnified Taxes attributable to such Lender (but only to the extent that the Obligors have not already indemnified the Administrative Agent for such Indemnified Taxes and without limiting the obligation of the Obligors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57" w:lineRule="exact"/>
        <w:rPr>
          <w:rFonts w:ascii="Times New Roman" w:cs="Times New Roman" w:eastAsia="Times New Roman" w:hAnsi="Times New Roman"/>
          <w:sz w:val="22"/>
          <w:szCs w:val="22"/>
          <w:color w:val="auto"/>
        </w:rPr>
      </w:pPr>
    </w:p>
    <w:p>
      <w:pPr>
        <w:ind w:left="840" w:hanging="656"/>
        <w:spacing w:after="0"/>
        <w:tabs>
          <w:tab w:leader="none" w:pos="8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Status of Lenders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80" w:firstLine="652"/>
        <w:spacing w:after="0" w:line="209" w:lineRule="auto"/>
        <w:tabs>
          <w:tab w:leader="none" w:pos="146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17" w:lineRule="auto"/>
        <w:tabs>
          <w:tab w:leader="none" w:pos="2125"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duly completed, valid, executed copies of IRS Form W-9 (or successor form) certifying that such Lender is exempt from U.S. Federal backup withholding Tax;</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17" w:lineRule="auto"/>
        <w:tabs>
          <w:tab w:leader="none" w:pos="2127" w:val="left"/>
        </w:tabs>
        <w:numPr>
          <w:ilvl w:val="2"/>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0120"/>
          </w:cols>
          <w:pgMar w:left="1440" w:top="1391" w:right="339" w:bottom="1440" w:gutter="0" w:footer="0" w:header="0"/>
        </w:sectPr>
      </w:pPr>
    </w:p>
    <w:bookmarkStart w:id="178" w:name="page179"/>
    <w:bookmarkEnd w:id="178"/>
    <w:p>
      <w:pPr>
        <w:jc w:val="both"/>
        <w:ind w:left="1480" w:firstLine="648"/>
        <w:spacing w:after="0" w:line="211" w:lineRule="auto"/>
        <w:tabs>
          <w:tab w:leader="none" w:pos="277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duly completed, valid executed copies of IRS Form W-8BEN (or successor form) or IRS Form W-8BEN-E (or successor form) establishing an exemption from, or reduction of, U.S. Federal withholding Tax pursuant to the “interest” article of such Tax treaty and (y) with respect to any other applicable payments under any Loan Document, duly completed, valid, executed originals of IRS Form W-8BEN (or successor form) or IRS Form W-8BEN-E (or successor form) establishing an exemption from, or reduction of, U.S. Federal withholding Tax pursuant to the “business profits” or “other income” article of such Tax treaty;</w:t>
      </w:r>
    </w:p>
    <w:p>
      <w:pPr>
        <w:spacing w:after="0" w:line="158" w:lineRule="exact"/>
        <w:rPr>
          <w:rFonts w:ascii="Times New Roman" w:cs="Times New Roman" w:eastAsia="Times New Roman" w:hAnsi="Times New Roman"/>
          <w:sz w:val="22"/>
          <w:szCs w:val="22"/>
          <w:color w:val="auto"/>
        </w:rPr>
      </w:pPr>
    </w:p>
    <w:p>
      <w:pPr>
        <w:ind w:left="2780" w:hanging="652"/>
        <w:spacing w:after="0"/>
        <w:tabs>
          <w:tab w:leader="none" w:pos="278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completed, valid, executed copies of IRS Form W-8ECI (or successor form);</w:t>
      </w:r>
    </w:p>
    <w:p>
      <w:pPr>
        <w:spacing w:after="0" w:line="179" w:lineRule="exact"/>
        <w:rPr>
          <w:rFonts w:ascii="Times New Roman" w:cs="Times New Roman" w:eastAsia="Times New Roman" w:hAnsi="Times New Roman"/>
          <w:sz w:val="22"/>
          <w:szCs w:val="22"/>
          <w:color w:val="auto"/>
        </w:rPr>
      </w:pPr>
    </w:p>
    <w:p>
      <w:pPr>
        <w:jc w:val="both"/>
        <w:ind w:left="1480" w:firstLine="648"/>
        <w:spacing w:after="0" w:line="213" w:lineRule="auto"/>
        <w:tabs>
          <w:tab w:leader="none" w:pos="277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executed copies of IRS Form W-8BEN (or successor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form) or IRS Form W-8BEN-E (or successor form); or</w:t>
      </w:r>
    </w:p>
    <w:p>
      <w:pPr>
        <w:spacing w:after="0" w:line="156" w:lineRule="exact"/>
        <w:rPr>
          <w:rFonts w:ascii="Times New Roman" w:cs="Times New Roman" w:eastAsia="Times New Roman" w:hAnsi="Times New Roman"/>
          <w:sz w:val="22"/>
          <w:szCs w:val="22"/>
          <w:color w:val="auto"/>
        </w:rPr>
      </w:pPr>
    </w:p>
    <w:p>
      <w:pPr>
        <w:jc w:val="both"/>
        <w:ind w:left="1480" w:firstLine="648"/>
        <w:spacing w:after="0" w:line="212" w:lineRule="auto"/>
        <w:tabs>
          <w:tab w:leader="none" w:pos="277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Lender is not the beneficial owner, duly completed, valid, executed copies of IRS Form W-8IMY (or successor form), accompanied by IRS Form W-8ECI (or successor form), IRS Form W-8BEN (or successor form), IRS Form W-8BEN-E (or successor form), a U.S. Tax Compliance Certificate, IRS Form W-9 (or successor form), and/or other certification documents from each beneficial owner, as applicable;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spacing w:after="0" w:line="156" w:lineRule="exact"/>
        <w:rPr>
          <w:rFonts w:ascii="Times New Roman" w:cs="Times New Roman" w:eastAsia="Times New Roman" w:hAnsi="Times New Roman"/>
          <w:sz w:val="22"/>
          <w:szCs w:val="22"/>
          <w:color w:val="auto"/>
        </w:rPr>
      </w:pPr>
    </w:p>
    <w:p>
      <w:pPr>
        <w:jc w:val="both"/>
        <w:ind w:left="840" w:firstLine="640"/>
        <w:spacing w:after="0" w:line="212" w:lineRule="auto"/>
        <w:tabs>
          <w:tab w:leader="none" w:pos="212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0120"/>
          </w:cols>
          <w:pgMar w:left="1440" w:top="1395" w:right="339" w:bottom="1440" w:gutter="0" w:footer="0" w:header="0"/>
        </w:sectPr>
      </w:pPr>
    </w:p>
    <w:bookmarkStart w:id="179" w:name="page180"/>
    <w:bookmarkEnd w:id="179"/>
    <w:p>
      <w:pPr>
        <w:jc w:val="both"/>
        <w:ind w:left="1960" w:firstLine="640"/>
        <w:spacing w:after="0" w:line="210" w:lineRule="auto"/>
        <w:tabs>
          <w:tab w:leader="none" w:pos="324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8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Each Recipient agrees that if any form or certification it previously delivered expires or becomes obsolete or inaccurate in any respect, it shall promptly update such form or certification or promptly notify the Borrower and the Administrative Agent in writing of its legal inability to do so.</w:t>
      </w:r>
    </w:p>
    <w:p>
      <w:pPr>
        <w:spacing w:after="0" w:line="155" w:lineRule="exact"/>
        <w:rPr>
          <w:sz w:val="20"/>
          <w:szCs w:val="20"/>
          <w:color w:val="auto"/>
        </w:rPr>
      </w:pPr>
    </w:p>
    <w:p>
      <w:pPr>
        <w:jc w:val="both"/>
        <w:ind w:left="660" w:firstLine="644"/>
        <w:spacing w:after="0" w:line="209" w:lineRule="auto"/>
        <w:tabs>
          <w:tab w:leader="none" w:pos="19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Treatment of Certain Refunds. </w:t>
      </w:r>
      <w:r>
        <w:rPr>
          <w:rFonts w:ascii="Times New Roman" w:cs="Times New Roman" w:eastAsia="Times New Roman" w:hAnsi="Times New Roman"/>
          <w:sz w:val="22"/>
          <w:szCs w:val="22"/>
          <w:color w:val="auto"/>
        </w:rPr>
        <w:t>If any party to this Agreement determines, in its sole discretion exercised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make available its Tax returns (or any other information relating to its Taxes that it deems confidential) to the indemnifying party or any other Person.</w:t>
      </w:r>
    </w:p>
    <w:p>
      <w:pPr>
        <w:spacing w:after="0" w:line="147" w:lineRule="exact"/>
        <w:rPr>
          <w:rFonts w:ascii="Times New Roman" w:cs="Times New Roman" w:eastAsia="Times New Roman" w:hAnsi="Times New Roman"/>
          <w:sz w:val="22"/>
          <w:szCs w:val="22"/>
          <w:color w:val="auto"/>
        </w:rPr>
      </w:pPr>
    </w:p>
    <w:p>
      <w:pPr>
        <w:jc w:val="both"/>
        <w:ind w:left="660" w:firstLine="644"/>
        <w:spacing w:after="0" w:line="216" w:lineRule="auto"/>
        <w:tabs>
          <w:tab w:leader="none" w:pos="195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Mitigation Obligations. </w:t>
      </w:r>
      <w:r>
        <w:rPr>
          <w:rFonts w:ascii="Times New Roman" w:cs="Times New Roman" w:eastAsia="Times New Roman" w:hAnsi="Times New Roman"/>
          <w:sz w:val="22"/>
          <w:szCs w:val="22"/>
          <w:color w:val="auto"/>
        </w:rPr>
        <w:t>If Obligors are required to pay any Indemnified Taxes or additional amounts to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or to any Governmental Authority for the account of any Lender pursuant to Section 5.01 or this Section 5.03, then such Lender shall (at the request of the Borrower)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180" w:name="page181"/>
    <w:bookmarkEnd w:id="180"/>
    <w:p>
      <w:pPr>
        <w:jc w:val="both"/>
        <w:ind w:left="660"/>
        <w:spacing w:after="0" w:line="236" w:lineRule="auto"/>
        <w:rPr>
          <w:sz w:val="20"/>
          <w:szCs w:val="20"/>
          <w:color w:val="auto"/>
        </w:rPr>
      </w:pPr>
      <w:r>
        <w:rPr>
          <w:rFonts w:ascii="Times New Roman" w:cs="Times New Roman" w:eastAsia="Times New Roman" w:hAnsi="Times New Roman"/>
          <w:sz w:val="21"/>
          <w:szCs w:val="21"/>
          <w:color w:val="auto"/>
        </w:rPr>
        <w:t>Section 5.01 or this Section 5.03, as the case may be, in the future, (ii) not subject such Lender to any unreimbursed cost or expense and (iii) not otherwise be disadvantageous to such Lender. The Borrower hereby agrees to pay all reasonable costs and expenses incurred by any Lender in connection with any such designation or assignment and delegation.</w:t>
      </w:r>
    </w:p>
    <w:p>
      <w:pPr>
        <w:spacing w:after="0" w:line="148" w:lineRule="exact"/>
        <w:rPr>
          <w:sz w:val="20"/>
          <w:szCs w:val="20"/>
          <w:color w:val="auto"/>
        </w:rPr>
      </w:pPr>
    </w:p>
    <w:p>
      <w:pPr>
        <w:jc w:val="both"/>
        <w:ind w:left="660" w:firstLine="644"/>
        <w:spacing w:after="0" w:line="227" w:lineRule="auto"/>
        <w:tabs>
          <w:tab w:leader="none" w:pos="19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Survival</w:t>
      </w:r>
      <w:r>
        <w:rPr>
          <w:rFonts w:ascii="Times New Roman" w:cs="Times New Roman" w:eastAsia="Times New Roman" w:hAnsi="Times New Roman"/>
          <w:sz w:val="22"/>
          <w:szCs w:val="22"/>
          <w:color w:val="auto"/>
        </w:rPr>
        <w:t>. Each party’s obligations under this Article 5 shall survive the resignation or replacement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or any assignment of rights by, or the replacement of, a Lender, the termination of the Commitments and the repayment, satisfaction or discharge of all Obligations under any Loan Document.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Section 5.04. Delay in Requests</w:t>
      </w:r>
      <w:r>
        <w:rPr>
          <w:rFonts w:ascii="Times New Roman" w:cs="Times New Roman" w:eastAsia="Times New Roman" w:hAnsi="Times New Roman"/>
          <w:sz w:val="22"/>
          <w:szCs w:val="22"/>
          <w:color w:val="auto"/>
        </w:rPr>
        <w:t>. Failure or delay on the part of any Lender to demand compensation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Article 5 shall not constitute a waiver of such Lender’s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Obligors shall not be required to compensate a Lender pursuant to this Article 5 for any increased costs incurred or reductions suffered more than nine (9)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7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Conditions Precedent</w:t>
      </w:r>
    </w:p>
    <w:p>
      <w:pPr>
        <w:spacing w:after="0" w:line="179" w:lineRule="exact"/>
        <w:rPr>
          <w:sz w:val="20"/>
          <w:szCs w:val="20"/>
          <w:color w:val="auto"/>
        </w:rPr>
      </w:pPr>
    </w:p>
    <w:p>
      <w:pPr>
        <w:jc w:val="both"/>
        <w:ind w:right="20"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6.01. Conditions to Tranche A Term Loan; Closing Date. </w:t>
      </w:r>
      <w:r>
        <w:rPr>
          <w:rFonts w:ascii="Times New Roman" w:cs="Times New Roman" w:eastAsia="Times New Roman" w:hAnsi="Times New Roman"/>
          <w:sz w:val="22"/>
          <w:szCs w:val="22"/>
          <w:color w:val="auto"/>
        </w:rPr>
        <w:t>The obligation of each Lender to make the Tranche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 Loan and the effectiveness of this Agreement and the Loan Documents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w:t>
      </w:r>
    </w:p>
    <w:p>
      <w:pPr>
        <w:spacing w:after="0" w:line="148" w:lineRule="exact"/>
        <w:rPr>
          <w:sz w:val="20"/>
          <w:szCs w:val="20"/>
          <w:color w:val="auto"/>
        </w:rPr>
      </w:pPr>
    </w:p>
    <w:p>
      <w:pPr>
        <w:jc w:val="both"/>
        <w:ind w:left="660" w:firstLine="644"/>
        <w:spacing w:after="0" w:line="227" w:lineRule="auto"/>
        <w:tabs>
          <w:tab w:leader="none" w:pos="195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Organization and Capitalization</w:t>
      </w:r>
      <w:r>
        <w:rPr>
          <w:rFonts w:ascii="Times New Roman" w:cs="Times New Roman" w:eastAsia="Times New Roman" w:hAnsi="Times New Roman"/>
          <w:sz w:val="22"/>
          <w:szCs w:val="22"/>
          <w:color w:val="auto"/>
        </w:rPr>
        <w:t>. The organizational structure and pro-forma capitalization of the Obligors,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 giving effect to the Transactions, as set forth on Schedule 7.20 shall be reasonably satisfactory to the Administrative Agent.</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38" w:lineRule="auto"/>
        <w:tabs>
          <w:tab w:leader="none" w:pos="1951"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Terms of Material Agreements. </w:t>
      </w:r>
      <w:r>
        <w:rPr>
          <w:rFonts w:ascii="Times New Roman" w:cs="Times New Roman" w:eastAsia="Times New Roman" w:hAnsi="Times New Roman"/>
          <w:sz w:val="21"/>
          <w:szCs w:val="21"/>
          <w:color w:val="auto"/>
        </w:rPr>
        <w:t>The Administrative Agent shall be satisfied in its sole discretion with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terms and conditions of all of the Obligors’ Material Agreements, including without limitation, the Material Agreements that are directly or indirectly associated with manufacturing, distribution and payment of royalties by any Obligor.</w:t>
      </w:r>
    </w:p>
    <w:p>
      <w:pPr>
        <w:spacing w:after="0" w:line="145" w:lineRule="exact"/>
        <w:rPr>
          <w:rFonts w:ascii="Times New Roman" w:cs="Times New Roman" w:eastAsia="Times New Roman" w:hAnsi="Times New Roman"/>
          <w:sz w:val="21"/>
          <w:szCs w:val="21"/>
          <w:color w:val="auto"/>
        </w:rPr>
      </w:pPr>
    </w:p>
    <w:p>
      <w:pPr>
        <w:ind w:left="660" w:right="20" w:firstLine="644"/>
        <w:spacing w:after="0" w:line="238" w:lineRule="auto"/>
        <w:tabs>
          <w:tab w:leader="none" w:pos="195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Law Restraining Transactions. </w:t>
      </w:r>
      <w:r>
        <w:rPr>
          <w:rFonts w:ascii="Times New Roman" w:cs="Times New Roman" w:eastAsia="Times New Roman" w:hAnsi="Times New Roman"/>
          <w:sz w:val="22"/>
          <w:szCs w:val="22"/>
          <w:color w:val="auto"/>
        </w:rPr>
        <w:t>No applicable Law or regulation shall restrain, prevent or,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reasonable judgment of the Administrative Agent, impose materially adverse conditions upon the Transactions.</w:t>
      </w:r>
    </w:p>
    <w:p>
      <w:pPr>
        <w:spacing w:after="0" w:line="146"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Lien Searches. </w:t>
      </w:r>
      <w:r>
        <w:rPr>
          <w:rFonts w:ascii="Times New Roman" w:cs="Times New Roman" w:eastAsia="Times New Roman" w:hAnsi="Times New Roman"/>
          <w:sz w:val="22"/>
          <w:szCs w:val="22"/>
          <w:color w:val="auto"/>
        </w:rPr>
        <w:t>The Administrative Agent shall be reasonably satisfied with Lien searches regarding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Obligors made prior to the Closing Date.</w:t>
      </w:r>
    </w:p>
    <w:p>
      <w:pPr>
        <w:spacing w:after="0" w:line="146" w:lineRule="exact"/>
        <w:rPr>
          <w:rFonts w:ascii="Times New Roman" w:cs="Times New Roman" w:eastAsia="Times New Roman" w:hAnsi="Times New Roman"/>
          <w:sz w:val="22"/>
          <w:szCs w:val="22"/>
          <w:color w:val="auto"/>
        </w:rPr>
      </w:pPr>
    </w:p>
    <w:p>
      <w:pPr>
        <w:ind w:left="660" w:firstLine="644"/>
        <w:spacing w:after="0" w:line="238" w:lineRule="auto"/>
        <w:tabs>
          <w:tab w:leader="none" w:pos="1953"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Documentary Deliveries. </w:t>
      </w:r>
      <w:r>
        <w:rPr>
          <w:rFonts w:ascii="Times New Roman" w:cs="Times New Roman" w:eastAsia="Times New Roman" w:hAnsi="Times New Roman"/>
          <w:sz w:val="22"/>
          <w:szCs w:val="22"/>
          <w:color w:val="auto"/>
        </w:rPr>
        <w:t>The Administrative Agent shall have received the following documents, each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shall be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181" w:name="page182"/>
    <w:bookmarkEnd w:id="181"/>
    <w:p>
      <w:pPr>
        <w:ind w:left="1460" w:hanging="628"/>
        <w:spacing w:after="0"/>
        <w:tabs>
          <w:tab w:leader="none" w:pos="14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Agreement. </w:t>
      </w:r>
      <w:r>
        <w:rPr>
          <w:rFonts w:ascii="Times New Roman" w:cs="Times New Roman" w:eastAsia="Times New Roman" w:hAnsi="Times New Roman"/>
          <w:sz w:val="22"/>
          <w:szCs w:val="22"/>
          <w:color w:val="auto"/>
        </w:rPr>
        <w:t>This Agreement duly executed and delivered by the Obligors and each of the other</w:t>
      </w:r>
    </w:p>
    <w:p>
      <w:pPr>
        <w:ind w:left="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 hereto.</w:t>
      </w:r>
    </w:p>
    <w:p>
      <w:pPr>
        <w:spacing w:after="0" w:line="151"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Security Documents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840" w:firstLine="640"/>
        <w:spacing w:after="0" w:line="220" w:lineRule="auto"/>
        <w:tabs>
          <w:tab w:leader="none" w:pos="2125"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including, without limitation, the Security Agreement, each Short-Form IP Security Agreement, and financing statements, each in form and substance reasonably satisfactory to the Administrative Agent and duly executed and delivered by each of the Obligors and the other parties thereto.</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Questionnaire, duly executed and delivered by a Responsible Officer of the Borrower, substantially in the form of Exhibit I hereto and otherwise in form and substance reasonably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17" w:lineRule="auto"/>
        <w:tabs>
          <w:tab w:leader="none" w:pos="212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limitation, all other documents and instruments reasonably required to perfect the Administrative Agent’s Lien on, and security interest in, the Collateral required to be delivered on or prior to the Closing Date shall have been duly executed and delivered and be in proper form for filing, and shall create in favor of the Administrative Agent, a perfected Lien on, and security interest in, the Collateral, subject to no Liens other than Permitted Liens.</w:t>
      </w:r>
    </w:p>
    <w:p>
      <w:pPr>
        <w:spacing w:after="0" w:line="148"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Notes. </w:t>
      </w:r>
      <w:r>
        <w:rPr>
          <w:rFonts w:ascii="Times New Roman" w:cs="Times New Roman" w:eastAsia="Times New Roman" w:hAnsi="Times New Roman"/>
          <w:sz w:val="22"/>
          <w:szCs w:val="22"/>
          <w:color w:val="auto"/>
        </w:rPr>
        <w:t>Any Notes requested in accordance with Section 2.04.</w:t>
      </w:r>
    </w:p>
    <w:p>
      <w:pPr>
        <w:spacing w:after="0" w:line="179" w:lineRule="exact"/>
        <w:rPr>
          <w:rFonts w:ascii="Times New Roman" w:cs="Times New Roman" w:eastAsia="Times New Roman" w:hAnsi="Times New Roman"/>
          <w:sz w:val="22"/>
          <w:szCs w:val="22"/>
          <w:color w:val="auto"/>
        </w:rPr>
      </w:pPr>
    </w:p>
    <w:p>
      <w:pPr>
        <w:ind w:left="180" w:firstLine="652"/>
        <w:spacing w:after="0" w:line="238" w:lineRule="auto"/>
        <w:tabs>
          <w:tab w:leader="none" w:pos="14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Letter Agreement</w:t>
      </w:r>
      <w:r>
        <w:rPr>
          <w:rFonts w:ascii="Times New Roman" w:cs="Times New Roman" w:eastAsia="Times New Roman" w:hAnsi="Times New Roman"/>
          <w:sz w:val="22"/>
          <w:szCs w:val="22"/>
          <w:color w:val="auto"/>
        </w:rPr>
        <w:t>. The Letter Agreement duly executed and delivered by the Borrower,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Administrative Agent.</w:t>
      </w:r>
    </w:p>
    <w:p>
      <w:pPr>
        <w:spacing w:after="0" w:line="146"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7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Approvals. </w:t>
      </w:r>
      <w:r>
        <w:rPr>
          <w:rFonts w:ascii="Times New Roman" w:cs="Times New Roman" w:eastAsia="Times New Roman" w:hAnsi="Times New Roman"/>
          <w:sz w:val="22"/>
          <w:szCs w:val="22"/>
          <w:color w:val="auto"/>
        </w:rPr>
        <w:t>The Borrower shall have obtained all material third-party consents and approvals,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necessary in connection with the execution, delivery and performance by the Obligors of the Loan Documents and the Transactions.</w:t>
      </w:r>
    </w:p>
    <w:p>
      <w:pPr>
        <w:spacing w:after="0" w:line="146"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Organizational Documents. </w:t>
      </w:r>
      <w:r>
        <w:rPr>
          <w:rFonts w:ascii="Times New Roman" w:cs="Times New Roman" w:eastAsia="Times New Roman" w:hAnsi="Times New Roman"/>
          <w:sz w:val="22"/>
          <w:szCs w:val="22"/>
          <w:color w:val="auto"/>
        </w:rPr>
        <w:t>(A) Certified copies of the Organizational Documents (as amended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restated to the reasonable satisfaction of the Administrative Agent, if required by the Administrative Agent in connection with the Liens created pursuant to the Security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and (B) a good standing certificate and/or compliance certificate from the applicable Governmental Authority of each Obligor’s jurisdiction of incorporation and in each jurisdiction in which it is qualified as a foreign corporation or other entity to do business, each dated a recent date prior to the Closing Date.</w:t>
      </w:r>
    </w:p>
    <w:p>
      <w:pPr>
        <w:spacing w:after="0" w:line="148"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7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Incumbency Certificate. </w:t>
      </w:r>
      <w:r>
        <w:rPr>
          <w:rFonts w:ascii="Times New Roman" w:cs="Times New Roman" w:eastAsia="Times New Roman" w:hAnsi="Times New Roman"/>
          <w:sz w:val="22"/>
          <w:szCs w:val="22"/>
          <w:color w:val="auto"/>
        </w:rPr>
        <w:t>A certificate of each Obligor as to the authority, incumbency and specimen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signatures of the persons who have executed the Loan Documents and any other documents in connection herewith on behalf of the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120"/>
          </w:cols>
          <w:pgMar w:left="1440" w:top="1382" w:right="339" w:bottom="1440" w:gutter="0" w:footer="0" w:header="0"/>
        </w:sectPr>
      </w:pPr>
    </w:p>
    <w:bookmarkStart w:id="182" w:name="page183"/>
    <w:bookmarkEnd w:id="182"/>
    <w:p>
      <w:pPr>
        <w:jc w:val="both"/>
        <w:ind w:left="180" w:firstLine="652"/>
        <w:spacing w:after="0" w:line="227" w:lineRule="auto"/>
        <w:tabs>
          <w:tab w:leader="none" w:pos="147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in form and substance reasonably satisfactory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Administrative Agent, dated as of the Closing Date and signed by a Responsible Officer of each Obligor, confirming compliance with the conditions set forth in this Section 6.01.</w:t>
      </w:r>
    </w:p>
    <w:p>
      <w:pPr>
        <w:spacing w:after="0" w:line="146"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6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Opinion of Counsel. </w:t>
      </w:r>
      <w:r>
        <w:rPr>
          <w:rFonts w:ascii="Times New Roman" w:cs="Times New Roman" w:eastAsia="Times New Roman" w:hAnsi="Times New Roman"/>
          <w:sz w:val="22"/>
          <w:szCs w:val="22"/>
          <w:color w:val="auto"/>
        </w:rPr>
        <w:t>A customary opinion, dated as of the Closing Date, of Mintz, Levin, Cohn,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Ferris, Glovsky and Popeo, P.C., counsel to each Obligor in form reasonably acceptable to the Administrative Agent and its counsel.</w:t>
      </w:r>
    </w:p>
    <w:p>
      <w:pPr>
        <w:spacing w:after="0" w:line="146"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7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Evidence of Insurance. </w:t>
      </w:r>
      <w:r>
        <w:rPr>
          <w:rFonts w:ascii="Times New Roman" w:cs="Times New Roman" w:eastAsia="Times New Roman" w:hAnsi="Times New Roman"/>
          <w:sz w:val="22"/>
          <w:szCs w:val="22"/>
          <w:color w:val="auto"/>
        </w:rPr>
        <w:t>Certificates from each Obligor’s insurance broker or other evidence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satisfactory to the Administrative Agent that all insurance required to be maintained pursuant to Section 8.05 is in full force and effect.</w:t>
      </w:r>
    </w:p>
    <w:p>
      <w:pPr>
        <w:spacing w:after="0" w:line="146" w:lineRule="exact"/>
        <w:rPr>
          <w:rFonts w:ascii="Times New Roman" w:cs="Times New Roman" w:eastAsia="Times New Roman" w:hAnsi="Times New Roman"/>
          <w:sz w:val="22"/>
          <w:szCs w:val="22"/>
          <w:color w:val="auto"/>
        </w:rPr>
      </w:pPr>
    </w:p>
    <w:p>
      <w:pPr>
        <w:jc w:val="both"/>
        <w:ind w:left="180" w:firstLine="652"/>
        <w:spacing w:after="0" w:line="227" w:lineRule="auto"/>
        <w:tabs>
          <w:tab w:leader="none" w:pos="146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accordance with Section 2.01(a)(ii) duly executed and delivered by a Responsible Officer of the Borrower, in form and substance reasonably satisfactory to the Administrative Agent.</w:t>
      </w:r>
    </w:p>
    <w:p>
      <w:pPr>
        <w:spacing w:after="0" w:line="146" w:lineRule="exact"/>
        <w:rPr>
          <w:rFonts w:ascii="Times New Roman" w:cs="Times New Roman" w:eastAsia="Times New Roman" w:hAnsi="Times New Roman"/>
          <w:sz w:val="22"/>
          <w:szCs w:val="22"/>
          <w:color w:val="auto"/>
        </w:rPr>
      </w:pPr>
    </w:p>
    <w:p>
      <w:pPr>
        <w:ind w:left="180" w:firstLine="652"/>
        <w:spacing w:after="0" w:line="238" w:lineRule="auto"/>
        <w:tabs>
          <w:tab w:leader="none" w:pos="147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Warrant Certificate</w:t>
      </w:r>
      <w:r>
        <w:rPr>
          <w:rFonts w:ascii="Times New Roman" w:cs="Times New Roman" w:eastAsia="Times New Roman" w:hAnsi="Times New Roman"/>
          <w:sz w:val="22"/>
          <w:szCs w:val="22"/>
          <w:color w:val="auto"/>
        </w:rPr>
        <w:t>. The Administrative Agent shall have received the executed Warrant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Certificate, dated as of the Closing Date.</w:t>
      </w:r>
    </w:p>
    <w:p>
      <w:pPr>
        <w:spacing w:after="0" w:line="146" w:lineRule="exact"/>
        <w:rPr>
          <w:rFonts w:ascii="Times New Roman" w:cs="Times New Roman" w:eastAsia="Times New Roman" w:hAnsi="Times New Roman"/>
          <w:sz w:val="22"/>
          <w:szCs w:val="22"/>
          <w:color w:val="auto"/>
        </w:rPr>
      </w:pPr>
    </w:p>
    <w:p>
      <w:pPr>
        <w:jc w:val="both"/>
        <w:ind w:left="-460" w:firstLine="644"/>
        <w:spacing w:after="0" w:line="232" w:lineRule="auto"/>
        <w:tabs>
          <w:tab w:leader="none" w:pos="8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Due Diligence. </w:t>
      </w:r>
      <w:r>
        <w:rPr>
          <w:rFonts w:ascii="Times New Roman" w:cs="Times New Roman" w:eastAsia="Times New Roman" w:hAnsi="Times New Roman"/>
          <w:sz w:val="21"/>
          <w:szCs w:val="21"/>
          <w:color w:val="auto"/>
        </w:rPr>
        <w:t>The Administrative Agent shall have received and be reasonably satisfied with all due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diligence regarding the Obligors (including without limitation historical financial statements, Projections, technical, operational, legal, Intellectual Property, commercial market forecasts, clinical and regulatory assessments, supply chain, securities, labor, Tax, litigation, environmental, reimbursement and regulatory authority matters) in its sole discretion.</w:t>
      </w:r>
    </w:p>
    <w:p>
      <w:pPr>
        <w:spacing w:after="0" w:line="146" w:lineRule="exact"/>
        <w:rPr>
          <w:rFonts w:ascii="Times New Roman" w:cs="Times New Roman" w:eastAsia="Times New Roman" w:hAnsi="Times New Roman"/>
          <w:sz w:val="21"/>
          <w:szCs w:val="21"/>
          <w:color w:val="auto"/>
        </w:rPr>
      </w:pPr>
    </w:p>
    <w:p>
      <w:pPr>
        <w:jc w:val="both"/>
        <w:ind w:left="-460" w:firstLine="644"/>
        <w:spacing w:after="0" w:line="226" w:lineRule="auto"/>
        <w:tabs>
          <w:tab w:leader="none" w:pos="83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Indebtedness. </w:t>
      </w:r>
      <w:r>
        <w:rPr>
          <w:rFonts w:ascii="Times New Roman" w:cs="Times New Roman" w:eastAsia="Times New Roman" w:hAnsi="Times New Roman"/>
          <w:sz w:val="21"/>
          <w:szCs w:val="21"/>
          <w:color w:val="auto"/>
        </w:rPr>
        <w:t>As of the Closing Date, after giving effect to the Transactions, no Obligor shall have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Indebtedness other than the Obligations and any Indebtedness specified on Schedule 9.01(b). All commitments and obligations in respect of the Existing Credit Documents shall be terminated (other than unasserted contingent liabilities),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spacing w:after="0" w:line="147" w:lineRule="exact"/>
        <w:rPr>
          <w:rFonts w:ascii="Times New Roman" w:cs="Times New Roman" w:eastAsia="Times New Roman" w:hAnsi="Times New Roman"/>
          <w:sz w:val="21"/>
          <w:szCs w:val="21"/>
          <w:color w:val="auto"/>
        </w:rPr>
      </w:pPr>
    </w:p>
    <w:p>
      <w:pPr>
        <w:jc w:val="both"/>
        <w:ind w:left="-460" w:firstLine="644"/>
        <w:spacing w:after="0" w:line="221" w:lineRule="auto"/>
        <w:tabs>
          <w:tab w:leader="none" w:pos="8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Closing Fees, Expenses, Etc. </w:t>
      </w:r>
      <w:r>
        <w:rPr>
          <w:rFonts w:ascii="Times New Roman" w:cs="Times New Roman" w:eastAsia="Times New Roman" w:hAnsi="Times New Roman"/>
          <w:sz w:val="22"/>
          <w:szCs w:val="22"/>
          <w:color w:val="auto"/>
        </w:rPr>
        <w:t>The Lenders and their Affiliates shall have received for their own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Closing Fee and all fees, costs and expenses due and payable pursuant to Section 13.03 after deducting therefrom the Expense Deposit (which Closing Fee and such fees, costs and expenses may be paid out of the proceeds of the Tranche A Term Loan advanced by the Lenders on the Closing Date).</w:t>
      </w:r>
    </w:p>
    <w:p>
      <w:pPr>
        <w:spacing w:after="0" w:line="148" w:lineRule="exact"/>
        <w:rPr>
          <w:rFonts w:ascii="Times New Roman" w:cs="Times New Roman" w:eastAsia="Times New Roman" w:hAnsi="Times New Roman"/>
          <w:sz w:val="22"/>
          <w:szCs w:val="22"/>
          <w:color w:val="auto"/>
        </w:rPr>
      </w:pPr>
    </w:p>
    <w:p>
      <w:pPr>
        <w:jc w:val="both"/>
        <w:ind w:left="-460" w:firstLine="644"/>
        <w:spacing w:after="0" w:line="216" w:lineRule="auto"/>
        <w:tabs>
          <w:tab w:leader="none" w:pos="82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120"/>
          </w:cols>
          <w:pgMar w:left="1440" w:top="1391" w:right="339" w:bottom="1440" w:gutter="0" w:footer="0" w:header="0"/>
        </w:sectPr>
      </w:pPr>
    </w:p>
    <w:bookmarkStart w:id="183" w:name="page184"/>
    <w:bookmarkEnd w:id="183"/>
    <w:p>
      <w:pPr>
        <w:ind w:left="1940" w:hanging="636"/>
        <w:spacing w:after="0"/>
        <w:tabs>
          <w:tab w:leader="none" w:pos="1940"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Material Adverse Change</w:t>
      </w:r>
      <w:r>
        <w:rPr>
          <w:rFonts w:ascii="Times New Roman" w:cs="Times New Roman" w:eastAsia="Times New Roman" w:hAnsi="Times New Roman"/>
          <w:sz w:val="21"/>
          <w:szCs w:val="21"/>
          <w:color w:val="auto"/>
        </w:rPr>
        <w:t>. No Material Adverse Change shall have occurred since December 31, 2023.</w:t>
      </w:r>
    </w:p>
    <w:p>
      <w:pPr>
        <w:spacing w:after="0" w:line="190" w:lineRule="exact"/>
        <w:rPr>
          <w:rFonts w:ascii="Times New Roman" w:cs="Times New Roman" w:eastAsia="Times New Roman" w:hAnsi="Times New Roman"/>
          <w:sz w:val="21"/>
          <w:szCs w:val="21"/>
          <w:color w:val="auto"/>
        </w:rPr>
      </w:pPr>
    </w:p>
    <w:p>
      <w:pPr>
        <w:ind w:left="660" w:firstLine="644"/>
        <w:spacing w:after="0" w:line="238" w:lineRule="auto"/>
        <w:tabs>
          <w:tab w:leader="none" w:pos="19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 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in writing with prior notice to the Borrower.</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6.02. Conditions to Tranche B Term Loan; Tranche B Term Loan Borrowing Date. </w:t>
      </w:r>
      <w:r>
        <w:rPr>
          <w:rFonts w:ascii="Times New Roman" w:cs="Times New Roman" w:eastAsia="Times New Roman" w:hAnsi="Times New Roman"/>
          <w:sz w:val="22"/>
          <w:szCs w:val="22"/>
          <w:color w:val="auto"/>
        </w:rPr>
        <w:t>The obligation of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 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w:t>
      </w:r>
    </w:p>
    <w:p>
      <w:pPr>
        <w:spacing w:after="0" w:line="148" w:lineRule="exact"/>
        <w:rPr>
          <w:sz w:val="20"/>
          <w:szCs w:val="20"/>
          <w:color w:val="auto"/>
        </w:rPr>
      </w:pPr>
    </w:p>
    <w:p>
      <w:pPr>
        <w:ind w:left="660" w:firstLine="644"/>
        <w:spacing w:after="0" w:line="238" w:lineRule="auto"/>
        <w:tabs>
          <w:tab w:leader="none" w:pos="195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B Term Loan Commitment Termination Date</w:t>
      </w:r>
      <w:r>
        <w:rPr>
          <w:rFonts w:ascii="Times New Roman" w:cs="Times New Roman" w:eastAsia="Times New Roman" w:hAnsi="Times New Roman"/>
          <w:sz w:val="22"/>
          <w:szCs w:val="22"/>
          <w:color w:val="auto"/>
        </w:rPr>
        <w:t>. The Tranche B Term Loan Commitment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Date shall not have occurred.</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a Borrowing Notice in accordance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2.01(b)(ii) requesting the Borrowing of the Tranche B Term Loan duly executed by a Responsible Officer of the Borrower and the Borrower’s updated Schedules to this Agreement (if any), in form and substance reasonably satisfactory to the Administrative Agent.</w:t>
      </w:r>
    </w:p>
    <w:p>
      <w:pPr>
        <w:spacing w:after="0" w:line="148" w:lineRule="exact"/>
        <w:rPr>
          <w:rFonts w:ascii="Times New Roman" w:cs="Times New Roman" w:eastAsia="Times New Roman" w:hAnsi="Times New Roman"/>
          <w:sz w:val="22"/>
          <w:szCs w:val="22"/>
          <w:color w:val="auto"/>
        </w:rPr>
      </w:pPr>
    </w:p>
    <w:p>
      <w:pPr>
        <w:jc w:val="both"/>
        <w:ind w:left="660" w:right="20" w:firstLine="644"/>
        <w:spacing w:after="0" w:line="216" w:lineRule="auto"/>
        <w:tabs>
          <w:tab w:leader="none" w:pos="195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B Term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45"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46" w:lineRule="exact"/>
        <w:rPr>
          <w:rFonts w:ascii="Times New Roman" w:cs="Times New Roman" w:eastAsia="Times New Roman" w:hAnsi="Times New Roman"/>
          <w:sz w:val="22"/>
          <w:szCs w:val="22"/>
          <w:color w:val="auto"/>
        </w:rPr>
      </w:pPr>
    </w:p>
    <w:p>
      <w:pPr>
        <w:ind w:left="660" w:right="20" w:firstLine="644"/>
        <w:spacing w:after="0" w:line="238" w:lineRule="auto"/>
        <w:tabs>
          <w:tab w:leader="none" w:pos="195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B Borrowing Date and signed by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Borrower, confirming compliance with the conditions set forth in this Section 6.02.</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Milestone. </w:t>
      </w:r>
      <w:r>
        <w:rPr>
          <w:rFonts w:ascii="Times New Roman" w:cs="Times New Roman" w:eastAsia="Times New Roman" w:hAnsi="Times New Roman"/>
          <w:sz w:val="22"/>
          <w:szCs w:val="22"/>
          <w:color w:val="auto"/>
        </w:rPr>
        <w:t>The Borrower shall have delivered to the Administrative Agent evidence reasonably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satisfactory to the Administrative Agent that the Borrower has achieved Net Revenue of at least [***] for any twelve (12) consecutive month period prior to the Tranche B Borrowing Date.</w:t>
      </w:r>
    </w:p>
    <w:p>
      <w:pPr>
        <w:spacing w:after="0" w:line="146" w:lineRule="exact"/>
        <w:rPr>
          <w:rFonts w:ascii="Times New Roman" w:cs="Times New Roman" w:eastAsia="Times New Roman" w:hAnsi="Times New Roman"/>
          <w:sz w:val="22"/>
          <w:szCs w:val="22"/>
          <w:color w:val="auto"/>
        </w:rPr>
      </w:pPr>
    </w:p>
    <w:p>
      <w:pPr>
        <w:jc w:val="both"/>
        <w:ind w:left="660" w:right="20" w:firstLine="644"/>
        <w:spacing w:after="0" w:line="227" w:lineRule="auto"/>
        <w:tabs>
          <w:tab w:leader="none" w:pos="19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Etc. </w:t>
      </w:r>
      <w:r>
        <w:rPr>
          <w:rFonts w:ascii="Times New Roman" w:cs="Times New Roman" w:eastAsia="Times New Roman" w:hAnsi="Times New Roman"/>
          <w:sz w:val="22"/>
          <w:szCs w:val="22"/>
          <w:color w:val="auto"/>
        </w:rPr>
        <w:t>The Lenders and their Affiliates shall have received for their own account, all fees, costs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expenses due and payable pursuant to Section 13.03 (which may be paid out of the proceeds of the Tranche B Term Loan advanced by the Lenders on the Tranche B Term Loan Borrowing Date).</w:t>
      </w:r>
    </w:p>
    <w:p>
      <w:pPr>
        <w:spacing w:after="0" w:line="146"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Miscellaneous. </w:t>
      </w:r>
      <w:r>
        <w:rPr>
          <w:rFonts w:ascii="Times New Roman" w:cs="Times New Roman" w:eastAsia="Times New Roman" w:hAnsi="Times New Roman"/>
          <w:sz w:val="22"/>
          <w:szCs w:val="22"/>
          <w:color w:val="auto"/>
        </w:rPr>
        <w:t>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1"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22"/>
          <w:szCs w:val="22"/>
          <w:color w:val="auto"/>
        </w:rPr>
        <w:t>Administrative Agent or such Lender shall have reasonably requested in writing with prior notice to the Borrower.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6.03.  [Reserved]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6.04. Conditions to Tranche D Term Loan; Tranche D Term Loan Borrowing Date. </w:t>
      </w:r>
      <w:r>
        <w:rPr>
          <w:rFonts w:ascii="Times New Roman" w:cs="Times New Roman" w:eastAsia="Times New Roman" w:hAnsi="Times New Roman"/>
          <w:sz w:val="22"/>
          <w:szCs w:val="22"/>
          <w:color w:val="auto"/>
        </w:rPr>
        <w:t>The Tranche D Term Loan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not be advanced until the following conditions precedent shall have been reasonably satisfied or waived in writing by the Lenders (which satisfaction or waiver may be made simultaneously with the making of the Tranche D Term Loan hereunder):</w:t>
      </w:r>
    </w:p>
    <w:p>
      <w:pPr>
        <w:spacing w:after="0" w:line="137" w:lineRule="exact"/>
        <w:rPr>
          <w:sz w:val="20"/>
          <w:szCs w:val="20"/>
          <w:color w:val="auto"/>
        </w:rPr>
      </w:pPr>
    </w:p>
    <w:p>
      <w:pPr>
        <w:ind w:left="1940" w:hanging="636"/>
        <w:spacing w:after="0"/>
        <w:tabs>
          <w:tab w:leader="none" w:pos="19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Tranche D Term Loan Expiration Date</w:t>
      </w:r>
      <w:r>
        <w:rPr>
          <w:rFonts w:ascii="Times New Roman" w:cs="Times New Roman" w:eastAsia="Times New Roman" w:hAnsi="Times New Roman"/>
          <w:sz w:val="22"/>
          <w:szCs w:val="22"/>
          <w:color w:val="auto"/>
        </w:rPr>
        <w:t>. The Tranche D Term Loan Expiration Date shall not have</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occurred.</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Borrowing Notice. </w:t>
      </w:r>
      <w:r>
        <w:rPr>
          <w:rFonts w:ascii="Times New Roman" w:cs="Times New Roman" w:eastAsia="Times New Roman" w:hAnsi="Times New Roman"/>
          <w:sz w:val="22"/>
          <w:szCs w:val="22"/>
          <w:color w:val="auto"/>
        </w:rPr>
        <w:t>The Administrative Agent shall have received the Tranche D Term Loan Borrowing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Request in accordance with Section 2.01(d)(ii) requesting the Borrowing of the Tranche D Term Loan duly executed by a Responsible Officer of the Borrower and the Borrower’s updated Schedules to this Agreement (if any), in form and substance reasonably satisfactory to the Administrative Agent.</w:t>
      </w:r>
    </w:p>
    <w:p>
      <w:pPr>
        <w:spacing w:after="0" w:line="148" w:lineRule="exact"/>
        <w:rPr>
          <w:rFonts w:ascii="Times New Roman" w:cs="Times New Roman" w:eastAsia="Times New Roman" w:hAnsi="Times New Roman"/>
          <w:sz w:val="22"/>
          <w:szCs w:val="22"/>
          <w:color w:val="auto"/>
        </w:rPr>
      </w:pPr>
    </w:p>
    <w:p>
      <w:pPr>
        <w:jc w:val="both"/>
        <w:ind w:left="660" w:right="20" w:firstLine="644"/>
        <w:spacing w:after="0" w:line="216" w:lineRule="auto"/>
        <w:tabs>
          <w:tab w:leader="none" w:pos="19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representations and warranties of the Obligors contained in Article 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or any other Loan Document shall be true and correct in all material respects on and as of the Tranche D Term Loan Borrowing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any representation and warranty that is qualified as to “materiality”, “Material Adverse Effect” or similar language shall be true and correct (after giving effect to any qualification therein) in all respects.</w:t>
      </w:r>
    </w:p>
    <w:p>
      <w:pPr>
        <w:spacing w:after="0" w:line="145" w:lineRule="exact"/>
        <w:rPr>
          <w:rFonts w:ascii="Times New Roman" w:cs="Times New Roman" w:eastAsia="Times New Roman" w:hAnsi="Times New Roman"/>
          <w:sz w:val="22"/>
          <w:szCs w:val="22"/>
          <w:color w:val="auto"/>
        </w:rPr>
      </w:pPr>
    </w:p>
    <w:p>
      <w:pPr>
        <w:ind w:left="660" w:firstLine="644"/>
        <w:spacing w:after="0" w:line="238"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Default</w:t>
      </w:r>
      <w:r>
        <w:rPr>
          <w:rFonts w:ascii="Times New Roman" w:cs="Times New Roman" w:eastAsia="Times New Roman" w:hAnsi="Times New Roman"/>
          <w:sz w:val="22"/>
          <w:szCs w:val="22"/>
          <w:color w:val="auto"/>
        </w:rPr>
        <w:t>. No Default or Event of Default shall exist, or would result from such proposed Borrowing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from the application of the proceeds therefrom.</w:t>
      </w:r>
    </w:p>
    <w:p>
      <w:pPr>
        <w:spacing w:after="0" w:line="146" w:lineRule="exact"/>
        <w:rPr>
          <w:rFonts w:ascii="Times New Roman" w:cs="Times New Roman" w:eastAsia="Times New Roman" w:hAnsi="Times New Roman"/>
          <w:sz w:val="22"/>
          <w:szCs w:val="22"/>
          <w:color w:val="auto"/>
        </w:rPr>
      </w:pPr>
    </w:p>
    <w:p>
      <w:pPr>
        <w:ind w:left="660" w:right="20" w:firstLine="644"/>
        <w:spacing w:after="0" w:line="238" w:lineRule="auto"/>
        <w:tabs>
          <w:tab w:leader="none" w:pos="195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Officer’s Certificate. </w:t>
      </w:r>
      <w:r>
        <w:rPr>
          <w:rFonts w:ascii="Times New Roman" w:cs="Times New Roman" w:eastAsia="Times New Roman" w:hAnsi="Times New Roman"/>
          <w:sz w:val="22"/>
          <w:szCs w:val="22"/>
          <w:color w:val="auto"/>
        </w:rPr>
        <w:t>A certificate, dated as of the Tranche D Borrowing Date and signed by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of the Borrower, confirming compliance with the conditions set forth in this Section 6.04.</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Etc. </w:t>
      </w:r>
      <w:r>
        <w:rPr>
          <w:rFonts w:ascii="Times New Roman" w:cs="Times New Roman" w:eastAsia="Times New Roman" w:hAnsi="Times New Roman"/>
          <w:sz w:val="22"/>
          <w:szCs w:val="22"/>
          <w:color w:val="auto"/>
        </w:rPr>
        <w:t>The Lenders and their Affiliates shall have received for their own account, all fees, costs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expenses due and payable pursuant to Section 13.03 (which may be paid out of the proceeds of the Tranche D Term Loan advanced by the Lenders on the Tranche D Term Loan Borrowing Date).</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Miscellaneous. </w:t>
      </w:r>
      <w:r>
        <w:rPr>
          <w:rFonts w:ascii="Times New Roman" w:cs="Times New Roman" w:eastAsia="Times New Roman" w:hAnsi="Times New Roman"/>
          <w:sz w:val="22"/>
          <w:szCs w:val="22"/>
          <w:color w:val="auto"/>
        </w:rPr>
        <w:t>The Administrative Agent and each Lender shall have received such other opinions,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instruments, certificates and documents as the Administrative Agent or such Lender shall have reasonably requested in writing with prior notice to the Borrower.</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borrowing of the Term Loans shall constitute a certification by the Borrower to the effect that the conditions set forth in Sections 6.01, 6.02 and 6.04 as applicable, have been fulfilled as of the Closing Date, the Tranche B Term Loan Borrowing Date, or the Tranche D Term Loan Borrowing Date, as applicable.</w:t>
      </w:r>
    </w:p>
    <w:p>
      <w:pPr>
        <w:spacing w:after="0" w:line="1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395" w:right="339" w:bottom="1440" w:gutter="0" w:footer="0" w:header="0"/>
        </w:sectPr>
      </w:pPr>
    </w:p>
    <w:bookmarkStart w:id="185" w:name="page186"/>
    <w:bookmarkEnd w:id="185"/>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In order to induce the Lenders to enter into this Agreement and to extend the Term Loans hereunder, each Obligor represents and warrants to the Lenders and the Administrative Agent, on the Closing Date, on the Tranche B Term Loan Borrowing Date and on the Tranche D Term Loan Borrowing Date as applicable, that the following statements are true and correct:</w:t>
      </w:r>
    </w:p>
    <w:p>
      <w:pPr>
        <w:spacing w:after="0" w:line="14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i w:val="1"/>
          <w:iCs w:val="1"/>
          <w:color w:val="auto"/>
        </w:rPr>
        <w:t xml:space="preserve">Section 7.01. Power and Authority. </w:t>
      </w:r>
      <w:r>
        <w:rPr>
          <w:rFonts w:ascii="Times New Roman" w:cs="Times New Roman" w:eastAsia="Times New Roman" w:hAnsi="Times New Roman"/>
          <w:sz w:val="22"/>
          <w:szCs w:val="22"/>
          <w:color w:val="auto"/>
        </w:rPr>
        <w:t>Each Obligor and each of its Subsidiaries (a) is duly organized, validly existing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good standing under the Laws of its jurisdiction of organization, (b) has all requisite corporate (or equivalent) power, and has all material governmental licenses, authorizations, consents and approvals necessary to own its assets and carry on its business as now being or as proposed to be conducted except to the extent that failure to have the same would not reasonably be expected to have a Material Adverse Effect, (c) 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each of the Loan Documents to which it is a party and, in the case of the Borrower, to borrow the Term Loans hereunder.</w:t>
      </w:r>
    </w:p>
    <w:p>
      <w:pPr>
        <w:spacing w:after="0" w:line="14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 xml:space="preserve">Section 7.02. Authorization; Enforceability. </w:t>
      </w:r>
      <w:r>
        <w:rPr>
          <w:rFonts w:ascii="Times New Roman" w:cs="Times New Roman" w:eastAsia="Times New Roman" w:hAnsi="Times New Roman"/>
          <w:sz w:val="22"/>
          <w:szCs w:val="22"/>
          <w:color w:val="auto"/>
        </w:rPr>
        <w:t>The Transactions are within each Obligor’s corporate (or equivalent) powers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7.03. Governmental and Other Approvals; No Conflicts. </w:t>
      </w:r>
      <w:r>
        <w:rPr>
          <w:rFonts w:ascii="Times New Roman" w:cs="Times New Roman" w:eastAsia="Times New Roman" w:hAnsi="Times New Roman"/>
          <w:sz w:val="22"/>
          <w:szCs w:val="22"/>
          <w:color w:val="auto"/>
        </w:rPr>
        <w:t>The Transactions (a) do not require any consent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 of, registration or filing with, or any other action by, any Governmental Authority or any other Person, except for</w:t>
      </w:r>
    </w:p>
    <w:p>
      <w:pPr>
        <w:jc w:val="both"/>
        <w:ind w:firstLine="8"/>
        <w:spacing w:after="0" w:line="220" w:lineRule="auto"/>
        <w:tabs>
          <w:tab w:leader="none" w:pos="27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 have been obtained or made and are in full force and effect and (ii) filings and recordings in respect of perfecting or recording the Liens created pursuant to the Security Documents, (b) will not violate any applicable Requirement of Law of any Obligor or any applicable order of any Governmental Authority, in each case, other than any such violations that, individually or in the aggregate, would not reasonably be expected to have a Material Adverse Effect, (c) will not violate any applicable Organizational Documents of any Obligor, (d) will not violate in any material respect or result in a default under any Material Agreement, or give rise to a right thereunder to require any material payment to be made by any such Person, and (e) will not result in the creation or imposition of any Lien (other than Permitted Liens) on any asset of any Obligor or any of its Subsidiaries.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7.04.  Financial Statements; Projections; Material Adverse Change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8" w:lineRule="auto"/>
        <w:tabs>
          <w:tab w:leader="none" w:pos="195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Financial Statements. </w:t>
      </w:r>
      <w:r>
        <w:rPr>
          <w:rFonts w:ascii="Times New Roman" w:cs="Times New Roman" w:eastAsia="Times New Roman" w:hAnsi="Times New Roman"/>
          <w:sz w:val="22"/>
          <w:szCs w:val="22"/>
          <w:color w:val="auto"/>
        </w:rPr>
        <w:t>The Obligors have heretofore furnished to the Administrative Agent certain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as provided for in Section 8.01. Such financial statements present fairly, in all material respects, the financial position and results of operations and cash flows of the Obligors as of such dates and for such periods substantially in accordance with GAAP, subject to quarterly or year-end adjustments and the absence of footnotes. No Obligor has any material contingent liabilities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186" w:name="page187"/>
    <w:bookmarkEnd w:id="186"/>
    <w:p>
      <w:pPr>
        <w:ind w:right="20"/>
        <w:spacing w:after="0" w:line="236" w:lineRule="auto"/>
        <w:rPr>
          <w:sz w:val="20"/>
          <w:szCs w:val="20"/>
          <w:color w:val="auto"/>
        </w:rPr>
      </w:pPr>
      <w:r>
        <w:rPr>
          <w:rFonts w:ascii="Times New Roman" w:cs="Times New Roman" w:eastAsia="Times New Roman" w:hAnsi="Times New Roman"/>
          <w:sz w:val="22"/>
          <w:szCs w:val="22"/>
          <w:color w:val="auto"/>
        </w:rPr>
        <w:t>for taxes, long-term lease or unusual forward or long-term commitments not disclosed in the aforementioned financial statements.</w:t>
      </w:r>
    </w:p>
    <w:p>
      <w:pPr>
        <w:spacing w:after="0" w:line="146" w:lineRule="exact"/>
        <w:rPr>
          <w:sz w:val="20"/>
          <w:szCs w:val="20"/>
          <w:color w:val="auto"/>
        </w:rPr>
      </w:pPr>
    </w:p>
    <w:p>
      <w:pPr>
        <w:jc w:val="both"/>
        <w:ind w:firstLine="644"/>
        <w:spacing w:after="0" w:line="221" w:lineRule="auto"/>
        <w:tabs>
          <w:tab w:leader="none" w:pos="1291"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Projections. </w:t>
      </w:r>
      <w:r>
        <w:rPr>
          <w:rFonts w:ascii="Times New Roman" w:cs="Times New Roman" w:eastAsia="Times New Roman" w:hAnsi="Times New Roman"/>
          <w:sz w:val="22"/>
          <w:szCs w:val="22"/>
          <w:color w:val="auto"/>
        </w:rPr>
        <w:t>On and as of the Closing Date, the projections of the Obligors (collectively, the</w:t>
      </w:r>
      <w:r>
        <w:rPr>
          <w:rFonts w:ascii="Times New Roman" w:cs="Times New Roman" w:eastAsia="Times New Roman" w:hAnsi="Times New Roman"/>
          <w:sz w:val="22"/>
          <w:szCs w:val="22"/>
          <w:i w:val="1"/>
          <w:iCs w:val="1"/>
          <w:color w:val="auto"/>
        </w:rPr>
        <w:t xml:space="preserve"> “Projections”</w:t>
      </w:r>
      <w:r>
        <w:rPr>
          <w:rFonts w:ascii="Times New Roman" w:cs="Times New Roman" w:eastAsia="Times New Roman" w:hAnsi="Times New Roman"/>
          <w:sz w:val="22"/>
          <w:szCs w:val="22"/>
          <w:color w:val="auto"/>
        </w:rPr>
        <w:t>) are based on good faith estimates and assumptions made by the management of the Obligors;</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the Projections and all other forward looking information are not to be viewed as facts and that actual results during the period or periods covered by the Projections may differ from such Projections and that the differences may be material.</w:t>
      </w:r>
    </w:p>
    <w:p>
      <w:pPr>
        <w:spacing w:after="0" w:line="148" w:lineRule="exact"/>
        <w:rPr>
          <w:rFonts w:ascii="Times New Roman" w:cs="Times New Roman" w:eastAsia="Times New Roman" w:hAnsi="Times New Roman"/>
          <w:sz w:val="22"/>
          <w:szCs w:val="22"/>
          <w:color w:val="auto"/>
        </w:rPr>
      </w:pPr>
    </w:p>
    <w:p>
      <w:pPr>
        <w:ind w:firstLine="644"/>
        <w:spacing w:after="0" w:line="238"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Material Adverse Change. </w:t>
      </w:r>
      <w:r>
        <w:rPr>
          <w:rFonts w:ascii="Times New Roman" w:cs="Times New Roman" w:eastAsia="Times New Roman" w:hAnsi="Times New Roman"/>
          <w:sz w:val="22"/>
          <w:szCs w:val="22"/>
          <w:color w:val="auto"/>
        </w:rPr>
        <w:t>Since December 31, 2023 no event, circumstance or change has occurred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caused or evidences, either in individually or in the aggregate, a Material Adverse Change.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7.05.  Properties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4"/>
        <w:spacing w:after="0" w:line="221" w:lineRule="auto"/>
        <w:tabs>
          <w:tab w:leader="none" w:pos="129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Property Generally. </w:t>
      </w:r>
      <w:r>
        <w:rPr>
          <w:rFonts w:ascii="Times New Roman" w:cs="Times New Roman" w:eastAsia="Times New Roman" w:hAnsi="Times New Roman"/>
          <w:sz w:val="22"/>
          <w:szCs w:val="22"/>
          <w:color w:val="auto"/>
        </w:rPr>
        <w:t>Each Obligor and each of its Subsidiaries has good and marketable fee simple title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w:t>
      </w:r>
    </w:p>
    <w:p>
      <w:pPr>
        <w:spacing w:after="0" w:line="148"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640" w:firstLine="652"/>
        <w:spacing w:after="0" w:line="220" w:lineRule="auto"/>
        <w:tabs>
          <w:tab w:leader="none" w:pos="192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7.05(b) lists, with respect to each Obligor, all United States and foreign registrations of and applications for Patents, Trademarks, Copyrights, and Industrial Designs that are Obligor Intellectual Property, including the applicable jurisdiction, registration or application number and date, as applicable thereto, and a designation as to whether it is licensed or owned by an Obligor.</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20" w:lineRule="auto"/>
        <w:tabs>
          <w:tab w:leader="none" w:pos="193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 owns or possesses all legal and beneficial rights, title and interest in and to the Obligor Intellectual Property designated on Schedule 7.05(b) as being owned by such Obligor and (B) has the right to use the Obligor Intellectual Property licensed to such Obligor, in each case with good and marketable title, free and clear of any Liens or Claims of any kind, other than Permitted Liens.</w:t>
      </w:r>
    </w:p>
    <w:p>
      <w:pPr>
        <w:spacing w:after="0" w:line="152" w:lineRule="exact"/>
        <w:rPr>
          <w:rFonts w:ascii="Times New Roman" w:cs="Times New Roman" w:eastAsia="Times New Roman" w:hAnsi="Times New Roman"/>
          <w:sz w:val="22"/>
          <w:szCs w:val="22"/>
          <w:color w:val="auto"/>
        </w:rPr>
      </w:pPr>
    </w:p>
    <w:p>
      <w:pPr>
        <w:ind w:left="640" w:firstLine="652"/>
        <w:spacing w:after="0" w:line="236" w:lineRule="auto"/>
        <w:tabs>
          <w:tab w:leader="none" w:pos="193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the Obligor Intellectual Property does not violate any license or infringe any valid and enforceable Intellectual Property right of another Person in any material respect.</w:t>
      </w:r>
    </w:p>
    <w:p>
      <w:pPr>
        <w:spacing w:after="0" w:line="150"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2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the Material Agreements, or as permitted by this Agreement, the Obligors have not assigned or otherwise transferred ownership of, or agreed to assign or otherwise transfer ownership of, any Obligor Intellectual Property, in whole or in part, to any Person who is not an Obligor.</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20" w:lineRule="auto"/>
        <w:tabs>
          <w:tab w:leader="none" w:pos="193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set forth on Schedule 7.05(b), the Obligors have not received any written communications, nor is there any pending or, to each Obligor’s Knowledge, threatened action in writing, suit, proceeding or Claim in writing by another, alleging that any of the Obligors has violated, infringed, diluted or misappropriated any Intellectual Property of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0580"/>
          </w:cols>
          <w:pgMar w:left="980" w:top="1395" w:right="339" w:bottom="1440" w:gutter="0" w:footer="0" w:header="0"/>
        </w:sectPr>
      </w:pPr>
    </w:p>
    <w:bookmarkStart w:id="187" w:name="page188"/>
    <w:bookmarkEnd w:id="187"/>
    <w:p>
      <w:pPr>
        <w:jc w:val="both"/>
        <w:ind w:left="640" w:firstLine="652"/>
        <w:spacing w:after="0" w:line="226" w:lineRule="auto"/>
        <w:tabs>
          <w:tab w:leader="none" w:pos="192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no pending or, to any Obligor’s Knowledge, threatened action in writing, suit, proceeding or Claim in writing by another: (A) challenging an Obligor’s rights in or to any Obligor Intellectual Property; or</w:t>
      </w:r>
    </w:p>
    <w:p>
      <w:pPr>
        <w:spacing w:after="0" w:line="1" w:lineRule="exact"/>
        <w:rPr>
          <w:rFonts w:ascii="Times New Roman" w:cs="Times New Roman" w:eastAsia="Times New Roman" w:hAnsi="Times New Roman"/>
          <w:sz w:val="21"/>
          <w:szCs w:val="21"/>
          <w:color w:val="auto"/>
        </w:rPr>
      </w:pPr>
    </w:p>
    <w:p>
      <w:pPr>
        <w:ind w:left="980" w:hanging="336"/>
        <w:spacing w:after="0"/>
        <w:tabs>
          <w:tab w:leader="none" w:pos="9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challenging the validity, enforceability or scope of any Obligor Intellectual Property.</w:t>
      </w:r>
    </w:p>
    <w:p>
      <w:pPr>
        <w:spacing w:after="0" w:line="155" w:lineRule="exact"/>
        <w:rPr>
          <w:rFonts w:ascii="Times New Roman" w:cs="Times New Roman" w:eastAsia="Times New Roman" w:hAnsi="Times New Roman"/>
          <w:sz w:val="22"/>
          <w:szCs w:val="22"/>
          <w:color w:val="auto"/>
        </w:rPr>
      </w:pPr>
    </w:p>
    <w:p>
      <w:pPr>
        <w:jc w:val="both"/>
        <w:ind w:left="640" w:firstLine="652"/>
        <w:spacing w:after="0" w:line="236" w:lineRule="auto"/>
        <w:tabs>
          <w:tab w:leader="none" w:pos="193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Obligor has taken commercially reasonable precautions to protect the secrecy, confidentiality and value of the Obligor Intellectual Property (including without limitation, by requiring that all relevant current and former employees of the Obligors execute written confidentiality and Invention assignment Contracts).</w:t>
      </w:r>
    </w:p>
    <w:p>
      <w:pPr>
        <w:spacing w:after="0" w:line="151" w:lineRule="exact"/>
        <w:rPr>
          <w:rFonts w:ascii="Times New Roman" w:cs="Times New Roman" w:eastAsia="Times New Roman" w:hAnsi="Times New Roman"/>
          <w:sz w:val="21"/>
          <w:szCs w:val="21"/>
          <w:color w:val="auto"/>
        </w:rPr>
      </w:pPr>
    </w:p>
    <w:p>
      <w:pPr>
        <w:jc w:val="both"/>
        <w:ind w:left="640" w:firstLine="652"/>
        <w:spacing w:after="0" w:line="225" w:lineRule="auto"/>
        <w:tabs>
          <w:tab w:leader="none" w:pos="193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complied with the terms of each Material Agreement pursuant to which Intellectual Property has been licensed to the Obligors (which material terms shall include, but not be limited to, pricing and duration of the agreement).</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15" w:lineRule="auto"/>
        <w:tabs>
          <w:tab w:leader="none" w:pos="192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maintenance fees, annuities, and the like due or payable on the Patents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have been validly executed, delivered and filed in a timely manner with the United States Patent and Trademark Office or the United States Copyright Office, as applicable.</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31"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(A) there are no material defects in any of the Patents and (B) no such Patents have ever been finally adjudicated to be invalid, unpatentable or unenforceable for any reason in any administrative, arbitration, judicial or other proceeding.</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17" w:lineRule="auto"/>
        <w:tabs>
          <w:tab w:leader="none" w:pos="192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each Obligor’s Knowledge, no Obligor has received any written notice asserting that the Patents are invalid, unpatentable or unenforceable in any jurisdiction in which the Obligors operate and, to each Obligor’s Knowledge, no Obligor has engaged in any conduct, or omitted to perform any necessary act, the result of which would invalidate or render unpatentable or unenforceable any such Patent in any jurisdiction in which the Obligors operate.</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3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has signed a written agreement assigning to the applicable Obligor all Intellectual Property rights that are related to such Obligor’s business as now conducted and as presently proposed to be conducted and confidentiality provisions protecting trade secrets and confidentiality information of the Obligors.</w:t>
      </w:r>
    </w:p>
    <w:p>
      <w:pPr>
        <w:spacing w:after="0" w:line="152" w:lineRule="exact"/>
        <w:rPr>
          <w:rFonts w:ascii="Times New Roman" w:cs="Times New Roman" w:eastAsia="Times New Roman" w:hAnsi="Times New Roman"/>
          <w:sz w:val="22"/>
          <w:szCs w:val="22"/>
          <w:color w:val="auto"/>
        </w:rPr>
      </w:pPr>
    </w:p>
    <w:p>
      <w:pPr>
        <w:ind w:left="640" w:firstLine="652"/>
        <w:spacing w:after="0" w:line="236" w:lineRule="auto"/>
        <w:tabs>
          <w:tab w:leader="none" w:pos="193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Obligor, no third party is infringing upon or misappropriating, or violating any license or agreement with such Obligor relating to any Intellectual Property.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7.06.  No Actions or Proceedings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4"/>
        <w:spacing w:after="0" w:line="238" w:lineRule="auto"/>
        <w:tabs>
          <w:tab w:leader="none" w:pos="1293"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Litigation. </w:t>
      </w:r>
      <w:r>
        <w:rPr>
          <w:rFonts w:ascii="Times New Roman" w:cs="Times New Roman" w:eastAsia="Times New Roman" w:hAnsi="Times New Roman"/>
          <w:sz w:val="21"/>
          <w:szCs w:val="21"/>
          <w:color w:val="auto"/>
        </w:rPr>
        <w:t>To the Knowledge of the Obligors, except for standard patent prosecution before 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jurisdiction’s patent office, there is no litigation, investigation or enforcement proceeding pending or threatened in writing with respect to any Obligor or its Subsidiaries by or before any Governmental Authority or arbitrator (i) that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0580"/>
          </w:cols>
          <w:pgMar w:left="980" w:top="1395" w:right="339" w:bottom="1440" w:gutter="0" w:footer="0" w:header="0"/>
        </w:sectPr>
      </w:pPr>
    </w:p>
    <w:bookmarkStart w:id="188" w:name="page189"/>
    <w:bookmarkEnd w:id="188"/>
    <w:p>
      <w:pPr>
        <w:spacing w:after="0" w:line="236" w:lineRule="auto"/>
        <w:rPr>
          <w:sz w:val="20"/>
          <w:szCs w:val="20"/>
          <w:color w:val="auto"/>
        </w:rPr>
      </w:pPr>
      <w:r>
        <w:rPr>
          <w:rFonts w:ascii="Times New Roman" w:cs="Times New Roman" w:eastAsia="Times New Roman" w:hAnsi="Times New Roman"/>
          <w:sz w:val="22"/>
          <w:szCs w:val="22"/>
          <w:color w:val="auto"/>
        </w:rPr>
        <w:t>individually or in the aggregate would reasonably be expected to have a Material Adverse Effect or (ii) that involves this Agreement or the Transactions.</w:t>
      </w:r>
    </w:p>
    <w:p>
      <w:pPr>
        <w:spacing w:after="0" w:line="146" w:lineRule="exact"/>
        <w:rPr>
          <w:sz w:val="20"/>
          <w:szCs w:val="20"/>
          <w:color w:val="auto"/>
        </w:rPr>
      </w:pPr>
    </w:p>
    <w:p>
      <w:pPr>
        <w:jc w:val="both"/>
        <w:ind w:firstLine="644"/>
        <w:spacing w:after="0" w:line="218"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Environmental Matters. </w:t>
      </w:r>
      <w:r>
        <w:rPr>
          <w:rFonts w:ascii="Times New Roman" w:cs="Times New Roman" w:eastAsia="Times New Roman" w:hAnsi="Times New Roman"/>
          <w:sz w:val="22"/>
          <w:szCs w:val="22"/>
          <w:color w:val="auto"/>
        </w:rPr>
        <w:t>The operations and the real Property of the Obligors and their Subsidiaries comply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spacing w:after="0" w:line="147" w:lineRule="exact"/>
        <w:rPr>
          <w:rFonts w:ascii="Times New Roman" w:cs="Times New Roman" w:eastAsia="Times New Roman" w:hAnsi="Times New Roman"/>
          <w:sz w:val="22"/>
          <w:szCs w:val="22"/>
          <w:color w:val="auto"/>
        </w:rPr>
      </w:pPr>
    </w:p>
    <w:p>
      <w:pPr>
        <w:jc w:val="both"/>
        <w:ind w:firstLine="644"/>
        <w:spacing w:after="0" w:line="216"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Labor Matters. </w:t>
      </w:r>
      <w:r>
        <w:rPr>
          <w:rFonts w:ascii="Times New Roman" w:cs="Times New Roman" w:eastAsia="Times New Roman" w:hAnsi="Times New Roman"/>
          <w:sz w:val="22"/>
          <w:szCs w:val="22"/>
          <w:color w:val="auto"/>
        </w:rPr>
        <w:t>No Obligor nor any of its Subsidiaries has engaged in unfair labor practices and there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pending or, to any Obligor’s Knowledge, threatened in writing labor actions, disputes, grievance or arbitration proceedings involving the employees of any Obligor or any of its Subsidiaries, in each case that would reasonably be expected to have a Material Adverse Effect. There is no material strike or work stoppage in existence or threatened in writing against any Obligor or any of its Subsidiaries and to the Knowledge of such Obligor, no union organization activity is taking place.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7.07.  Compliance with Laws and Agreements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4"/>
        <w:spacing w:after="0" w:line="225"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are in compliance with all Requirements of Law (including Health Care Laws and Environmental Laws) and all Contracts binding upon it or its Property, except where the failure to do so, individually or in the aggregate, would not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12" w:lineRule="auto"/>
        <w:tabs>
          <w:tab w:leader="none" w:pos="192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each Obligor’s Knowledge, any financial relationships between or among any Obligor or any Subsidiary thereof, on the one hand, and any Person who is in a position to refer patients or other health care business to any Obligor or any Subsidiary thereof (collectively a </w:t>
      </w:r>
      <w:r>
        <w:rPr>
          <w:rFonts w:ascii="Times New Roman" w:cs="Times New Roman" w:eastAsia="Times New Roman" w:hAnsi="Times New Roman"/>
          <w:sz w:val="22"/>
          <w:szCs w:val="22"/>
          <w:i w:val="1"/>
          <w:iCs w:val="1"/>
          <w:color w:val="auto"/>
        </w:rPr>
        <w:t>“Referral Source”</w:t>
      </w:r>
      <w:r>
        <w:rPr>
          <w:rFonts w:ascii="Times New Roman" w:cs="Times New Roman" w:eastAsia="Times New Roman" w:hAnsi="Times New Roman"/>
          <w:sz w:val="22"/>
          <w:szCs w:val="22"/>
          <w:color w:val="auto"/>
        </w:rPr>
        <w:t>), on the other hand,</w:t>
      </w:r>
    </w:p>
    <w:p>
      <w:pPr>
        <w:spacing w:after="0" w:line="1" w:lineRule="exact"/>
        <w:rPr>
          <w:rFonts w:ascii="Times New Roman" w:cs="Times New Roman" w:eastAsia="Times New Roman" w:hAnsi="Times New Roman"/>
          <w:sz w:val="22"/>
          <w:szCs w:val="22"/>
          <w:color w:val="auto"/>
        </w:rPr>
      </w:pPr>
    </w:p>
    <w:p>
      <w:pPr>
        <w:jc w:val="both"/>
        <w:ind w:left="640"/>
        <w:spacing w:after="0" w:line="22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w:t>
      </w:r>
    </w:p>
    <w:p>
      <w:pPr>
        <w:spacing w:after="0" w:line="154" w:lineRule="exact"/>
        <w:rPr>
          <w:rFonts w:ascii="Times New Roman" w:cs="Times New Roman" w:eastAsia="Times New Roman" w:hAnsi="Times New Roman"/>
          <w:sz w:val="22"/>
          <w:szCs w:val="22"/>
          <w:color w:val="auto"/>
        </w:rPr>
      </w:pPr>
    </w:p>
    <w:p>
      <w:pPr>
        <w:ind w:left="640" w:firstLine="652"/>
        <w:spacing w:after="0" w:line="236" w:lineRule="auto"/>
        <w:tabs>
          <w:tab w:leader="none" w:pos="193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Products have been developed, tested, manufactured, distributed, marketed and sold in compliance in all material respects with all applicable Regulated Product Laws.</w:t>
      </w:r>
    </w:p>
    <w:p>
      <w:pPr>
        <w:spacing w:after="0" w:line="15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24"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Subsidiary thereof holds all Third-Party Payor Authorizations in full force and effect that are necessary to participate in and be reimbursed by all Third-Party Payor Programs in which it participates, if any, except where the failure to do so, individually or in the aggregate,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0580"/>
          </w:cols>
          <w:pgMar w:left="980" w:top="1395" w:right="339" w:bottom="1440" w:gutter="0" w:footer="0" w:header="0"/>
        </w:sectPr>
      </w:pPr>
    </w:p>
    <w:bookmarkStart w:id="189" w:name="page190"/>
    <w:bookmarkEnd w:id="189"/>
    <w:p>
      <w:pPr>
        <w:jc w:val="both"/>
        <w:ind w:left="180"/>
        <w:spacing w:after="0" w:line="220" w:lineRule="auto"/>
        <w:rPr>
          <w:sz w:val="20"/>
          <w:szCs w:val="20"/>
          <w:color w:val="auto"/>
        </w:rPr>
      </w:pPr>
      <w:r>
        <w:rPr>
          <w:rFonts w:ascii="Times New Roman" w:cs="Times New Roman" w:eastAsia="Times New Roman" w:hAnsi="Times New Roman"/>
          <w:sz w:val="22"/>
          <w:szCs w:val="22"/>
          <w:color w:val="auto"/>
        </w:rPr>
        <w:t>reasonably be expected to result in a Material Adverse Effect. To the Knowledge of any Obligor, there is no investigation, audit, claim review, or other action pending or threatened in writing, which could result in a suspension, revocation, termination, restriction, limitation, modification or nonrenewal of any Third-Party Payor Authorization or in the exclusion of an Obligor from participation in any Third-Party Payor Program.</w:t>
      </w:r>
    </w:p>
    <w:p>
      <w:pPr>
        <w:spacing w:after="0" w:line="152" w:lineRule="exact"/>
        <w:rPr>
          <w:sz w:val="20"/>
          <w:szCs w:val="20"/>
          <w:color w:val="auto"/>
        </w:rPr>
      </w:pPr>
    </w:p>
    <w:p>
      <w:pPr>
        <w:jc w:val="both"/>
        <w:ind w:left="180" w:firstLine="652"/>
        <w:spacing w:after="0" w:line="221" w:lineRule="auto"/>
        <w:tabs>
          <w:tab w:leader="none" w:pos="147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nor any Subsidiary thereof, nor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agencies pursuant to the Federal Acquisition Regulation, relating to debarment and suspension applicable to federal government agencies generally (42 C.F.R. Subpart 9.4), (iii) debarred, disqualified, suspended or excluded from participation in any Third-Party Payor Program or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the Products or providing related services, to any governmental or other purchaser pursuant to any federal, state or local laws or regulations.</w:t>
      </w:r>
    </w:p>
    <w:p>
      <w:pPr>
        <w:spacing w:after="0" w:line="152" w:lineRule="exact"/>
        <w:rPr>
          <w:rFonts w:ascii="Times New Roman" w:cs="Times New Roman" w:eastAsia="Times New Roman" w:hAnsi="Times New Roman"/>
          <w:sz w:val="21"/>
          <w:szCs w:val="21"/>
          <w:color w:val="auto"/>
        </w:rPr>
      </w:pPr>
    </w:p>
    <w:p>
      <w:pPr>
        <w:jc w:val="both"/>
        <w:ind w:left="180" w:firstLine="652"/>
        <w:spacing w:after="0" w:line="211" w:lineRule="auto"/>
        <w:tabs>
          <w:tab w:leader="none" w:pos="1464"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repayment of any material monies received, or the imposition of any material penalties, from any Third-Party Payor Program or Governmental Authority. No Obligor nor any Subsidiary thereof, nor, to the Knowledge of any Obligor,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19" w:lineRule="auto"/>
        <w:tabs>
          <w:tab w:leader="none" w:pos="147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nor any Subsidiary thereof has experienced or had an unauthorized use or disclosure of Protected Health Information (as defined in the HIPAA regulations) or privacy or security breach or other privacy or security incident within the meaning of HIPAA or other applicable consumer privacy and security laws that has affected more than five hundred (500) individuals. Each Obligor and each Subsidiary thereof has created and maintains written policies and procedures to protect the privacy of all patient protected health information in accordance with HIPAA and other applicable consumer privacy and security laws, and has implemented appropriate security procedures including, without limitation, administrative, physical and technical safeguards, designed to protect the confidentiality, integrity and availability of all electronic protected health information that it creates, receives, maintains or transmits. Each Obligor and each Subsidiary thereof has conducted any security risk assessments, risk analyses, and/or other supplemental assessments required by HIPAA or other applicable consumer privacy and security laws and remediated any deficiencies identified thereby, if any. Each Obligor and each Subsidiary thereof has provided compliance training with respect to HIPAA to its “workforce” and, except where failure to do so would not reasonably be expected to have a Material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120"/>
          </w:cols>
          <w:pgMar w:left="1440" w:top="1395" w:right="339" w:bottom="1440" w:gutter="0" w:footer="0" w:header="0"/>
        </w:sectPr>
      </w:pPr>
    </w:p>
    <w:bookmarkStart w:id="190" w:name="page191"/>
    <w:bookmarkEnd w:id="190"/>
    <w:p>
      <w:pPr>
        <w:ind w:left="1300"/>
        <w:spacing w:after="0" w:line="236" w:lineRule="auto"/>
        <w:rPr>
          <w:sz w:val="20"/>
          <w:szCs w:val="20"/>
          <w:color w:val="auto"/>
        </w:rPr>
      </w:pPr>
      <w:r>
        <w:rPr>
          <w:rFonts w:ascii="Times New Roman" w:cs="Times New Roman" w:eastAsia="Times New Roman" w:hAnsi="Times New Roman"/>
          <w:sz w:val="22"/>
          <w:szCs w:val="22"/>
          <w:color w:val="auto"/>
        </w:rPr>
        <w:t>Effect, has entered into a business associate agreement with each third party acting as a “business associate” or “subcontractor” thereto (as such terms are defined in HIPAA).</w:t>
      </w:r>
    </w:p>
    <w:p>
      <w:pPr>
        <w:spacing w:after="0" w:line="150" w:lineRule="exact"/>
        <w:rPr>
          <w:sz w:val="20"/>
          <w:szCs w:val="20"/>
          <w:color w:val="auto"/>
        </w:rPr>
      </w:pPr>
    </w:p>
    <w:p>
      <w:pPr>
        <w:jc w:val="both"/>
        <w:ind w:left="1300" w:firstLine="652"/>
        <w:spacing w:after="0" w:line="212" w:lineRule="auto"/>
        <w:tabs>
          <w:tab w:leader="none" w:pos="259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Obligor and Subsidiary thereof maintains and adheres to, in all material respects, a commercially reasonable compliance program designed to promote compliance with and to detect, prevent and address violations of all material Health Care Laws (a </w:t>
      </w:r>
      <w:r>
        <w:rPr>
          <w:rFonts w:ascii="Times New Roman" w:cs="Times New Roman" w:eastAsia="Times New Roman" w:hAnsi="Times New Roman"/>
          <w:sz w:val="22"/>
          <w:szCs w:val="22"/>
          <w:i w:val="1"/>
          <w:iCs w:val="1"/>
          <w:color w:val="auto"/>
        </w:rPr>
        <w:t>“Health Care Compliance Program”</w:t>
      </w:r>
      <w:r>
        <w:rPr>
          <w:rFonts w:ascii="Times New Roman" w:cs="Times New Roman" w:eastAsia="Times New Roman" w:hAnsi="Times New Roman"/>
          <w:sz w:val="22"/>
          <w:szCs w:val="22"/>
          <w:color w:val="auto"/>
        </w:rPr>
        <w:t>), developed in accordance with the Department of Health and Human Services Office of the Inspector General guidance. No Obligor nor any Subsidiary thereof is aware of any complaints from any employees, independent contractors, vendors, physicians, customers, patients or other persons that could reasonably be considered to indicate a violation of Health Care Laws which would be reasonably expected to result individually, or in the aggregate, in a Material Adverse Effect.</w:t>
      </w:r>
    </w:p>
    <w:p>
      <w:pPr>
        <w:spacing w:after="0" w:line="15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7.08. Taxes. </w:t>
      </w:r>
      <w:r>
        <w:rPr>
          <w:rFonts w:ascii="Times New Roman" w:cs="Times New Roman" w:eastAsia="Times New Roman" w:hAnsi="Times New Roman"/>
          <w:sz w:val="22"/>
          <w:szCs w:val="22"/>
          <w:color w:val="auto"/>
        </w:rPr>
        <w:t>Each Obligor has timely filed or caused to be filed all federal income and other material Tax returns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i w:val="1"/>
          <w:iCs w:val="1"/>
          <w:color w:val="auto"/>
        </w:rPr>
        <w:t xml:space="preserve">Section 7.09. Full Disclosure. </w:t>
      </w:r>
      <w:r>
        <w:rPr>
          <w:rFonts w:ascii="Times New Roman" w:cs="Times New Roman" w:eastAsia="Times New Roman" w:hAnsi="Times New Roman"/>
          <w:sz w:val="22"/>
          <w:szCs w:val="22"/>
          <w:color w:val="auto"/>
        </w:rPr>
        <w:t>Obligors have disclosed to the Lenders all Material Agreements to which any Obligor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party, and all other matters to its Knowledge, that, individually or in the aggregate, would reasonably be expected to result in a Material Adverse Effect. None of the reports, financial statements, certificates or other information furnished by or on behalf of the Obligors to the Lenders in connection with the negotiation of this Agreement and the other Loan Documents or delivered hereunder or thereunder (as modified or supplemented by other information so furnished) contains any material misstatement of material fact or to the Obligors’ Knowledge omits to state any material fact necessary to make the statements therein, in the light of the circumstances under which they were made, not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Obligors represent only that such information was prepared in good faith based upon assumptions believed to be reasonable at the time, and it being understood that such projected financial information and all other forward looking information are not to be viewed as facts and that actual results during the period or periods covered thereby may differ from such projected results and that the differences may be material.</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7.10.  Regulation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firstLine="644"/>
        <w:spacing w:after="0" w:line="238" w:lineRule="auto"/>
        <w:tabs>
          <w:tab w:leader="none" w:pos="195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Investment Company Act. </w:t>
      </w:r>
      <w:r>
        <w:rPr>
          <w:rFonts w:ascii="Times New Roman" w:cs="Times New Roman" w:eastAsia="Times New Roman" w:hAnsi="Times New Roman"/>
          <w:sz w:val="22"/>
          <w:szCs w:val="22"/>
          <w:color w:val="auto"/>
        </w:rPr>
        <w:t>No Obligor is an “investment company” as defined in, or subject to regulation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under, the Investment Company Act of 1940.</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1" w:lineRule="auto"/>
        <w:tabs>
          <w:tab w:leader="none" w:pos="195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Margin Stock. </w:t>
      </w:r>
      <w:r>
        <w:rPr>
          <w:rFonts w:ascii="Times New Roman" w:cs="Times New Roman" w:eastAsia="Times New Roman" w:hAnsi="Times New Roman"/>
          <w:sz w:val="22"/>
          <w:szCs w:val="22"/>
          <w:color w:val="auto"/>
        </w:rPr>
        <w:t>No Obligor is engaged principally, or as one of its important activities, in the business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extending credit for the purpose, whether immediate, incidental or ultimate, of buying or carrying Margin Stock and no part of the proceeds of the Term Loans will be used to buy or carry any Margin Stock in violation of Regulation T, U or X.</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7.11. Solvency</w:t>
      </w:r>
      <w:r>
        <w:rPr>
          <w:rFonts w:ascii="Times New Roman" w:cs="Times New Roman" w:eastAsia="Times New Roman" w:hAnsi="Times New Roman"/>
          <w:sz w:val="22"/>
          <w:szCs w:val="22"/>
          <w:color w:val="auto"/>
        </w:rPr>
        <w:t>. The Obligors, on a consolidated basis, are, and, immediately after giving effect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Borrowings, the use of proceeds thereof, and the consummation of the Transactions, will be, Solvent.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5" w:right="33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22"/>
          <w:szCs w:val="22"/>
          <w:i w:val="1"/>
          <w:iCs w:val="1"/>
          <w:color w:val="auto"/>
        </w:rPr>
        <w:t>Section 7.12.  [Reserved]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7.13. Indebtedness and Liens. </w:t>
      </w:r>
      <w:r>
        <w:rPr>
          <w:rFonts w:ascii="Times New Roman" w:cs="Times New Roman" w:eastAsia="Times New Roman" w:hAnsi="Times New Roman"/>
          <w:sz w:val="22"/>
          <w:szCs w:val="22"/>
          <w:color w:val="auto"/>
        </w:rPr>
        <w:t>Set forth on Schedule 9.01(b) is a complete and correct list of all Permitted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of each Obligor described in Section 9.01(b) as of the date hereof. Set forth on Schedule 9.02(b) is a complete and correct list of all Permitted Liens described in Section 9.02(b) granted by an Obligor with respect to its respective Property and outstanding as of the date hereof.</w:t>
      </w:r>
    </w:p>
    <w:p>
      <w:pPr>
        <w:spacing w:after="0" w:line="14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i w:val="1"/>
          <w:iCs w:val="1"/>
          <w:color w:val="auto"/>
        </w:rPr>
        <w:t xml:space="preserve">Section 7.14. Material Agreements. </w:t>
      </w:r>
      <w:r>
        <w:rPr>
          <w:rFonts w:ascii="Times New Roman" w:cs="Times New Roman" w:eastAsia="Times New Roman" w:hAnsi="Times New Roman"/>
          <w:sz w:val="22"/>
          <w:szCs w:val="22"/>
          <w:color w:val="auto"/>
        </w:rPr>
        <w:t>Set forth on Schedule 7.14 (as such Schedule may be updated by the Borrower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 is a complete and correct list of (a) each Material Agreement and (b) each Contract creating or evidencing any Material Indebtedness, together with a summary reference to the product or purpose of each such Material Agreement and such Contract, to which an Obligor is a party. Accurate and complete copies of each such Contract listed on such schedule have been made available to the Lenders. No Obligor is in default in any material respect under any such Material Agreement or such Contract creating or evidencing any Material Indebtedness listed on such schedule, and no Obligor has Knowledge of any default in any material respect by any counterparty to such Material Agreement or such Contract. Except as otherwise disclosed on Schedule 7.14 (as such Schedule may be updated by the Borrower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spacing w:after="0" w:line="15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7.15. Restrictive Agreements. </w:t>
      </w:r>
      <w:r>
        <w:rPr>
          <w:rFonts w:ascii="Times New Roman" w:cs="Times New Roman" w:eastAsia="Times New Roman" w:hAnsi="Times New Roman"/>
          <w:sz w:val="22"/>
          <w:szCs w:val="22"/>
          <w:color w:val="auto"/>
        </w:rPr>
        <w:t>None of the Obligors is party to any Restrictive Agreement, except (a) those listed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7.16. Real Property. </w:t>
      </w:r>
      <w:r>
        <w:rPr>
          <w:rFonts w:ascii="Times New Roman" w:cs="Times New Roman" w:eastAsia="Times New Roman" w:hAnsi="Times New Roman"/>
          <w:sz w:val="22"/>
          <w:szCs w:val="22"/>
          <w:color w:val="auto"/>
        </w:rPr>
        <w:t>No Obligor nor any of its Subsidiaries owns or leases (as tenant thereof) any real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date hereof, except as described on Schedule 7.16.</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i w:val="1"/>
          <w:iCs w:val="1"/>
          <w:color w:val="auto"/>
        </w:rPr>
        <w:t>Section 7.17. Pension and Other Plans</w:t>
      </w:r>
      <w:r>
        <w:rPr>
          <w:rFonts w:ascii="Times New Roman" w:cs="Times New Roman" w:eastAsia="Times New Roman" w:hAnsi="Times New Roman"/>
          <w:sz w:val="21"/>
          <w:szCs w:val="21"/>
          <w:color w:val="auto"/>
        </w:rPr>
        <w:t>. Schedule 7.17 sets forth, as of the date hereof, a complete and correct list of,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separately identifies, (a) all Title IV Plans, and (b) all Multiemployer Plans. Except as would not reasonably be expected to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 xml:space="preserve">Section 7.18. Collateral; Security Interest. </w:t>
      </w:r>
      <w:r>
        <w:rPr>
          <w:rFonts w:ascii="Times New Roman" w:cs="Times New Roman" w:eastAsia="Times New Roman" w:hAnsi="Times New Roman"/>
          <w:sz w:val="22"/>
          <w:szCs w:val="22"/>
          <w:color w:val="auto"/>
        </w:rPr>
        <w:t>Each Security Document is effective to create in favor of the Administrative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statements filed in the appropriate offices, such security interests are perfected security interests (subject only to Permitted Liens) to the extent that such perfection may be obtained by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391" w:right="339" w:bottom="1440" w:gutter="0" w:footer="0" w:header="0"/>
        </w:sectPr>
      </w:pPr>
    </w:p>
    <w:bookmarkStart w:id="192" w:name="page193"/>
    <w:bookmarkEnd w:id="192"/>
    <w:p>
      <w:pPr>
        <w:ind w:left="4"/>
        <w:spacing w:after="0"/>
        <w:rPr>
          <w:sz w:val="20"/>
          <w:szCs w:val="20"/>
          <w:color w:val="auto"/>
        </w:rPr>
      </w:pPr>
      <w:r>
        <w:rPr>
          <w:rFonts w:ascii="Times New Roman" w:cs="Times New Roman" w:eastAsia="Times New Roman" w:hAnsi="Times New Roman"/>
          <w:sz w:val="22"/>
          <w:szCs w:val="22"/>
          <w:i w:val="1"/>
          <w:iCs w:val="1"/>
          <w:color w:val="auto"/>
        </w:rPr>
        <w:t>Section 7.19.  Regulatory Approvals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4" w:firstLine="644"/>
        <w:spacing w:after="0" w:line="225" w:lineRule="auto"/>
        <w:tabs>
          <w:tab w:leader="none" w:pos="129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each of its Subsidiaries holds either directly or through licensees and agents, all Regulatory Approvals and Permits necessary or required for each Obligor and its Subsidiaries to conduct all material Product Development and Commercialization Activities with respect to the Products.</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2" w:lineRule="auto"/>
        <w:tabs>
          <w:tab w:leader="none" w:pos="129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 forth on Schedule 7.19(b) is a complete and accurate list as of the date hereof of all Regulatory Approvals and Permits referred to in clause (a) above, if any, setting forth (on a per Product basis, as applicable) the Obligor that holds such Regulatory Approval or Permit and identifying the Product related to such Regulatory Approval. All such Regulatory Approvals and Permits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Authorities.</w:t>
      </w:r>
    </w:p>
    <w:p>
      <w:pPr>
        <w:spacing w:after="0" w:line="156"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97"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All material regulatory filings required by any Regulatory Authority or in respect of all Regulatory Approvals and Permits referred to in clause (a) above have been made, and all such filings are complete with respect to the stage of development of the Product to which it applies and correct in all material respects and have complied in all material respects with all applicable Requirements of Law, (ii) all clinical trials and pre-clinical studies, if any, of investigational Products have been and are being conducted by each Obligor according to all applicable Requirements of Law in all material respects along with appropriate monitoring of clinical investigator trial sites for their compliance, and</w:t>
      </w:r>
    </w:p>
    <w:p>
      <w:pPr>
        <w:spacing w:after="0" w:line="3" w:lineRule="exact"/>
        <w:rPr>
          <w:rFonts w:ascii="Times New Roman" w:cs="Times New Roman" w:eastAsia="Times New Roman" w:hAnsi="Times New Roman"/>
          <w:sz w:val="21"/>
          <w:szCs w:val="21"/>
          <w:color w:val="auto"/>
        </w:rPr>
      </w:pPr>
    </w:p>
    <w:p>
      <w:pPr>
        <w:ind w:left="4" w:right="20" w:hanging="4"/>
        <w:spacing w:after="0" w:line="225" w:lineRule="auto"/>
        <w:tabs>
          <w:tab w:leader="none" w:pos="42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has disclosed to the Lenders all such material regulatory filings and all material communications between representatives of each Obligor and any Regulatory Authority.</w:t>
      </w:r>
    </w:p>
    <w:p>
      <w:pPr>
        <w:spacing w:after="0" w:line="149"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5"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and, to each Obligor’s Knowledge, each of its agents are in compliance in all material respects with all Requirements of Law (including all Regulatory Approvals) of all applicable Governmental Authorities with respect to each Product and all Product Development and Commercialization Activities related thereto. Each Obligor has and maintains in full force and effect all the necessary and requisite Regulatory Approvals for its Products.</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97"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No Obligor has received from any Regulatory Authority any notice of adverse findings with respect to any Product or any Product Development and Commercialization Activities related thereto, including any Form FDA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w:t>
      </w:r>
    </w:p>
    <w:p>
      <w:pPr>
        <w:jc w:val="both"/>
        <w:ind w:left="4" w:hanging="4"/>
        <w:spacing w:after="0" w:line="218" w:lineRule="auto"/>
        <w:tabs>
          <w:tab w:leader="none" w:pos="41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written notification that remains unresolved from the FDA or any other applicable Regulatory Authority alleging any noncompliance with applicable Requirements of Law with respect to any Product or any Product Development and Commercialization Activities related thereto.</w:t>
      </w:r>
    </w:p>
    <w:p>
      <w:pPr>
        <w:spacing w:after="0" w:line="150" w:lineRule="exact"/>
        <w:rPr>
          <w:rFonts w:ascii="Times New Roman" w:cs="Times New Roman" w:eastAsia="Times New Roman" w:hAnsi="Times New Roman"/>
          <w:sz w:val="22"/>
          <w:szCs w:val="22"/>
          <w:color w:val="auto"/>
        </w:rPr>
      </w:pPr>
    </w:p>
    <w:p>
      <w:pPr>
        <w:ind w:left="4" w:right="20" w:firstLine="644"/>
        <w:spacing w:after="0" w:line="236" w:lineRule="auto"/>
        <w:tabs>
          <w:tab w:leader="none" w:pos="1300"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Obligor nor, to any Obligor’s Knowledge, any officer, employee or agent thereof, has made an untrue statement of a material fact or fraudulent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584"/>
          </w:cols>
          <w:pgMar w:left="976" w:top="1391" w:right="339" w:bottom="1440" w:gutter="0" w:footer="0" w:header="0"/>
        </w:sectPr>
      </w:pPr>
    </w:p>
    <w:bookmarkStart w:id="193" w:name="page194"/>
    <w:bookmarkEnd w:id="193"/>
    <w:p>
      <w:pPr>
        <w:ind w:left="660"/>
        <w:spacing w:after="0" w:line="236" w:lineRule="auto"/>
        <w:rPr>
          <w:sz w:val="20"/>
          <w:szCs w:val="20"/>
          <w:color w:val="auto"/>
        </w:rPr>
      </w:pPr>
      <w:r>
        <w:rPr>
          <w:rFonts w:ascii="Times New Roman" w:cs="Times New Roman" w:eastAsia="Times New Roman" w:hAnsi="Times New Roman"/>
          <w:sz w:val="22"/>
          <w:szCs w:val="22"/>
          <w:color w:val="auto"/>
        </w:rPr>
        <w:t>statements to any applicable Regulatory Authority, failed to disclose a material fact required to be disclosed to any applicable Regulatory Authority.</w:t>
      </w:r>
    </w:p>
    <w:p>
      <w:pPr>
        <w:spacing w:after="0" w:line="150" w:lineRule="exact"/>
        <w:rPr>
          <w:sz w:val="20"/>
          <w:szCs w:val="20"/>
          <w:color w:val="auto"/>
        </w:rPr>
      </w:pPr>
    </w:p>
    <w:p>
      <w:pPr>
        <w:jc w:val="both"/>
        <w:ind w:left="660" w:firstLine="644"/>
        <w:spacing w:after="0" w:line="217" w:lineRule="auto"/>
        <w:tabs>
          <w:tab w:leader="none" w:pos="195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Obligor has received any written notice that any applicable Regulatory Authority has commenced or initiated, or, to the Knowledge of any such Obligor, threatened to commence or initiate, any action to withdraw any Regulatory Approval or requested the recall of any Products or commenced or initiated or, to the Knowledge of such Obligor, threatened to commence or initiate, any action to enjoin any Product Development and Commercialization Activities of such Obligor.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clinical, preclinical, safety and other studies and tests conducted by or on behalf of or sponsored by each Obligor, or in respect of which any Products or Product candidates under development have participated, were (and if still pending, are) being conducted materially in accordance with standard medical and scientific research procedures and all applicable Laws. No Obligor has received any notices or other correspondence from any applicable Regulatory Authority requiring the termination or suspension of any clinical, preclinical, safety or other studies or tests of any Product or Product candidate.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 xml:space="preserve">Section 7.20. Capitalization. </w:t>
      </w:r>
      <w:r>
        <w:rPr>
          <w:rFonts w:ascii="Times New Roman" w:cs="Times New Roman" w:eastAsia="Times New Roman" w:hAnsi="Times New Roman"/>
          <w:sz w:val="22"/>
          <w:szCs w:val="22"/>
          <w:color w:val="auto"/>
        </w:rPr>
        <w:t>All of the issued and outstanding securities of each Obligor have been duly authorized, are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validly issued, fully paid, and non-assessable. As of the Closing Date and except as set forth on Schedule 7.20, there are no outstanding or authorized options, warrants, purchase rights, subscription rights, conversion rights, exchange rights, or other Contracts or commitments that could require the Obligors to issue, sell, or otherwise cause to become outstanding any of their ownership interests. There are no outstanding or authorized stock appreciation, phantom stock, profit participation, or similar rights with respect to the Obligors. There are no voting trusts, proxies, or other agreements or understandings with respect to the voting of the ownership interests of the Borrower. None of the Equity Interests in the Borrower have been mortgaged, assigned or pledged in favor of any Person, other than pursuant to the Security Agreement.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7.21. Insurance. </w:t>
      </w:r>
      <w:r>
        <w:rPr>
          <w:rFonts w:ascii="Times New Roman" w:cs="Times New Roman" w:eastAsia="Times New Roman" w:hAnsi="Times New Roman"/>
          <w:sz w:val="22"/>
          <w:szCs w:val="22"/>
          <w:color w:val="auto"/>
        </w:rPr>
        <w:t>Each Obligor has obtained (and is maintaining), insurance for its assets (including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Collateral) and business as required under the Loan Documents.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7.22. Certain Fees. </w:t>
      </w:r>
      <w:r>
        <w:rPr>
          <w:rFonts w:ascii="Times New Roman" w:cs="Times New Roman" w:eastAsia="Times New Roman" w:hAnsi="Times New Roman"/>
          <w:sz w:val="22"/>
          <w:szCs w:val="22"/>
          <w:color w:val="auto"/>
        </w:rPr>
        <w:t>Except as described on Schedule 7.22, no broker’s or finder’s fee will be payable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connection with the execution and delivery of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7.23. Sanctions Laws. </w:t>
      </w:r>
      <w:r>
        <w:rPr>
          <w:rFonts w:ascii="Times New Roman" w:cs="Times New Roman" w:eastAsia="Times New Roman" w:hAnsi="Times New Roman"/>
          <w:sz w:val="22"/>
          <w:szCs w:val="22"/>
          <w:color w:val="auto"/>
        </w:rPr>
        <w:t>Obligors and, to the Knowledge of the Obligors, any director, officer or employee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Obligor acting on behalf of the Obligors, are in compliance with the Sanctions Laws in all respects.</w:t>
      </w:r>
    </w:p>
    <w:p>
      <w:pPr>
        <w:spacing w:after="0" w:line="14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i w:val="1"/>
          <w:iCs w:val="1"/>
          <w:color w:val="auto"/>
        </w:rPr>
        <w:t xml:space="preserve">Section 7.24. Anti-Corruption Laws. </w:t>
      </w:r>
      <w:r>
        <w:rPr>
          <w:rFonts w:ascii="Times New Roman" w:cs="Times New Roman" w:eastAsia="Times New Roman" w:hAnsi="Times New Roman"/>
          <w:sz w:val="21"/>
          <w:szCs w:val="21"/>
          <w:color w:val="auto"/>
        </w:rPr>
        <w:t>No Obligor nor any of its Subsidiaries has, nor, to the Knowledge of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Responsible Officer of any Obligor, has any director, officer, agent or employee of any Obligor acting on behalf of such Obligor</w:t>
      </w:r>
    </w:p>
    <w:p>
      <w:pPr>
        <w:ind w:left="340" w:hanging="332"/>
        <w:spacing w:after="0" w:line="206" w:lineRule="auto"/>
        <w:tabs>
          <w:tab w:leader="none" w:pos="3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taken any action, directly or indirectly, that would result in a violation by such Persons of the Anti-Corruption Laws,</w:t>
      </w:r>
    </w:p>
    <w:p>
      <w:pPr>
        <w:jc w:val="both"/>
        <w:ind w:firstLine="8"/>
        <w:spacing w:after="0" w:line="218" w:lineRule="auto"/>
        <w:tabs>
          <w:tab w:leader="none" w:pos="34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made, offered to make, promised to make or authorized the payment or giving of, directly or indirectly, any Prohibited Payment or (c) been subject to any investigation by any Governmental Authority with regard to any actual or alleged Prohibited Payment.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Section 7.25. Anti-Terrorism Laws. </w:t>
      </w:r>
      <w:r>
        <w:rPr>
          <w:rFonts w:ascii="Times New Roman" w:cs="Times New Roman" w:eastAsia="Times New Roman" w:hAnsi="Times New Roman"/>
          <w:sz w:val="21"/>
          <w:szCs w:val="21"/>
          <w:color w:val="auto"/>
        </w:rPr>
        <w:t>The Obligors and their Subsidiaries (a) have taken reasonable measures to ensure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compliance with applicable Economic Sanctions Laws and Anti-Terrorism Laws, (b) are not Designated Persons and (c) have not used any part of the proceeds from any advance on behalf of any Designated Person or has not used, directly by it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194" w:name="page195"/>
    <w:bookmarkEnd w:id="194"/>
    <w:p>
      <w:pPr>
        <w:jc w:val="both"/>
        <w:spacing w:after="0" w:line="236" w:lineRule="auto"/>
        <w:rPr>
          <w:sz w:val="20"/>
          <w:szCs w:val="20"/>
          <w:color w:val="auto"/>
        </w:rPr>
      </w:pPr>
      <w:r>
        <w:rPr>
          <w:rFonts w:ascii="Times New Roman" w:cs="Times New Roman" w:eastAsia="Times New Roman" w:hAnsi="Times New Roman"/>
          <w:sz w:val="22"/>
          <w:szCs w:val="22"/>
          <w:color w:val="auto"/>
        </w:rPr>
        <w:t>through any Subsidiary, such proceeds in connection with any investment in, or any transactions or dealings with, any Designated Person.</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Section 7.26. Royalty and Other Payments</w:t>
      </w:r>
      <w:r>
        <w:rPr>
          <w:rFonts w:ascii="Times New Roman" w:cs="Times New Roman" w:eastAsia="Times New Roman" w:hAnsi="Times New Roman"/>
          <w:sz w:val="22"/>
          <w:szCs w:val="22"/>
          <w:color w:val="auto"/>
        </w:rPr>
        <w:t>. Except as set forth on Schedule 7.26, no Obligor, nor any of its Subsidiaries,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obligated to pay any material royalty, milestone payment, deferred payment or any other contingent payment in respect of any Product.</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Affirmative Covenants and Financial Covenants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Each Obligor covenants and agrees with the Lenders that, until the Commitments have expired or been terminated and all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Obligations (other than the Warrant Obligations and unasserted contingent liabilities) have been paid in full in cash:</w:t>
      </w:r>
    </w:p>
    <w:p>
      <w:pPr>
        <w:spacing w:after="0" w:line="16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8.01. Financial Statements and Other Information</w:t>
      </w:r>
      <w:r>
        <w:rPr>
          <w:rFonts w:ascii="Times New Roman" w:cs="Times New Roman" w:eastAsia="Times New Roman" w:hAnsi="Times New Roman"/>
          <w:sz w:val="22"/>
          <w:szCs w:val="22"/>
          <w:color w:val="auto"/>
        </w:rPr>
        <w:t>. It will furnish to the Administrative Agent for distribution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Lenders:</w:t>
      </w:r>
    </w:p>
    <w:p>
      <w:pPr>
        <w:spacing w:after="0" w:line="150" w:lineRule="exact"/>
        <w:rPr>
          <w:sz w:val="20"/>
          <w:szCs w:val="20"/>
          <w:color w:val="auto"/>
        </w:rPr>
      </w:pPr>
    </w:p>
    <w:p>
      <w:pPr>
        <w:jc w:val="both"/>
        <w:ind w:left="660" w:firstLine="644"/>
        <w:spacing w:after="0" w:line="217" w:lineRule="auto"/>
        <w:tabs>
          <w:tab w:leader="none" w:pos="1953"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forty-five (45) days after the end of each fiscal quarter, the consolidated balance sheet of the Borrower and its Subsidiaries as at the end of such fiscal quarter and the related consolidated statement of income, stockholders’ equity and cash flows of the Borrower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and the corresponding figures from the Financial Plan for the current fiscal year, all in reasonable detail together with (i) a certificate of a Responsible Officer of the Borrower stating that such financial statements fairly present in all material respects the financial condition of the Borrower and its Subsidiaries as at such date and the results of operations of the Borrower and its Subsidiaries for the period ended on such date and have been prepared substantially in accordance with GAAP consistently applied, subject to changes resulting from normal quarterly or year-end adjustments and except for the absence of footnotes and</w:t>
      </w:r>
    </w:p>
    <w:p>
      <w:pPr>
        <w:jc w:val="both"/>
        <w:ind w:left="660" w:hanging="4"/>
        <w:spacing w:after="0" w:line="212" w:lineRule="auto"/>
        <w:tabs>
          <w:tab w:leader="none" w:pos="985"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management’s discussion and analysis of the financial condition and results of operations, including the Borrower’s and its Subsidiaries’ liquidity and capital resources;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 Quarterly Report on Form 10-Q with the SEC shall be deemed to satisfy the requirements of this Section 8.01(a) on the date on which such report is first available via the SEC’s EDGAR system or a successor system related thereto.</w:t>
      </w:r>
    </w:p>
    <w:p>
      <w:pPr>
        <w:spacing w:after="0" w:line="154"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hundred twenty (120) days after the end of each fiscal year,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the previous fiscal year and the corresponding figures from the Financial Plan for the fiscal year covered by such financial statements, prepared substantially in accordance with GAAP consistently applied, all in reasonable detail accompanied by (i) a report and opinion thereon of BDO USA, P.C. or another firm of independent certified public accountants of recognized national standing, which report and opinion shall be prepared in accordance with generally accepted auditing standards and shall not be subject to any “going concern” or like qualification or exception audit (other than solely with respect to, or resulting solely from the upcoming Stated Maturity Date occurring within one year from the time such report is delivered) or any qualification or exception as to the scope of such audit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395" w:right="339" w:bottom="1440" w:gutter="0" w:footer="0" w:header="0"/>
        </w:sectPr>
      </w:pPr>
    </w:p>
    <w:bookmarkStart w:id="195" w:name="page196"/>
    <w:bookmarkEnd w:id="195"/>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related to the maturity of the Transactions and (ii) a management’s discussion and analysis of the financial condition and results of operations, including the Obligors’ liquidity and capital resources;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 Annual Report on Form 10-K with the SEC shall be deemed to satisfy the requirements of this Section 8.01(b) on the date on which such report is first available via the SEC’s EDGAR system or a successor system related thereto;</w:t>
      </w:r>
    </w:p>
    <w:p>
      <w:pPr>
        <w:spacing w:after="0" w:line="152" w:lineRule="exact"/>
        <w:rPr>
          <w:sz w:val="20"/>
          <w:szCs w:val="20"/>
          <w:color w:val="auto"/>
        </w:rPr>
      </w:pPr>
    </w:p>
    <w:p>
      <w:pPr>
        <w:jc w:val="both"/>
        <w:ind w:firstLine="644"/>
        <w:spacing w:after="0" w:line="220" w:lineRule="auto"/>
        <w:tabs>
          <w:tab w:leader="none" w:pos="129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thirty (30) days after the end of each month, a Compliance Certificate of a Responsible Officer of the Borrower as of the end of the applicable accounting period (which delivery may be by electronic communication including email and shall be deemed to be an original authentic counterpart thereof for all purposes) in the form of Exhibit E (a </w:t>
      </w:r>
      <w:r>
        <w:rPr>
          <w:rFonts w:ascii="Times New Roman" w:cs="Times New Roman" w:eastAsia="Times New Roman" w:hAnsi="Times New Roman"/>
          <w:sz w:val="22"/>
          <w:szCs w:val="22"/>
          <w:i w:val="1"/>
          <w:iCs w:val="1"/>
          <w:color w:val="auto"/>
        </w:rPr>
        <w:t>“Compliance Certificate”</w:t>
      </w:r>
      <w:r>
        <w:rPr>
          <w:rFonts w:ascii="Times New Roman" w:cs="Times New Roman" w:eastAsia="Times New Roman" w:hAnsi="Times New Roman"/>
          <w:sz w:val="22"/>
          <w:szCs w:val="22"/>
          <w:color w:val="auto"/>
        </w:rPr>
        <w:t>) confirming compliance with Section 8.15(a);</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forty-five (45) days after the end of each fiscal quarter, a Compliance Certificate of a Responsible Officer of the Borrower as of the end of the applicable accounting period (which delivery may be by electronic communication including email and shall be deemed to be an original authentic counterpart thereof for all purposes) which, for purposes of clarification, shall (i) confirm the Obligors’ compliance with Section 8.11 and Section 8.15(b), (B) state the representations and warranties made by the Obligors in Article 7 are true in all material respects on and as of the date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any representation and warranty that is qualified as to “materiality”, “Material Adverse Effect” or similar language shall be true and correct (after giving effect to any qualification therein) in all respects, (C) confirm that no Default or Event of Default is continuing (and if a Default or Event of Default has occurred and is continuing state the proposed actions that the Obligors intend to take in connection with such Default or Event of Default) and (D) provide a copy of any new Material Agreement;</w:t>
      </w:r>
    </w:p>
    <w:p>
      <w:pPr>
        <w:spacing w:after="0" w:line="157" w:lineRule="exact"/>
        <w:rPr>
          <w:rFonts w:ascii="Times New Roman" w:cs="Times New Roman" w:eastAsia="Times New Roman" w:hAnsi="Times New Roman"/>
          <w:sz w:val="21"/>
          <w:szCs w:val="21"/>
          <w:color w:val="auto"/>
        </w:rPr>
      </w:pPr>
    </w:p>
    <w:p>
      <w:pPr>
        <w:jc w:val="both"/>
        <w:ind w:firstLine="644"/>
        <w:spacing w:after="0" w:line="225" w:lineRule="auto"/>
        <w:tabs>
          <w:tab w:leader="none" w:pos="129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w:t>
      </w:r>
    </w:p>
    <w:p>
      <w:pPr>
        <w:spacing w:after="0" w:line="152"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regarding insurance maintained by Obligors as and when required under Section 8.05;</w:t>
      </w:r>
    </w:p>
    <w:p>
      <w:pPr>
        <w:spacing w:after="0" w:line="179"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spacing w:after="0" w:line="152" w:lineRule="exact"/>
        <w:rPr>
          <w:rFonts w:ascii="Times New Roman" w:cs="Times New Roman" w:eastAsia="Times New Roman" w:hAnsi="Times New Roman"/>
          <w:sz w:val="22"/>
          <w:szCs w:val="22"/>
          <w:color w:val="auto"/>
        </w:rPr>
      </w:pPr>
    </w:p>
    <w:p>
      <w:pPr>
        <w:jc w:val="both"/>
        <w:ind w:firstLine="644"/>
        <w:spacing w:after="0" w:line="215" w:lineRule="auto"/>
        <w:tabs>
          <w:tab w:leader="none" w:pos="129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within ten (10) days of delivery, copies of all material periodic reports distributed by the Borrower to its shareholders generally;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any such material may be redacted by the Borrower to exclude information relating to the Loan Documents or the Lenders and (ii) the Lenders shall not be entitled to receive statements, reports and notices relating to topics that (A) are subject to attorney-client privilege or (B) present a conflict of interest for the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any such material with the SEC shall be deemed to satisfy the requirements of this Section 8.01(h) on the date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0580"/>
          </w:cols>
          <w:pgMar w:left="980" w:top="1395" w:right="3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22"/>
          <w:szCs w:val="22"/>
          <w:color w:val="auto"/>
        </w:rPr>
        <w:t>such report is first available via the SEC’s EDGAR system or a successor system related thereto;</w:t>
      </w:r>
    </w:p>
    <w:p>
      <w:pPr>
        <w:spacing w:after="0" w:line="179" w:lineRule="exact"/>
        <w:rPr>
          <w:sz w:val="20"/>
          <w:szCs w:val="20"/>
          <w:color w:val="auto"/>
        </w:rPr>
      </w:pPr>
    </w:p>
    <w:p>
      <w:pPr>
        <w:jc w:val="both"/>
        <w:ind w:left="660" w:firstLine="644"/>
        <w:spacing w:after="0" w:line="225"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financial forecast for the Borrower and its Subsidiaries for each fiscal year, including forecasted balance sheets, statements of income and cash flows of the Borrower and its Subsidiaries (the “</w:t>
      </w:r>
      <w:r>
        <w:rPr>
          <w:rFonts w:ascii="Times New Roman" w:cs="Times New Roman" w:eastAsia="Times New Roman" w:hAnsi="Times New Roman"/>
          <w:sz w:val="22"/>
          <w:szCs w:val="22"/>
          <w:i w:val="1"/>
          <w:iCs w:val="1"/>
          <w:color w:val="auto"/>
        </w:rPr>
        <w:t>Financial Plan</w:t>
      </w:r>
      <w:r>
        <w:rPr>
          <w:rFonts w:ascii="Times New Roman" w:cs="Times New Roman" w:eastAsia="Times New Roman" w:hAnsi="Times New Roman"/>
          <w:sz w:val="22"/>
          <w:szCs w:val="22"/>
          <w:color w:val="auto"/>
        </w:rPr>
        <w:t>”), all of which shall be prepared on a consolidated basis and delivered not later than March 31 of such fiscal year;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any Lender’s written request, certification that such Obligor is not a passive foreign investment company (</w:t>
      </w:r>
      <w:r>
        <w:rPr>
          <w:rFonts w:ascii="Times New Roman" w:cs="Times New Roman" w:eastAsia="Times New Roman" w:hAnsi="Times New Roman"/>
          <w:sz w:val="22"/>
          <w:szCs w:val="22"/>
          <w:i w:val="1"/>
          <w:iCs w:val="1"/>
          <w:color w:val="auto"/>
        </w:rPr>
        <w:t>“PFIC”</w:t>
      </w:r>
      <w:r>
        <w:rPr>
          <w:rFonts w:ascii="Times New Roman" w:cs="Times New Roman" w:eastAsia="Times New Roman" w:hAnsi="Times New Roman"/>
          <w:sz w:val="22"/>
          <w:szCs w:val="22"/>
          <w:color w:val="auto"/>
        </w:rPr>
        <w:t>) within the meaning of Sections 1291 through 1297 of the Code, or, if such Obligor determines that it is a PFIC, such information as would allow the Lender to make a qualified electing fund election with respect to the Equity Interest of the Obligor;</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55" w:lineRule="auto"/>
        <w:tabs>
          <w:tab w:leader="none" w:pos="1951"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information respecting the operations, properties, business or financial condition of the Obligors (including with respect to the Collateral) as the Lenders may from time to time reasonably request in writing; and</w:t>
      </w:r>
    </w:p>
    <w:p>
      <w:pPr>
        <w:spacing w:after="0" w:line="134" w:lineRule="exact"/>
        <w:rPr>
          <w:rFonts w:ascii="Times New Roman" w:cs="Times New Roman" w:eastAsia="Times New Roman" w:hAnsi="Times New Roman"/>
          <w:sz w:val="21"/>
          <w:szCs w:val="21"/>
          <w:color w:val="auto"/>
        </w:rPr>
      </w:pPr>
    </w:p>
    <w:p>
      <w:pPr>
        <w:jc w:val="both"/>
        <w:ind w:left="660" w:firstLine="644"/>
        <w:spacing w:after="0" w:line="213" w:lineRule="auto"/>
        <w:tabs>
          <w:tab w:leader="none" w:pos="19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the Borrower is a Publicly Reporting Company, the Borrower shall within ten (10) Business Days of the Borrower’s filing, provide access (via posting and/or links on the Borrower’s website) to all reports filed with the SEC, any Governmental Authority succeeding to any or all of the functions of the SEC or with any national securities exchange; and within ten (10) Business Days of filing, provide notice and access (via posting and/or links on the Borrower’s website) to all reports filed with the SEC, and copies of (or access to, via posting and/or links on the Borrower’s website) all other reports, proxy statements and other materials filed by the Borrower with the SEC, any Governmental Authority succeeding to any of the functions of the SEC or with any national securities exchange.</w:t>
      </w:r>
    </w:p>
    <w:p>
      <w:pPr>
        <w:spacing w:after="0" w:line="152"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8.02. Notices of Material Events. </w:t>
      </w:r>
      <w:r>
        <w:rPr>
          <w:rFonts w:ascii="Times New Roman" w:cs="Times New Roman" w:eastAsia="Times New Roman" w:hAnsi="Times New Roman"/>
          <w:sz w:val="22"/>
          <w:szCs w:val="22"/>
          <w:color w:val="auto"/>
        </w:rPr>
        <w:t>It will furnish to the Administrative Agent for distribution to the Lenders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written notice of the following promptly after a Responsible Officer of the Borrower and its Subsidiaries first learns of the existence of:</w:t>
      </w:r>
    </w:p>
    <w:p>
      <w:pPr>
        <w:spacing w:after="0" w:line="150" w:lineRule="exact"/>
        <w:rPr>
          <w:sz w:val="20"/>
          <w:szCs w:val="20"/>
          <w:color w:val="auto"/>
        </w:rPr>
      </w:pPr>
    </w:p>
    <w:p>
      <w:pPr>
        <w:ind w:left="1940" w:hanging="636"/>
        <w:spacing w:after="0"/>
        <w:tabs>
          <w:tab w:leader="none" w:pos="194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Default or Event of Default;</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event with respect to any Obligor’s Property resulting in a Loss, to the extent not covered by insurance, aggregating $2,000,000 or more;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6" w:lineRule="auto"/>
        <w:tabs>
          <w:tab w:leader="none" w:pos="1953"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obtaining written notice or Knowledge of (i) any proposed Acquisition by any Obligor that would reasonably be expected to result in environmental liability under Environmental Laws in excess of $1,000,000, and</w:t>
      </w:r>
    </w:p>
    <w:p>
      <w:pPr>
        <w:spacing w:after="0" w:line="1" w:lineRule="exact"/>
        <w:rPr>
          <w:rFonts w:ascii="Times New Roman" w:cs="Times New Roman" w:eastAsia="Times New Roman" w:hAnsi="Times New Roman"/>
          <w:sz w:val="21"/>
          <w:szCs w:val="21"/>
          <w:color w:val="auto"/>
        </w:rPr>
      </w:pPr>
    </w:p>
    <w:p>
      <w:pPr>
        <w:jc w:val="both"/>
        <w:ind w:left="660" w:hanging="4"/>
        <w:spacing w:after="0" w:line="210" w:lineRule="auto"/>
        <w:tabs>
          <w:tab w:leader="none" w:pos="99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to the extent that any of the following would reasonably be expected to result in liability in excess of $1,000,000: (A) any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to the Obligors’ Knowledge, threatened in writing against or affecting any Obligor or any of its Subsidiaries or with respect to the ownership, use, maintenance and operation of their respective businesses, operations or properties, relating to Environmental Laws or Hazardous Material;</w:t>
      </w:r>
    </w:p>
    <w:p>
      <w:pPr>
        <w:spacing w:after="0" w:line="154"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of the assertion of any environmental matter by any Person in writing against,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95" w:right="339" w:bottom="1440" w:gutter="0" w:footer="0" w:header="0"/>
        </w:sectPr>
      </w:pPr>
    </w:p>
    <w:bookmarkStart w:id="197" w:name="page198"/>
    <w:bookmarkEnd w:id="197"/>
    <w:p>
      <w:pPr>
        <w:jc w:val="both"/>
        <w:spacing w:after="0" w:line="217" w:lineRule="auto"/>
        <w:rPr>
          <w:sz w:val="20"/>
          <w:szCs w:val="20"/>
          <w:color w:val="auto"/>
        </w:rPr>
      </w:pPr>
      <w:r>
        <w:rPr>
          <w:rFonts w:ascii="Times New Roman" w:cs="Times New Roman" w:eastAsia="Times New Roman" w:hAnsi="Times New Roman"/>
          <w:sz w:val="22"/>
          <w:szCs w:val="22"/>
          <w:color w:val="auto"/>
        </w:rPr>
        <w:t>respect to the activities of, any Obligor or any of its Subsidiaries and any alleged violation of or non-compliance with any Environmental Laws or any Permits, licenses or authorizations by any Obligor or any of its Subsidiaries, in each case, which would reasonably be expected to involve damages in excess of $1,000,000 other than any environmental matter or alleged violation that, if adversely determined, would not reasonably be expected to result (either individually or in the aggregate) in a Material Adverse Effect;</w:t>
      </w:r>
    </w:p>
    <w:p>
      <w:pPr>
        <w:spacing w:after="0" w:line="152" w:lineRule="exact"/>
        <w:rPr>
          <w:sz w:val="20"/>
          <w:szCs w:val="20"/>
          <w:color w:val="auto"/>
        </w:rPr>
      </w:pPr>
    </w:p>
    <w:p>
      <w:pPr>
        <w:jc w:val="both"/>
        <w:ind w:firstLine="644"/>
        <w:spacing w:after="0" w:line="236" w:lineRule="auto"/>
        <w:tabs>
          <w:tab w:leader="none" w:pos="129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three (3) Business Days of obtaining notice or Knowledge 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spacing w:after="0" w:line="151" w:lineRule="exact"/>
        <w:rPr>
          <w:rFonts w:ascii="Times New Roman" w:cs="Times New Roman" w:eastAsia="Times New Roman" w:hAnsi="Times New Roman"/>
          <w:sz w:val="21"/>
          <w:szCs w:val="21"/>
          <w:color w:val="auto"/>
        </w:rPr>
      </w:pPr>
    </w:p>
    <w:p>
      <w:pPr>
        <w:jc w:val="both"/>
        <w:ind w:firstLine="644"/>
        <w:spacing w:after="0" w:line="213" w:lineRule="auto"/>
        <w:tabs>
          <w:tab w:leader="none" w:pos="129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a Material Adverse Effect would not reasonably be expected to result in connection therewith, (i) within ten (10)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spacing w:after="0" w:line="156" w:lineRule="exact"/>
        <w:rPr>
          <w:rFonts w:ascii="Times New Roman" w:cs="Times New Roman" w:eastAsia="Times New Roman" w:hAnsi="Times New Roman"/>
          <w:sz w:val="22"/>
          <w:szCs w:val="22"/>
          <w:color w:val="auto"/>
        </w:rPr>
      </w:pPr>
    </w:p>
    <w:p>
      <w:pPr>
        <w:jc w:val="both"/>
        <w:ind w:firstLine="644"/>
        <w:spacing w:after="0" w:line="222" w:lineRule="auto"/>
        <w:tabs>
          <w:tab w:leader="none" w:pos="129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five (5) Business Days of obtaining written notice or Knowledge thereof, (i) the termination of any Material Agreement;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or (iv) any amendment to a Material Agreement that would be materially adverse to the Lenders (and a copy thereof) (which includes, but is not limited to, any amendments to provisions relating to pricing and term);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notices required under this subsection (g) may be delivered with the quarterly Compliance Certificate unless any of the foregoing events would reasonably be expected to have a Material Adverse Effect;</w:t>
      </w:r>
    </w:p>
    <w:p>
      <w:pPr>
        <w:spacing w:after="0" w:line="157" w:lineRule="exact"/>
        <w:rPr>
          <w:rFonts w:ascii="Times New Roman" w:cs="Times New Roman" w:eastAsia="Times New Roman" w:hAnsi="Times New Roman"/>
          <w:sz w:val="21"/>
          <w:szCs w:val="21"/>
          <w:color w:val="auto"/>
        </w:rPr>
      </w:pPr>
    </w:p>
    <w:p>
      <w:pPr>
        <w:jc w:val="both"/>
        <w:ind w:firstLine="644"/>
        <w:spacing w:after="0" w:line="220" w:lineRule="auto"/>
        <w:tabs>
          <w:tab w:leader="none" w:pos="12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infringement or other violation by any Person of any Obligor Intellectual Property that would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 licensing agreement or arrangement entered into by any Obligor or any of its Subsidiaries in connection with any infringement or alleged infringement of the Intellectual Property of another Person;</w:t>
      </w:r>
    </w:p>
    <w:p>
      <w:pPr>
        <w:spacing w:after="0" w:line="152" w:lineRule="exact"/>
        <w:rPr>
          <w:rFonts w:ascii="Times New Roman" w:cs="Times New Roman" w:eastAsia="Times New Roman" w:hAnsi="Times New Roman"/>
          <w:sz w:val="22"/>
          <w:szCs w:val="22"/>
          <w:color w:val="auto"/>
        </w:rPr>
      </w:pPr>
    </w:p>
    <w:p>
      <w:pPr>
        <w:ind w:right="20" w:firstLine="644"/>
        <w:spacing w:after="0" w:line="236" w:lineRule="auto"/>
        <w:tabs>
          <w:tab w:leader="none" w:pos="129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obtaining written notice or Knowledge thereof, any written Claim by any Person that the conduct of any Obligor’s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0580"/>
          </w:cols>
          <w:pgMar w:left="980" w:top="1395" w:right="339" w:bottom="1440" w:gutter="0" w:footer="0" w:header="0"/>
        </w:sectPr>
      </w:pPr>
    </w:p>
    <w:bookmarkStart w:id="198" w:name="page199"/>
    <w:bookmarkEnd w:id="198"/>
    <w:p>
      <w:pPr>
        <w:jc w:val="both"/>
        <w:ind w:left="4"/>
        <w:spacing w:after="0" w:line="225" w:lineRule="auto"/>
        <w:rPr>
          <w:sz w:val="20"/>
          <w:szCs w:val="20"/>
          <w:color w:val="auto"/>
        </w:rPr>
      </w:pPr>
      <w:r>
        <w:rPr>
          <w:rFonts w:ascii="Times New Roman" w:cs="Times New Roman" w:eastAsia="Times New Roman" w:hAnsi="Times New Roman"/>
          <w:sz w:val="22"/>
          <w:szCs w:val="22"/>
          <w:color w:val="auto"/>
        </w:rPr>
        <w:t>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spacing w:after="0" w:line="153" w:lineRule="exact"/>
        <w:rPr>
          <w:sz w:val="20"/>
          <w:szCs w:val="20"/>
          <w:color w:val="auto"/>
        </w:rPr>
      </w:pPr>
    </w:p>
    <w:p>
      <w:pPr>
        <w:ind w:left="1284" w:hanging="636"/>
        <w:spacing w:after="0"/>
        <w:tabs>
          <w:tab w:leader="none" w:pos="1284"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8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of the date thereof, or, if earlier, on the date of delivery of any financial statements pursuant to Section 8.01, notice of any material change in accounting policies or financial reporting practices by the Obligors;</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9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obtaining any notice of any labor controversy resulting in or threatening to result in any strike, work stoppage, boycott, shutdown or other material labor disruption against or involving an Obligor (or any Subsidiary thereof);</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29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obtaining notice or Knowledge thereof, any other development that results in, or would reasonably be expected to result in, a Material Adverse Effect;</w:t>
      </w:r>
    </w:p>
    <w:p>
      <w:pPr>
        <w:spacing w:after="0" w:line="150" w:lineRule="exact"/>
        <w:rPr>
          <w:rFonts w:ascii="Times New Roman" w:cs="Times New Roman" w:eastAsia="Times New Roman" w:hAnsi="Times New Roman"/>
          <w:sz w:val="22"/>
          <w:szCs w:val="22"/>
          <w:color w:val="auto"/>
        </w:rPr>
      </w:pPr>
    </w:p>
    <w:p>
      <w:pPr>
        <w:jc w:val="both"/>
        <w:ind w:left="4" w:right="20" w:firstLine="644"/>
        <w:spacing w:after="0" w:line="220" w:lineRule="auto"/>
        <w:tabs>
          <w:tab w:leader="none" w:pos="129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obtaining written notice or Knowledge of the acceleration of the maturity of any Indebtedness owed by any Obligor or of any default by Obligors under any other indenture, mortgage, agreement, contract or other instrument to which any of them is a party or by which any of them or any of their properties is bound, if such acceleration or default could, in the reasonable opinion of the Borrower, cause a Material Adverse Effect;</w:t>
      </w:r>
    </w:p>
    <w:p>
      <w:pPr>
        <w:spacing w:after="0" w:line="152" w:lineRule="exact"/>
        <w:rPr>
          <w:rFonts w:ascii="Times New Roman" w:cs="Times New Roman" w:eastAsia="Times New Roman" w:hAnsi="Times New Roman"/>
          <w:sz w:val="22"/>
          <w:szCs w:val="22"/>
          <w:color w:val="auto"/>
        </w:rPr>
      </w:pPr>
    </w:p>
    <w:p>
      <w:pPr>
        <w:ind w:left="4" w:right="20" w:firstLine="644"/>
        <w:spacing w:after="0" w:line="236" w:lineRule="auto"/>
        <w:tabs>
          <w:tab w:leader="none" w:pos="129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obtaining written notice or Knowledge of any Taxes or obligations that are not paid in accordance with Section 8.04;</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30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of any change to any Obligor’s ownership of Deposit Accounts, Securities Accounts and Commodity Accounts (in each case, other than Excluded Accounts), by delivering to the Lenders an updated Schedule 7 to the Security Agreement setting forth a complete and correct list of all such accounts as of the date of such change; and</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19" w:lineRule="auto"/>
        <w:tabs>
          <w:tab w:leader="none" w:pos="128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five (5) Business Days of (i) receipt of any subpoena, civil investigative demand letter, or other notice from any Governmental Authority of any investigation or audit, or pending or threatened (in writing) proceedings relating to any material violation of any Health Care Law, (ii) receipt of notice from any Governmental Authority or Third-Party Payor Program of any payment suspension, material overpayment demand, prepayment review, validation review or program integrity review relating to a Federal Health Care Program or any material Third-Party Payor Program,</w:t>
      </w:r>
    </w:p>
    <w:p>
      <w:pPr>
        <w:spacing w:after="0" w:line="2" w:lineRule="exact"/>
        <w:rPr>
          <w:rFonts w:ascii="Times New Roman" w:cs="Times New Roman" w:eastAsia="Times New Roman" w:hAnsi="Times New Roman"/>
          <w:sz w:val="21"/>
          <w:szCs w:val="21"/>
          <w:color w:val="auto"/>
        </w:rPr>
      </w:pPr>
    </w:p>
    <w:p>
      <w:pPr>
        <w:jc w:val="both"/>
        <w:ind w:left="4" w:hanging="4"/>
        <w:spacing w:after="0" w:line="218" w:lineRule="auto"/>
        <w:tabs>
          <w:tab w:leader="none" w:pos="3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loss, suspension or relinquishment of any Regulatory Approval, or material Third-Party Payor Authorization, or (iv) voluntary disclosure to a Governmental Authority of an overpayment amount greater than $1,000,000 related to an actual or potential violation of Health Care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0584"/>
          </w:cols>
          <w:pgMar w:left="976" w:top="1395" w:right="339" w:bottom="1440" w:gutter="0" w:footer="0" w:header="0"/>
        </w:sectPr>
      </w:pPr>
    </w:p>
    <w:bookmarkStart w:id="199" w:name="page200"/>
    <w:bookmarkEnd w:id="19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Each notice delivered under this Section 8.02 shall be accompanied by a statement of a Responsible Officer of the Borrower setting forth in reasonable detail the event or development requiring such notice and any action taken or proposed to be taken with respect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so long as the Borrower is a Publicly Reporting Company, the Borrower’s filing of notice of any such event with the SEC shall be deemed to satisfy the requirements of this Section 8.02 on the date on which such report is first available via the SEC’s EDGAR system or a successor system related thereto.</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any contrary provision of this Agreement or any other Loan Document (including, without limitation, Sections 8.01 and 8.02), so long as the Borrower is a Publicly Reporting Company, in the event that the Administrative Agent provides notice to the Borrower that it no longer desires to receive any information that constitutes material non-public information, the Obligors shall not be required to provide any information pursuant to the terms hereof or thereof unless the Borrower is disclosing such information pursuant to a filing with the SEC;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the Obligors shall at all times comply with Section 8.01(e) and 8.02(a).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8.03.  Existence; Maintenance of Properties, Etc</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25" w:lineRule="auto"/>
        <w:tabs>
          <w:tab w:leader="none" w:pos="195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will, and will cause each of its Subsidiaries to, do or cause to be done all things necessary to preserve, renew and keep in full force and effect its legal existence;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amalgamation, plan of arrangement, consolidation, liquidation or dissolution permitted under Section 9.03.</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ordinary wear and tear and damage from casualty or condemnation excepted.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and shall cause each of its Subsidiaries to, use commercially reasonable efforts to cause each new employee to execute and deliver a customary confidentiality, non-disclosure and Intellectual Property assignment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maintain sufficient authorized but unissued share capital to satisfy in full, without the need for the passing of any further resolutions of its shareholders, the outstanding rights represented by the Warrant Certificate.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 xml:space="preserve">Section 8.04. Payment of Obligations. </w:t>
      </w:r>
      <w:r>
        <w:rPr>
          <w:rFonts w:ascii="Times New Roman" w:cs="Times New Roman" w:eastAsia="Times New Roman" w:hAnsi="Times New Roman"/>
          <w:sz w:val="22"/>
          <w:szCs w:val="22"/>
          <w:color w:val="auto"/>
        </w:rPr>
        <w:t>It will, and will cause each of its Subsidiaries to, pay and discharge (a) all federal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200" w:name="page201"/>
    <w:bookmarkEnd w:id="200"/>
    <w:p>
      <w:pPr>
        <w:jc w:val="both"/>
        <w:ind w:firstLine="648"/>
        <w:spacing w:after="0" w:line="218" w:lineRule="auto"/>
        <w:rPr>
          <w:sz w:val="20"/>
          <w:szCs w:val="20"/>
          <w:color w:val="auto"/>
        </w:rPr>
      </w:pPr>
      <w:r>
        <w:rPr>
          <w:rFonts w:ascii="Times New Roman" w:cs="Times New Roman" w:eastAsia="Times New Roman" w:hAnsi="Times New Roman"/>
          <w:sz w:val="21"/>
          <w:szCs w:val="21"/>
          <w:i w:val="1"/>
          <w:iCs w:val="1"/>
          <w:color w:val="auto"/>
        </w:rPr>
        <w:t xml:space="preserve">Section 8.05. Insurance. </w:t>
      </w:r>
      <w:r>
        <w:rPr>
          <w:rFonts w:ascii="Times New Roman" w:cs="Times New Roman" w:eastAsia="Times New Roman" w:hAnsi="Times New Roman"/>
          <w:sz w:val="21"/>
          <w:szCs w:val="21"/>
          <w:color w:val="auto"/>
        </w:rPr>
        <w:t>At its own cost and expense, it will, and will cause each of its Subsidiaries, to obtain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The Borrower will use its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the Borrower (payable within three (3) Business Days of the Borrower’s receipt of written demand therefor) and, unless an Event of Default has occurred and is continuing, with the prior written consent of the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in writing from time to time.</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i w:val="1"/>
          <w:iCs w:val="1"/>
          <w:color w:val="auto"/>
        </w:rPr>
        <w:t xml:space="preserve">Section 8.06. Books and Records; Inspection Rights. </w:t>
      </w:r>
      <w:r>
        <w:rPr>
          <w:rFonts w:ascii="Times New Roman" w:cs="Times New Roman" w:eastAsia="Times New Roman" w:hAnsi="Times New Roman"/>
          <w:sz w:val="22"/>
          <w:szCs w:val="22"/>
          <w:color w:val="auto"/>
        </w:rPr>
        <w:t>It will, and will cause each of its Subsidiaries to, keep proper books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but no less than three (3) days’ prior written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out-of-pocket expenses incurred by the Administrative Agent (a) so long as no Default has occurred and is continuing, for no more than one (1) such inspection each calendar year and (b) upon the occurrence and during the continuance of a Default, all such inspections. Notwithstanding anything to the contrary contained herein, no Obligor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regulation or any binding agreement with a third party or (iii) that is subject to attorney client or similar privilege or constitutes attorney work product.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8.07.  Compliance with Laws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20" w:lineRule="auto"/>
        <w:tabs>
          <w:tab w:leader="none" w:pos="195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where the failure to do so, individually or in the aggregate, would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91" w:right="339" w:bottom="1440" w:gutter="0" w:footer="0" w:header="0"/>
        </w:sectPr>
      </w:pPr>
    </w:p>
    <w:bookmarkStart w:id="201" w:name="page202"/>
    <w:bookmarkEnd w:id="201"/>
    <w:p>
      <w:pPr>
        <w:jc w:val="both"/>
        <w:ind w:left="660" w:firstLine="644"/>
        <w:spacing w:after="0" w:line="225" w:lineRule="auto"/>
        <w:tabs>
          <w:tab w:leader="none" w:pos="195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Obligor will maintain, and will cause each of its Subsidiaries to maintain, in all material respects, a Health Care Compliance Program, which will be reviewed and updated annually, as necessary.</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8.08. Licenses. </w:t>
      </w:r>
      <w:r>
        <w:rPr>
          <w:rFonts w:ascii="Times New Roman" w:cs="Times New Roman" w:eastAsia="Times New Roman" w:hAnsi="Times New Roman"/>
          <w:sz w:val="22"/>
          <w:szCs w:val="22"/>
          <w:color w:val="auto"/>
        </w:rPr>
        <w:t>It will, and will cause each of its Subsidiaries to, obtain and maintain all licenses, authorizations,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Section 8.09. Action under Environmental Laws</w:t>
      </w:r>
      <w:r>
        <w:rPr>
          <w:rFonts w:ascii="Times New Roman" w:cs="Times New Roman" w:eastAsia="Times New Roman" w:hAnsi="Times New Roman"/>
          <w:sz w:val="22"/>
          <w:szCs w:val="22"/>
          <w:color w:val="auto"/>
        </w:rPr>
        <w:t>. Except as would not be reasonably expected to result in a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Adverse Effect, it will, and will cause each of its Subsidiaries to, upon a Responsible Officer becoming aware of the release of any Hazardous Materials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in each case in material compliance with applicable Environmental Laws.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8.10. Use of Proceeds. </w:t>
      </w:r>
      <w:r>
        <w:rPr>
          <w:rFonts w:ascii="Times New Roman" w:cs="Times New Roman" w:eastAsia="Times New Roman" w:hAnsi="Times New Roman"/>
          <w:sz w:val="22"/>
          <w:szCs w:val="22"/>
          <w:color w:val="auto"/>
        </w:rPr>
        <w:t>The proceeds of the Term Loans will be used only as provided in Section 2.05. No part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proceeds of the Term Loans will be used, whether directly or indirectly, for any purpose that violates any of the Regulations of the Board of Governors of the Federal Reserve System, including Regulations T, U and X.</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8.11.  Certain Obligations Respecting Subsidiaries; Further Assurances</w:t>
      </w:r>
    </w:p>
    <w:p>
      <w:pPr>
        <w:spacing w:after="0" w:line="179" w:lineRule="exact"/>
        <w:rPr>
          <w:sz w:val="20"/>
          <w:szCs w:val="20"/>
          <w:color w:val="auto"/>
        </w:rPr>
      </w:pPr>
    </w:p>
    <w:p>
      <w:pPr>
        <w:jc w:val="both"/>
        <w:ind w:left="660" w:firstLine="644"/>
        <w:spacing w:after="0" w:line="218" w:lineRule="auto"/>
        <w:tabs>
          <w:tab w:leader="none" w:pos="195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Subsidiaries. </w:t>
      </w:r>
      <w:r>
        <w:rPr>
          <w:rFonts w:ascii="Times New Roman" w:cs="Times New Roman" w:eastAsia="Times New Roman" w:hAnsi="Times New Roman"/>
          <w:sz w:val="22"/>
          <w:szCs w:val="22"/>
          <w:color w:val="auto"/>
        </w:rPr>
        <w:t>The Borrower will take such action, and will cause each of its Subsidiaries to take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 from time to time as shall be necessary to ensure that all Subsidiaries are “Guarantors” hereunder. Without limiting the generality of the foregoing, in the event that any Obligor shall form or acquire any new Subsidiary, it and its Subsidiaries will promptly and in any event within thirty (30) days (or such longer time as consented to by the Administrative Agent in writing) of the formation or Acquisition of such Subsidiary:</w:t>
      </w:r>
    </w:p>
    <w:p>
      <w:pPr>
        <w:spacing w:after="0" w:line="151" w:lineRule="exact"/>
        <w:rPr>
          <w:rFonts w:ascii="Times New Roman" w:cs="Times New Roman" w:eastAsia="Times New Roman" w:hAnsi="Times New Roman"/>
          <w:sz w:val="22"/>
          <w:szCs w:val="22"/>
          <w:color w:val="auto"/>
        </w:rPr>
      </w:pPr>
    </w:p>
    <w:p>
      <w:pPr>
        <w:ind w:left="1300" w:right="20" w:firstLine="652"/>
        <w:spacing w:after="0" w:line="236" w:lineRule="auto"/>
        <w:tabs>
          <w:tab w:leader="none" w:pos="2584"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new Subsidiary to become a “Guarantor” hereunder, and a “Grantor” under the Security Documents, pursuant to a Guarantee Assumption Agreement;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9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202" w:name="page203"/>
    <w:bookmarkEnd w:id="202"/>
    <w:p>
      <w:pPr>
        <w:ind w:left="1300" w:firstLine="652"/>
        <w:spacing w:after="0" w:line="236" w:lineRule="auto"/>
        <w:tabs>
          <w:tab w:leader="none" w:pos="2596"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parent of such Subsidiary to execute and deliver a pledge agreement in favor of the Administrative Agent, in respect of all outstanding issued shares of such Subsidiary; and</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such proof of corporate action, incumbency of officers, opinions of counsel and other documents as is consistent with those delivered by each Obligor pursuant to Section 6.01 or as the Administrative Agent shall have reasonably requested in writing.</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Assurances. </w:t>
      </w:r>
      <w:r>
        <w:rPr>
          <w:rFonts w:ascii="Times New Roman" w:cs="Times New Roman" w:eastAsia="Times New Roman" w:hAnsi="Times New Roman"/>
          <w:sz w:val="22"/>
          <w:szCs w:val="22"/>
          <w:color w:val="auto"/>
        </w:rPr>
        <w:t>Subject to the limitations contained in the Loan Documents, it will, and will 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each of its Subsidiaries to, take such action from time to time as shall reasonably be requested in writing by the Administrative Agent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Administrative Agent to create, in favor of the Administrative Agent, perfected security interests and Liens (subject to Permitted Liens) in substantially all of the personal Property of such Obligor as collateral security for the Obligations;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security interest or Lien shall be subject to the relevant requirements of the Security Documents.</w:t>
      </w:r>
    </w:p>
    <w:p>
      <w:pPr>
        <w:spacing w:after="0" w:line="148" w:lineRule="exact"/>
        <w:rPr>
          <w:rFonts w:ascii="Times New Roman" w:cs="Times New Roman" w:eastAsia="Times New Roman" w:hAnsi="Times New Roman"/>
          <w:sz w:val="22"/>
          <w:szCs w:val="22"/>
          <w:color w:val="auto"/>
        </w:rPr>
      </w:pPr>
    </w:p>
    <w:p>
      <w:pPr>
        <w:jc w:val="both"/>
        <w:ind w:left="660" w:firstLine="644"/>
        <w:spacing w:after="0" w:line="210" w:lineRule="auto"/>
        <w:tabs>
          <w:tab w:leader="none" w:pos="195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In the event that any Obligor creates, develops or acquires Obligor Intellectual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written request of the Administrative Agent, such Obligor shall take any action as shall be reasonably necessary and reasonably requested in writing by the Administrative Agent to ensure that the provisions of this Agreement and the Security Agreement shall apply thereto and any such Obligor Intellectual Property shall constitute part of the Collateral under the Security Documents.</w:t>
      </w:r>
    </w:p>
    <w:p>
      <w:pPr>
        <w:spacing w:after="0" w:line="15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8.12. Termination of Non-Permitted Liens. </w:t>
      </w:r>
      <w:r>
        <w:rPr>
          <w:rFonts w:ascii="Times New Roman" w:cs="Times New Roman" w:eastAsia="Times New Roman" w:hAnsi="Times New Roman"/>
          <w:sz w:val="22"/>
          <w:szCs w:val="22"/>
          <w:color w:val="auto"/>
        </w:rPr>
        <w:t>In the event that any Responsible Officer of any Obligor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aware or be notified by the Lenders of the existence of any outstanding Lien against any Property of any Obligor or any of its Subsidiaries, which Lien is not a Permitted Lien, such Obligor shall use its commercially reasonable efforts to promptly terminate or cause the termination of such Lien.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8.13.  [Reserved]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8.14.  [Reserved]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8.15.  Financial Covenants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firstLine="644"/>
        <w:spacing w:after="0" w:line="238" w:lineRule="auto"/>
        <w:tabs>
          <w:tab w:leader="none" w:pos="19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Liquidity</w:t>
      </w:r>
      <w:r>
        <w:rPr>
          <w:rFonts w:ascii="Times New Roman" w:cs="Times New Roman" w:eastAsia="Times New Roman" w:hAnsi="Times New Roman"/>
          <w:sz w:val="22"/>
          <w:szCs w:val="22"/>
          <w:color w:val="auto"/>
        </w:rPr>
        <w:t>. The Borrower shall ensure that the Obligors on a consolidated basis shall have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aggregate Unrestricted Cash of not less than $3,000,000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395" w:right="339" w:bottom="1440" w:gutter="0" w:footer="0" w:header="0"/>
        </w:sectPr>
      </w:pPr>
    </w:p>
    <w:bookmarkStart w:id="203" w:name="page204"/>
    <w:bookmarkEnd w:id="203"/>
    <w:p>
      <w:pPr>
        <w:jc w:val="both"/>
        <w:ind w:left="-460" w:firstLine="644"/>
        <w:spacing w:after="0" w:line="221" w:lineRule="auto"/>
        <w:tabs>
          <w:tab w:leader="none" w:pos="83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Minimum Net Revenue</w:t>
      </w:r>
      <w:r>
        <w:rPr>
          <w:rFonts w:ascii="Times New Roman" w:cs="Times New Roman" w:eastAsia="Times New Roman" w:hAnsi="Times New Roman"/>
          <w:sz w:val="22"/>
          <w:szCs w:val="22"/>
          <w:color w:val="auto"/>
        </w:rPr>
        <w:t>. As of the end of the fiscal quarter ended June 30, 2025, and each fiscal quarter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thereafter, the Obligors shall maintain, on a consolidated basis, Net Revenue for the twelve (12) month period most recently ended (calculated pursuant to the most recently delivered financial statements) on such date of not less than the amount set forth in the table below:</w:t>
      </w: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282"/>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w w:val="97"/>
              </w:rPr>
              <w:t>Twelve- Month Period Ended</w:t>
            </w:r>
          </w:p>
        </w:tc>
        <w:tc>
          <w:tcPr>
            <w:tcW w:w="2520" w:type="dxa"/>
            <w:vAlign w:val="bottom"/>
          </w:tcPr>
          <w:p>
            <w:pPr>
              <w:jc w:val="center"/>
              <w:ind w:left="372"/>
              <w:spacing w:after="0"/>
              <w:rPr>
                <w:sz w:val="20"/>
                <w:szCs w:val="20"/>
                <w:color w:val="auto"/>
              </w:rPr>
            </w:pPr>
            <w:r>
              <w:rPr>
                <w:rFonts w:ascii="Times New Roman" w:cs="Times New Roman" w:eastAsia="Times New Roman" w:hAnsi="Times New Roman"/>
                <w:sz w:val="22"/>
                <w:szCs w:val="22"/>
                <w:color w:val="auto"/>
                <w:w w:val="98"/>
              </w:rPr>
              <w:t>Minimum Net Revenue</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7"/>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r>
        <w:trPr>
          <w:trHeight w:val="526"/>
        </w:trPr>
        <w:tc>
          <w:tcPr>
            <w:tcW w:w="3060" w:type="dxa"/>
            <w:vAlign w:val="bottom"/>
          </w:tcPr>
          <w:p>
            <w:pPr>
              <w:jc w:val="center"/>
              <w:ind w:right="392"/>
              <w:spacing w:after="0"/>
              <w:rPr>
                <w:sz w:val="20"/>
                <w:szCs w:val="20"/>
                <w:color w:val="auto"/>
              </w:rPr>
            </w:pPr>
            <w:r>
              <w:rPr>
                <w:rFonts w:ascii="Times New Roman" w:cs="Times New Roman" w:eastAsia="Times New Roman" w:hAnsi="Times New Roman"/>
                <w:sz w:val="22"/>
                <w:szCs w:val="22"/>
                <w:color w:val="auto"/>
              </w:rPr>
              <w:t>[***]</w:t>
            </w:r>
          </w:p>
        </w:tc>
        <w:tc>
          <w:tcPr>
            <w:tcW w:w="2520" w:type="dxa"/>
            <w:vAlign w:val="bottom"/>
          </w:tcPr>
          <w:p>
            <w:pPr>
              <w:jc w:val="center"/>
              <w:ind w:left="392"/>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200" w:lineRule="exact"/>
        <w:rPr>
          <w:sz w:val="20"/>
          <w:szCs w:val="20"/>
          <w:color w:val="auto"/>
        </w:rPr>
      </w:pPr>
    </w:p>
    <w:p>
      <w:pPr>
        <w:sectPr>
          <w:pgSz w:w="11900" w:h="16838" w:orient="portrait"/>
          <w:cols w:equalWidth="0" w:num="1">
            <w:col w:w="10120"/>
          </w:cols>
          <w:pgMar w:left="144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-70-</w:t>
      </w:r>
    </w:p>
    <w:p>
      <w:pPr>
        <w:sectPr>
          <w:pgSz w:w="11900" w:h="16838" w:orient="portrait"/>
          <w:cols w:equalWidth="0" w:num="1">
            <w:col w:w="10120"/>
          </w:cols>
          <w:pgMar w:left="1440" w:top="1391" w:right="339" w:bottom="1440" w:gutter="0" w:footer="0" w:header="0"/>
          <w:type w:val="continuous"/>
        </w:sectPr>
      </w:pPr>
    </w:p>
    <w:bookmarkStart w:id="204" w:name="page205"/>
    <w:bookmarkEnd w:id="204"/>
    <w:p>
      <w:pPr>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8.16. Maintenance of Regulatory Approvals, Contracts, Intellectual Property, Etc. </w:t>
      </w:r>
      <w:r>
        <w:rPr>
          <w:rFonts w:ascii="Times New Roman" w:cs="Times New Roman" w:eastAsia="Times New Roman" w:hAnsi="Times New Roman"/>
          <w:sz w:val="22"/>
          <w:szCs w:val="22"/>
          <w:color w:val="auto"/>
        </w:rPr>
        <w:t>Each Obligor will, and will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each of its Subsidiaries (to the extent applicable) to:</w:t>
      </w:r>
    </w:p>
    <w:p>
      <w:pPr>
        <w:spacing w:after="0" w:line="150" w:lineRule="exact"/>
        <w:rPr>
          <w:sz w:val="20"/>
          <w:szCs w:val="20"/>
          <w:color w:val="auto"/>
        </w:rPr>
      </w:pPr>
    </w:p>
    <w:p>
      <w:pPr>
        <w:jc w:val="both"/>
        <w:ind w:left="660" w:firstLine="644"/>
        <w:spacing w:after="0" w:line="220" w:lineRule="auto"/>
        <w:tabs>
          <w:tab w:leader="none" w:pos="195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material CLIA laboratory certifications or accreditations, material Regulatory Approvals, Material Agreements, or other rights necessary for the current operations of such Obligor’s or such Subsidiary’s business, as the case may be, including in respect of all related Product Development and Commercialization Activities;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 full force and effect all Obligor Intellectual Property that is used in and necessary for related Product Development and Commercialization Activities; and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pursue and maintain in full force and effect legal protection for all new, Obligor Intellectual Property that is used in and necessary in connection with any Product Development and Commercialization Activities relating to any such Product.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8.17.  Cash Management</w:t>
      </w:r>
      <w:r>
        <w:rPr>
          <w:rFonts w:ascii="Times New Roman" w:cs="Times New Roman" w:eastAsia="Times New Roman" w:hAnsi="Times New Roman"/>
          <w:sz w:val="22"/>
          <w:szCs w:val="22"/>
          <w:color w:val="auto"/>
        </w:rPr>
        <w:t>. It will, and will cause each of their Subsidiaries to:</w:t>
      </w:r>
    </w:p>
    <w:p>
      <w:pPr>
        <w:spacing w:after="0" w:line="183" w:lineRule="exact"/>
        <w:rPr>
          <w:sz w:val="20"/>
          <w:szCs w:val="20"/>
          <w:color w:val="auto"/>
        </w:rPr>
      </w:pPr>
    </w:p>
    <w:p>
      <w:pPr>
        <w:jc w:val="both"/>
        <w:ind w:left="660" w:firstLine="644"/>
        <w:spacing w:after="0" w:line="220" w:lineRule="auto"/>
        <w:tabs>
          <w:tab w:leader="none" w:pos="195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rFonts w:ascii="Times New Roman" w:cs="Times New Roman" w:eastAsia="Times New Roman" w:hAnsi="Times New Roman"/>
          <w:sz w:val="22"/>
          <w:szCs w:val="22"/>
          <w:i w:val="1"/>
          <w:iCs w:val="1"/>
          <w:color w:val="auto"/>
        </w:rPr>
        <w:t>“Controlled Account”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promptly, and in any event no later than five (5) Business Days after the date of receipt thereof, all cash, checks, drafts or other similar items of payment relating to or constituting payments made in respect of any and all accounts and other rights and interests into Controlled Accounts;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segregate and to facilitate perfection of the security interest in any funds an Obligor receives from Third-Party Payor Programs, to the extent any Obligor receives payments from a Federal Health Care Program as of the Closing Date, such Obligor shall, within ninety (90) days after the Closing Date (or such later date as may be agreed to by the Administrative Agent) (or with respect to an Obligor’s future participation in any Federal Health Care Program, prior to such Obligor’s receipt of payments from such Federal Health Care Program), notify all Governmental Authorities making any payments under any Federal Health Care Program to make any such payments only to one or more Segregated Health Care Accounts. No Obligor shall deposit any funds to a Segregated Health Care Account or direct or permit any other Person to deposit any funds to a Segregated Health Care Account, other than payments received from Federal Health Care Programs. The Obligors shall have until the date that is ninety (90) days following (i) the Closing Date (or such later date as may be agreed to by the Administrative Agent), or (ii) the date the applicable Obligor begins receiving payments from any Federal Health Care Program, to cause all amounts deposited into the Segregated Health Care Accounts to be automatically swept on a daily basis to a Controlled Account pursuant to a Sweep Agreement. Any such Sweep Agreement will require such depository bank to waive all of its existing and future rights of recoupment and set-off and banker’s lien against any Segregated Health Care Accounts.</w:t>
      </w:r>
    </w:p>
    <w:p>
      <w:pPr>
        <w:spacing w:after="0" w:line="15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Section 8.18. Post-Closing Obligations</w:t>
      </w:r>
      <w:r>
        <w:rPr>
          <w:rFonts w:ascii="Times New Roman" w:cs="Times New Roman" w:eastAsia="Times New Roman" w:hAnsi="Times New Roman"/>
          <w:sz w:val="22"/>
          <w:szCs w:val="22"/>
          <w:color w:val="auto"/>
        </w:rPr>
        <w:t>. The Obligors will provide the items set forth in Schedule 8.18 within the time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periods set forth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391" w:right="339" w:bottom="1440" w:gutter="0" w:footer="0" w:header="0"/>
        </w:sectPr>
      </w:pPr>
    </w:p>
    <w:bookmarkStart w:id="205" w:name="page206"/>
    <w:bookmarkEnd w:id="205"/>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7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Obligor covenants and agrees with the Administrative Agent and the Lenders that, until the Commitments have expired or been terminated and all Obligations (other than the Warrant Obligations and unasserted contingent liabilities) have been paid in full in cash:</w:t>
      </w:r>
    </w:p>
    <w:p>
      <w:pPr>
        <w:spacing w:after="0" w:line="155"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9.01. Indebtedness. </w:t>
      </w:r>
      <w:r>
        <w:rPr>
          <w:rFonts w:ascii="Times New Roman" w:cs="Times New Roman" w:eastAsia="Times New Roman" w:hAnsi="Times New Roman"/>
          <w:sz w:val="22"/>
          <w:szCs w:val="22"/>
          <w:color w:val="auto"/>
        </w:rPr>
        <w:t>It will not, and will not permit any of its Subsidiaries to, create, incur, assume or permit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exist any Indebtedness, whether directly or indirectly, except:</w:t>
      </w:r>
    </w:p>
    <w:p>
      <w:pPr>
        <w:spacing w:after="0" w:line="150" w:lineRule="exact"/>
        <w:rPr>
          <w:sz w:val="20"/>
          <w:szCs w:val="20"/>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date hereof and set forth in Schedule 9.01(b) and Permitted Refinancings</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155"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payable to trade creditors for goods and services and current operating liabilities (not the result of the borrowing of money) incurred in the Ordinary Course of Business;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guarantees resulting from endorsement of negotiable instruments for collection by an Obligor or any of its Subsidiaries in the Ordinary Course of Business;</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of an Obligor to any other Obligor;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Indebtedness is pledged to the Administrative Agent for the benefit of the Lenders under the Security Agreement and otherwise subordinate in right of payment to the Obligations on terms reasonably satisfactory to the Administrative Agent in its sole discretion;</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Obligor of Indebtedness of any other Obligor;</w:t>
      </w:r>
    </w:p>
    <w:p>
      <w:pPr>
        <w:spacing w:after="0" w:line="175"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5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purchase money Indebtedness and Capital Lease Obligations and Permitted Refinancings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secured, the collateral therefor consists solely of the assets being financed, the products and proceeds thereof and books and records related thereto, (ii) in the case of purchase money Indebtedness, such Indebtedness shall not constitute less than 75% of the aggregate consideration paid with respect to such asset and (iii) the aggregate outstanding principal amount of such Indebtedness does not exceed $2,000,000 at any time;</w:t>
      </w:r>
    </w:p>
    <w:p>
      <w:pPr>
        <w:spacing w:after="0" w:line="151"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workers’ compensation Claims, payment obligations in connection with health, disability or other types of social security benefits, unemployment or other insurance obligations, reclamation and statutory obligations, in each case incurred in the Ordinary Course of Business;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Hedging Agreements permitted pursuant to Section 9.05(f);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approved in advance in writing by the Majority Lenders and Permitted Refinancings thereof;</w:t>
      </w:r>
    </w:p>
    <w:p>
      <w:pPr>
        <w:spacing w:after="0" w:line="190"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Borrower and its Subsidiaries with respect to corporate credit cards not to exceed $1,500,000 at any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391" w:right="339" w:bottom="1440" w:gutter="0" w:footer="0" w:header="0"/>
        </w:sectPr>
      </w:pPr>
    </w:p>
    <w:bookmarkStart w:id="206" w:name="page207"/>
    <w:bookmarkEnd w:id="206"/>
    <w:p>
      <w:pPr>
        <w:jc w:val="both"/>
        <w:ind w:left="660" w:firstLine="644"/>
        <w:spacing w:after="0" w:line="225"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obligations of an Obligor under deferred compensation or other similar arrangements incurred by such Person in the Ordinary Course of Business in connection with a transaction expressly permitted hereunder;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automatic clearinghouse arrangements, overdraft protections and similar arrangements in each case in connection with deposit accounts;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in respect of appeal and surety bonds and performance and completion guarantees and similar obligations provided by an Obligor or obligations in respect of letters of credit, bank guarantees or similar instruments related thereto, in each case in the Ordinary Course of Business;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supported by a letter of credit with respect to which the Borrower has any reimbursement obligations, so long as such reimbursement obligations constitute Indebtedness permitted pursuant to any other clause of this Section 9.01;</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unpaid insurance premiums (not in excess of one year’s premiums) owing to insurance companies and insurance brokers incurred in connection with the financing of insurance premiums in the Ordinary Course of Business;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endorsements for collection, deposit or negotiation and warranties of products or services, in each case incurred in the Ordinary Course of Business;</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as a direct result of judgments, orders, awards or decrees against an Obligor or any of its Subsidiaries, in each case not constituting an Event of Default;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in an aggregate outstanding amount not to exceed $1,000,000 at any time and Permitted Refinancings thereof.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color w:val="auto"/>
        </w:rPr>
        <w:t xml:space="preserve">Section 9.02.  Liens. </w:t>
      </w:r>
      <w:r>
        <w:rPr>
          <w:rFonts w:ascii="Times New Roman" w:cs="Times New Roman" w:eastAsia="Times New Roman" w:hAnsi="Times New Roman"/>
          <w:sz w:val="21"/>
          <w:szCs w:val="21"/>
          <w:color w:val="auto"/>
        </w:rPr>
        <w:t>It will not, and will not permit any of its Subsidiaries to, create, incur, assume or permit to exist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Lien on any Property now owned by it, except:</w:t>
      </w:r>
    </w:p>
    <w:p>
      <w:pPr>
        <w:spacing w:after="0" w:line="155" w:lineRule="exact"/>
        <w:rPr>
          <w:sz w:val="20"/>
          <w:szCs w:val="20"/>
          <w:color w:val="auto"/>
        </w:rPr>
      </w:pPr>
    </w:p>
    <w:p>
      <w:pPr>
        <w:ind w:left="1940" w:hanging="636"/>
        <w:spacing w:after="0"/>
        <w:tabs>
          <w:tab w:leader="none" w:pos="19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Obligations;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of any Obligor existing on the date hereof and set forth in Schedule 9.02(b);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 no such Lien shall extend to any other Property of such Obligor and (ii) any such Lien shall secure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those obligations which it secures on the date hereof and extensions, renewals and replacements thereof that do not increase the outstanding principal amount thereof;</w:t>
      </w:r>
    </w:p>
    <w:p>
      <w:pPr>
        <w:spacing w:after="0" w:line="148" w:lineRule="exact"/>
        <w:rPr>
          <w:rFonts w:ascii="Times New Roman" w:cs="Times New Roman" w:eastAsia="Times New Roman" w:hAnsi="Times New Roman"/>
          <w:sz w:val="22"/>
          <w:szCs w:val="22"/>
          <w:color w:val="auto"/>
        </w:rPr>
      </w:pPr>
    </w:p>
    <w:p>
      <w:pPr>
        <w:ind w:left="660" w:firstLine="644"/>
        <w:spacing w:after="0" w:line="238" w:lineRule="auto"/>
        <w:tabs>
          <w:tab w:leader="none" w:pos="195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Section 9.01(g);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Liens are restricted solely to the collateral described in Section 9.01(g);</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the forfeiture or sale of the Property subject to such Liens and for which adequate reserves have been made if required substantially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395" w:right="339" w:bottom="1440" w:gutter="0" w:footer="0" w:header="0"/>
        </w:sectPr>
      </w:pPr>
    </w:p>
    <w:bookmarkStart w:id="207" w:name="page208"/>
    <w:bookmarkEnd w:id="207"/>
    <w:p>
      <w:pPr>
        <w:ind w:left="-460" w:firstLine="644"/>
        <w:spacing w:after="0" w:line="236" w:lineRule="auto"/>
        <w:tabs>
          <w:tab w:leader="none" w:pos="83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pledges or deposits made in the Ordinary Course of Business in connection with bids, Contracts, leases, appeal bonds, workers’ compensation, unemployment insurance or other similar social security legislation;</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such Obligor or Subsidiary;</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similar Liens incurred in the Ordinary Course of Business and arising in connection with Deposit Accounts or Securities Accounts held at financial institutions solely to secure payment of fees and similar costs and expenses of such financial institutions with respect to such accounts;</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connection with transfers permitted under Section 9.09;</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Lien or Lien arising from decrees or attachments not constituting an Event of Default;</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Business, and leases, subleases, nonexclusive licenses or sublicenses of personal property (other than Intellectual Property) granted in the Ordinary Course of Business;</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2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the payment of custom duties in connection with the importation of goods, not securing an amount in the aggregate in excess of $500,000 at any given time;</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82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 Deposit Account of the Obligors and the cash and cash equivalents therein, in each case, securing Indebtedness described in Section 9.01(k);</w:t>
      </w:r>
    </w:p>
    <w:p>
      <w:pPr>
        <w:spacing w:after="0" w:line="150"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sublessor, licensor or sublicensor under leases, subleases, licenses or sublicenses entered into by the Borrower in the Ordinary Course of Business;</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20"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 or rights of pledge (i) relating to the establishment of depository relations with banks not given in connection with the issuance of Indebtedness or (ii) relating to pooled deposit or sweep accounts of an Obligor to permit satisfaction of overdraft or similar obligations incurred in the Ordinary Course of Business of such Obligor;</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an Obligor in connection with any letter of intent or purchase agreement permitted hereunder;</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 solely to the extent that such Permitted License would constitute a Lien;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0120"/>
          </w:cols>
          <w:pgMar w:left="1440" w:top="1395" w:right="339" w:bottom="1440" w:gutter="0" w:footer="0" w:header="0"/>
        </w:sectPr>
      </w:pPr>
    </w:p>
    <w:bookmarkStart w:id="208" w:name="page209"/>
    <w:bookmarkEnd w:id="208"/>
    <w:p>
      <w:pPr>
        <w:ind w:left="660" w:firstLine="644"/>
        <w:spacing w:after="0" w:line="236" w:lineRule="auto"/>
        <w:tabs>
          <w:tab w:leader="none" w:pos="19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owned by the Obligors not otherwise permitted under this Agreement securing obligations in an aggregate amount not to exceed $100,000.</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Lien otherwise permitted under any of the foregoing Sections 9.02 (excluding Sections 9.02(a) and 9.02(q))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apply to any Obligor Intellectual Property.</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 xml:space="preserve">Section 9.03.  Fundamental Changes and Acquisitions. </w:t>
      </w:r>
      <w:r>
        <w:rPr>
          <w:rFonts w:ascii="Times New Roman" w:cs="Times New Roman" w:eastAsia="Times New Roman" w:hAnsi="Times New Roman"/>
          <w:sz w:val="22"/>
          <w:szCs w:val="22"/>
          <w:color w:val="auto"/>
        </w:rPr>
        <w:t>It will not, and will not permit any of its Subsidiaries to:</w:t>
      </w:r>
    </w:p>
    <w:p>
      <w:pPr>
        <w:spacing w:after="0" w:line="183" w:lineRule="exact"/>
        <w:rPr>
          <w:sz w:val="20"/>
          <w:szCs w:val="20"/>
          <w:color w:val="auto"/>
        </w:rPr>
      </w:pPr>
    </w:p>
    <w:p>
      <w:pPr>
        <w:ind w:left="660" w:firstLine="644"/>
        <w:spacing w:after="0" w:line="255" w:lineRule="auto"/>
        <w:tabs>
          <w:tab w:leader="none" w:pos="195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or consummate any transaction of merger, amalgamation, plan of arrangement or consolidation, including without limitation, a reverse-triangular merger, or other similar transaction or series of related transactions;</w:t>
      </w:r>
    </w:p>
    <w:p>
      <w:pPr>
        <w:spacing w:after="0" w:line="134"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wind up or dissolve itself (or suffer any liquidation, wind up or dissolution) (including in connection with any division or plan of division under Delaware law or any comparable event under a different jurisdiction’s laws); or</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consummate any Acquisition or sell or issue any Disqualified Equity Interests, except, in each</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case:</w:t>
      </w:r>
    </w:p>
    <w:p>
      <w:pPr>
        <w:spacing w:after="0" w:line="155"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9.05;</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 for (i) aggregate cash consideration not to exceed $1,000,000 and (ii) total consideration not to exceed $2,500,000 (including any consideration in the form of equity issuances), in each case, for the course of this Agreement;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merger, amalgamation or consolidation of any Obligor with or into any other Obligor,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the Borrower is a party to such merger, amalgamation or consolidation, the Borrower shall be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surviving entity and (y) any merger, amalgamation or consolidation of any non-Obligor subsidiary with or into any other non-Obligor subsidiary; and</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Sales permitted under Section 9.09.</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9.04. Lines of Business. </w:t>
      </w:r>
      <w:r>
        <w:rPr>
          <w:rFonts w:ascii="Times New Roman" w:cs="Times New Roman" w:eastAsia="Times New Roman" w:hAnsi="Times New Roman"/>
          <w:sz w:val="22"/>
          <w:szCs w:val="22"/>
          <w:color w:val="auto"/>
        </w:rPr>
        <w:t>It will not, and will not permit any of its Subsidiaries to, engage to any material extent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business other than the business engaged in on the date hereof by such Person, or a business reasonably related, ancillary, incidental or complementary thereto or reasonable extensions thereof.</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9.05. Investments. </w:t>
      </w:r>
      <w:r>
        <w:rPr>
          <w:rFonts w:ascii="Times New Roman" w:cs="Times New Roman" w:eastAsia="Times New Roman" w:hAnsi="Times New Roman"/>
          <w:sz w:val="22"/>
          <w:szCs w:val="22"/>
          <w:color w:val="auto"/>
        </w:rPr>
        <w:t>It will not, and will not permit any of its Subsidiaries to, make, directly or indirectly, or permit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remain outstanding any Investments except:</w:t>
      </w:r>
    </w:p>
    <w:p>
      <w:pPr>
        <w:spacing w:after="0" w:line="150" w:lineRule="exact"/>
        <w:rPr>
          <w:sz w:val="20"/>
          <w:szCs w:val="20"/>
          <w:color w:val="auto"/>
        </w:rPr>
      </w:pPr>
    </w:p>
    <w:p>
      <w:pPr>
        <w:ind w:left="660" w:firstLine="644"/>
        <w:spacing w:after="0" w:line="236" w:lineRule="auto"/>
        <w:tabs>
          <w:tab w:leader="none" w:pos="195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outstanding on the date hereof and identified in Schedule 9.05 and any modification, replacement, renewal or extension thereof to the extent not involving new or additional Investments;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Deposit Accounts with banks;</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credit in the nature of accounts receivable or notes receivable arising from the sales of goods or services in the Ordinary Course of Business;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Cash Equivalent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395" w:right="339" w:bottom="1440" w:gutter="0" w:footer="0" w:header="0"/>
        </w:sectPr>
      </w:pPr>
    </w:p>
    <w:bookmarkStart w:id="209" w:name="page210"/>
    <w:bookmarkEnd w:id="209"/>
    <w:p>
      <w:pPr>
        <w:jc w:val="both"/>
        <w:ind w:left="660" w:right="20" w:firstLine="644"/>
        <w:spacing w:after="0" w:line="225" w:lineRule="auto"/>
        <w:tabs>
          <w:tab w:leader="none" w:pos="195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consisting of 100% of the ownership of the Equity Interests of its Subsidiaries, (ii) intercompany Investments by any Obligor in any other Obligor or (iii) Investments by the Obligors and their Subsidiaries acquired in connection with a Permitted Acquisition;</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Hedging Agreements entered into in the ordinary course of any Obligor’s financial planning solely to hedge interest rate risks or foreign currency exchange risks (and not, in either case, for speculative purposes);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spacing w:after="0" w:line="152" w:lineRule="exact"/>
        <w:rPr>
          <w:rFonts w:ascii="Times New Roman" w:cs="Times New Roman" w:eastAsia="Times New Roman" w:hAnsi="Times New Roman"/>
          <w:sz w:val="22"/>
          <w:szCs w:val="22"/>
          <w:color w:val="auto"/>
        </w:rPr>
      </w:pPr>
    </w:p>
    <w:p>
      <w:pPr>
        <w:ind w:left="660" w:firstLine="644"/>
        <w:spacing w:after="0" w:line="255" w:lineRule="auto"/>
        <w:tabs>
          <w:tab w:leader="none" w:pos="195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permitted under Section 9.01(e) and Section 9.03;</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31" w:lineRule="auto"/>
        <w:tabs>
          <w:tab w:leader="none" w:pos="1951"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(i) travel advances and employee relocation loans and other employee loans and advances in the Ordinary Course of Business, and (ii) loans to employees, officers or directors relating to the purchase of equity securities of the Borrower or its Subsidiaries pursuant to employee stock purchase plans or agreements approved by the Borrower’s Board in an aggregate amount not to exceed $250,000 for subclauses (i) and (ii) in any fiscal year;</w:t>
      </w:r>
    </w:p>
    <w:p>
      <w:pPr>
        <w:spacing w:after="0" w:line="13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loans made in lieu of Restricted Payments which are otherwise permitted under</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9.06;</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increase in the value of any Investment permitted pursuant to this Section 9.05; and</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shall have occurred and is continuing at the time of such Investment, or after giving effect thereto, other Investments in an amount not to exceed $1,000,000 in any fiscal year.</w:t>
      </w:r>
    </w:p>
    <w:p>
      <w:pPr>
        <w:spacing w:after="0" w:line="14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9.06. Restricted Payments. </w:t>
      </w:r>
      <w:r>
        <w:rPr>
          <w:rFonts w:ascii="Times New Roman" w:cs="Times New Roman" w:eastAsia="Times New Roman" w:hAnsi="Times New Roman"/>
          <w:sz w:val="22"/>
          <w:szCs w:val="22"/>
          <w:color w:val="auto"/>
        </w:rPr>
        <w:t>It will not, and will not permit any of its Subsidiaries to, declare or make, or agree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or make, directly or indirectly, any Restricted Payment, other than:</w:t>
      </w:r>
    </w:p>
    <w:p>
      <w:pPr>
        <w:spacing w:after="0" w:line="150" w:lineRule="exact"/>
        <w:rPr>
          <w:sz w:val="20"/>
          <w:szCs w:val="20"/>
          <w:color w:val="auto"/>
        </w:rPr>
      </w:pPr>
    </w:p>
    <w:p>
      <w:pPr>
        <w:ind w:left="660" w:right="20" w:firstLine="644"/>
        <w:spacing w:after="0" w:line="236" w:lineRule="auto"/>
        <w:tabs>
          <w:tab w:leader="none" w:pos="195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stock splits or distributions with respect to any Equity Interests of the Borrower or any of its Subsidiaries payable solely in additional shares of its Qualified Equity Interests;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by an Obligor or a Subsidiary of an Obligor to an Obligor;</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redemption, retirement, or other Acquisition by the Borrower or any of its Subsidiaries of shares of its capital stock or other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395" w:right="339" w:bottom="1440" w:gutter="0" w:footer="0" w:header="0"/>
        </w:sectPr>
      </w:pPr>
    </w:p>
    <w:bookmarkStart w:id="210" w:name="page211"/>
    <w:bookmarkEnd w:id="210"/>
    <w:p>
      <w:pPr>
        <w:ind w:left="660" w:right="20"/>
        <w:spacing w:after="0" w:line="236" w:lineRule="auto"/>
        <w:rPr>
          <w:sz w:val="20"/>
          <w:szCs w:val="20"/>
          <w:color w:val="auto"/>
        </w:rPr>
      </w:pPr>
      <w:r>
        <w:rPr>
          <w:rFonts w:ascii="Times New Roman" w:cs="Times New Roman" w:eastAsia="Times New Roman" w:hAnsi="Times New Roman"/>
          <w:sz w:val="22"/>
          <w:szCs w:val="22"/>
          <w:color w:val="auto"/>
        </w:rPr>
        <w:t>with the proceeds received from a substantially concurrent issue of new shares of its capital stock or other Equity Interests;</w:t>
      </w:r>
    </w:p>
    <w:p>
      <w:pPr>
        <w:spacing w:after="0" w:line="150" w:lineRule="exact"/>
        <w:rPr>
          <w:sz w:val="20"/>
          <w:szCs w:val="20"/>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exercises of options and warrants;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pursuant to the terms of employee stock purchase plans, employee restricted stock agreements, stockholder rights plans, director or consultant stock option plans, or similar plans in an aggregate amount not to exceed 500,000 in any fiscal year;</w:t>
      </w:r>
    </w:p>
    <w:p>
      <w:pPr>
        <w:spacing w:after="0" w:line="152" w:lineRule="exact"/>
        <w:rPr>
          <w:rFonts w:ascii="Times New Roman" w:cs="Times New Roman" w:eastAsia="Times New Roman" w:hAnsi="Times New Roman"/>
          <w:sz w:val="22"/>
          <w:szCs w:val="22"/>
          <w:color w:val="auto"/>
        </w:rPr>
      </w:pPr>
    </w:p>
    <w:p>
      <w:pPr>
        <w:ind w:left="660" w:firstLine="644"/>
        <w:spacing w:after="0" w:line="255" w:lineRule="auto"/>
        <w:tabs>
          <w:tab w:leader="none" w:pos="195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making of cash payments in lieu of the issuance of fractional shares upon the conversion of convertible securities (or in connection with the exercise of warrants or similar securities) not to exceed $500,000 in any fiscal year;</w:t>
      </w:r>
    </w:p>
    <w:p>
      <w:pPr>
        <w:spacing w:after="0" w:line="134" w:lineRule="exact"/>
        <w:rPr>
          <w:rFonts w:ascii="Times New Roman" w:cs="Times New Roman" w:eastAsia="Times New Roman" w:hAnsi="Times New Roman"/>
          <w:sz w:val="21"/>
          <w:szCs w:val="21"/>
          <w:color w:val="auto"/>
        </w:rPr>
      </w:pPr>
    </w:p>
    <w:p>
      <w:pPr>
        <w:ind w:left="660" w:firstLine="644"/>
        <w:spacing w:after="0" w:line="236" w:lineRule="auto"/>
        <w:tabs>
          <w:tab w:leader="none" w:pos="195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for stock exchanges and other like non-cash transactions which constitute merger consideration in connection with mergers permitted under Section 9.03(c)(ii); and</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Warrant Certificate.</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9.07. Payments of Indebtedness. </w:t>
      </w:r>
      <w:r>
        <w:rPr>
          <w:rFonts w:ascii="Times New Roman" w:cs="Times New Roman" w:eastAsia="Times New Roman" w:hAnsi="Times New Roman"/>
          <w:sz w:val="22"/>
          <w:szCs w:val="22"/>
          <w:color w:val="auto"/>
        </w:rPr>
        <w:t>It will not, and will not permit any of its Subsidiaries to, make any payments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of any Material Indebtedness other than (a) payments of the Obligations, (b) Permitted Refinancings to the extent permitted pursuant to Section 9.01 and (c) so long as no Default has occurred and is continuing or would result therefrom scheduled payments of other Permitted Indebtedness and repayment of intercompany Indebtedness permitted in reliance upon Section 9.01(e) (subject in each case to any subordination agreement entered into in connection therewith).</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i w:val="1"/>
          <w:iCs w:val="1"/>
          <w:color w:val="auto"/>
        </w:rPr>
        <w:t xml:space="preserve">Section 9.08. Change in Fiscal Year. </w:t>
      </w:r>
      <w:r>
        <w:rPr>
          <w:rFonts w:ascii="Times New Roman" w:cs="Times New Roman" w:eastAsia="Times New Roman" w:hAnsi="Times New Roman"/>
          <w:sz w:val="21"/>
          <w:szCs w:val="21"/>
          <w:color w:val="auto"/>
        </w:rPr>
        <w:t>It will not, and will not permit any of its Subsidiaries to, change the last day of 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fiscal year from that in effect on the date hereof, without prior written notice to the Administrative Agent, except to change the fiscal year of a Subsidiary acquired in connection with a Permitted Acquisition to conform its fiscal year to that of the Borrower.</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9.09. Sales of Assets, Etc. </w:t>
      </w:r>
      <w:r>
        <w:rPr>
          <w:rFonts w:ascii="Times New Roman" w:cs="Times New Roman" w:eastAsia="Times New Roman" w:hAnsi="Times New Roman"/>
          <w:sz w:val="22"/>
          <w:szCs w:val="22"/>
          <w:color w:val="auto"/>
        </w:rPr>
        <w:t>It will not, and will not permit any of its Subsidiaries to, sell, lease, exclusively license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in each case, in one transaction or series of transactions (any thereof, an </w:t>
      </w:r>
      <w:r>
        <w:rPr>
          <w:rFonts w:ascii="Times New Roman" w:cs="Times New Roman" w:eastAsia="Times New Roman" w:hAnsi="Times New Roman"/>
          <w:sz w:val="22"/>
          <w:szCs w:val="22"/>
          <w:i w:val="1"/>
          <w:iCs w:val="1"/>
          <w:color w:val="auto"/>
        </w:rPr>
        <w:t>“Asset Sale”</w:t>
      </w:r>
      <w:r>
        <w:rPr>
          <w:rFonts w:ascii="Times New Roman" w:cs="Times New Roman" w:eastAsia="Times New Roman" w:hAnsi="Times New Roman"/>
          <w:sz w:val="22"/>
          <w:szCs w:val="22"/>
          <w:color w:val="auto"/>
        </w:rPr>
        <w:t>), except:</w:t>
      </w:r>
    </w:p>
    <w:p>
      <w:pPr>
        <w:spacing w:after="0" w:line="151" w:lineRule="exact"/>
        <w:rPr>
          <w:sz w:val="20"/>
          <w:szCs w:val="20"/>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cash in the Ordinary Course of Business for equivalent value;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transfers, leases and other dispositions of products and services in the Ordinary Course of Business;</w:t>
      </w:r>
    </w:p>
    <w:p>
      <w:pPr>
        <w:spacing w:after="0" w:line="17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forgiveness, release or compromise of any amount owed to any Obligor in the Ordinary Course of</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w:t>
      </w:r>
    </w:p>
    <w:p>
      <w:pPr>
        <w:spacing w:after="0" w:line="155"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and other dispositions of receivables in connection with the compromise, settlement or collection thereof in the Ordinary Course of Business;</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or becoming bound, by a Permitted License to the extent not otherwise prohibited by this</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395" w:right="339" w:bottom="1440" w:gutter="0" w:footer="0" w:header="0"/>
        </w:sectPr>
      </w:pPr>
    </w:p>
    <w:bookmarkStart w:id="211" w:name="page212"/>
    <w:bookmarkEnd w:id="211"/>
    <w:p>
      <w:pPr>
        <w:jc w:val="both"/>
        <w:ind w:left="660" w:firstLine="644"/>
        <w:spacing w:after="0" w:line="215" w:lineRule="auto"/>
        <w:tabs>
          <w:tab w:leader="none" w:pos="195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research, development and other collaborative arrangements where such arrangements provide for the license or disclosure of Patents, Trademarks, Copyrights or other Intellectual Property rights of any Obligor in the Ordinary Course of Business and consistent with general market practices;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licenses must be true licenses that do not result in a legal transfer of title of the licensed Property or otherwise constitute sales transactions in substance, and (ii) the aggregate amount of such periodic payments to the Obligors in any fiscal year shall not exceed $500,000;</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resulting from Casualty Events;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9.02, 9.03, 9.05 and 9.20;</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unwinding of any hedging agreement permitted by Section 9.05 pursuant to its terms;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abandonment, cancellation, non-renewal or discontinuance of use or maintenance of Intellectual Property (or rights relating thereto) that Borrower determines in good faith is desirable in the conduct of its business and not materially disadvantageous to the interests of Administrative Agent;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55" w:lineRule="auto"/>
        <w:tabs>
          <w:tab w:leader="none" w:pos="194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Default or Event of Default shall have occurred and is continuing at the time of such Asset Sale, or after giving effect thereto, Asset Sales of other property not to exceed $1,000,000 in the aggregate per fiscal year.</w:t>
      </w:r>
    </w:p>
    <w:p>
      <w:pPr>
        <w:spacing w:after="0" w:line="13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9.10. Transactions with Affiliates. </w:t>
      </w:r>
      <w:r>
        <w:rPr>
          <w:rFonts w:ascii="Times New Roman" w:cs="Times New Roman" w:eastAsia="Times New Roman" w:hAnsi="Times New Roman"/>
          <w:sz w:val="22"/>
          <w:szCs w:val="22"/>
          <w:color w:val="auto"/>
        </w:rPr>
        <w:t>It will not, and will not permit any of its Subsidiaries to, sell, lease, license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otherwise transfer any assets to, or purchase, lease, license or otherwise acquire any assets from, or otherwise engage in any other transactions with, any of its Affiliates, except:</w:t>
      </w:r>
    </w:p>
    <w:p>
      <w:pPr>
        <w:spacing w:after="0" w:line="150" w:lineRule="exact"/>
        <w:rPr>
          <w:sz w:val="20"/>
          <w:szCs w:val="20"/>
          <w:color w:val="auto"/>
        </w:rPr>
      </w:pPr>
    </w:p>
    <w:p>
      <w:pPr>
        <w:ind w:left="1940" w:hanging="636"/>
        <w:spacing w:after="0"/>
        <w:tabs>
          <w:tab w:leader="none" w:pos="19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or among the Obligors;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permitted under Section 9.01, 9.05, 9.06 or 9.09;</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compensation and indemnification of, and other employment arrangements with, directors, officers and employees of any Obligor in the Ordinary Course of Business;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upon fair and reasonable terms that are no less favorable to any Obligor than would be obtained in a comparable arm’s-length transaction with a Person not an Affiliate;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set forth on Schedule 9.10;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any fees, expense reimbursements and indemnification obligations to officers and directors and the payment of insurance premiums on behalf of officers and directors;</w:t>
      </w:r>
    </w:p>
    <w:p>
      <w:pPr>
        <w:spacing w:after="0" w:line="14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9.11. Restrictive Agreements. </w:t>
      </w:r>
      <w:r>
        <w:rPr>
          <w:rFonts w:ascii="Times New Roman" w:cs="Times New Roman" w:eastAsia="Times New Roman" w:hAnsi="Times New Roman"/>
          <w:sz w:val="22"/>
          <w:szCs w:val="22"/>
          <w:color w:val="auto"/>
        </w:rPr>
        <w:t>It will not, and will not permit any of its Subsidiaries to, directly or indirectly,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enter into, incur or permit to exist any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395" w:right="339" w:bottom="1440" w:gutter="0" w:footer="0" w:header="0"/>
        </w:sectPr>
      </w:pPr>
    </w:p>
    <w:bookmarkStart w:id="212" w:name="page213"/>
    <w:bookmarkEnd w:id="212"/>
    <w:p>
      <w:pPr>
        <w:jc w:val="both"/>
        <w:spacing w:after="0" w:line="220" w:lineRule="auto"/>
        <w:rPr>
          <w:sz w:val="20"/>
          <w:szCs w:val="20"/>
          <w:color w:val="auto"/>
        </w:rPr>
      </w:pPr>
      <w:r>
        <w:rPr>
          <w:rFonts w:ascii="Times New Roman" w:cs="Times New Roman" w:eastAsia="Times New Roman" w:hAnsi="Times New Roman"/>
          <w:sz w:val="22"/>
          <w:szCs w:val="22"/>
          <w:color w:val="auto"/>
        </w:rPr>
        <w:t>Agreement other than (a) restrictions and conditions imposed by Law or by the Loan Documents or any joint venture or similar agreement, (b) Restrictive Agreements listed on Schedule 7.15, (c) any stockholder agreement, investor rights agreement, charter, bylaws or other Organizational Documents of an Obligor as in effect on the date hereof or (d) limitations associated with Permitted Liens or with any transaction permitted under Sections 9.01, 9.03, 9.05, 9.06 or 9.09.</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9.12.  Organizational Documents, Material Agreements</w:t>
      </w:r>
    </w:p>
    <w:p>
      <w:pPr>
        <w:spacing w:after="0" w:line="183" w:lineRule="exact"/>
        <w:rPr>
          <w:sz w:val="20"/>
          <w:szCs w:val="20"/>
          <w:color w:val="auto"/>
        </w:rPr>
      </w:pPr>
    </w:p>
    <w:p>
      <w:pPr>
        <w:jc w:val="both"/>
        <w:ind w:left="660" w:firstLine="644"/>
        <w:spacing w:after="0" w:line="225" w:lineRule="auto"/>
        <w:tabs>
          <w:tab w:leader="none" w:pos="1953"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enter into any amendment to or modification of any Organizational Document that would be reasonably expected to adversely affect the Lenders in any material respect, without the prior written consent of the Administrative Agent.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not, and will not permit any of its Subsidiaries to (i) enter into any material waiver, amendment or modification of any Material Agreement (including, but not limited to, any amendments to provisions relating to pricing and term) that would be reasonably expected to adversely affect the Lenders in any material respect or (ii) take or omit to take any action that results in the termination of, or permits any other Person to terminate, any Material Agreement or Obligor Intellectual Property that would be reasonably expected to adversely affect the Lenders in any material respect, without, in each case, the prior written consent of the Administrative Agent.</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9.13. Anti-Terrorism and Anti-Corruption Laws</w:t>
      </w:r>
      <w:r>
        <w:rPr>
          <w:rFonts w:ascii="Times New Roman" w:cs="Times New Roman" w:eastAsia="Times New Roman" w:hAnsi="Times New Roman"/>
          <w:sz w:val="22"/>
          <w:szCs w:val="22"/>
          <w:color w:val="auto"/>
        </w:rPr>
        <w:t>. No Obligor nor any of its Subsidiaries shall engage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transaction that violates any of the applicable prohibitions set forth in any Economic Sanctions Law, Anti-Terrorism Law, or the </w:t>
      </w:r>
      <w:r>
        <w:rPr>
          <w:rFonts w:ascii="Times New Roman" w:cs="Times New Roman" w:eastAsia="Times New Roman" w:hAnsi="Times New Roman"/>
          <w:sz w:val="22"/>
          <w:szCs w:val="22"/>
          <w:i w:val="1"/>
          <w:iCs w:val="1"/>
          <w:color w:val="auto"/>
        </w:rPr>
        <w:t xml:space="preserve">US Foreign Corrupt Practices Act of 1977 </w:t>
      </w:r>
      <w:r>
        <w:rPr>
          <w:rFonts w:ascii="Times New Roman" w:cs="Times New Roman" w:eastAsia="Times New Roman" w:hAnsi="Times New Roman"/>
          <w:sz w:val="22"/>
          <w:szCs w:val="22"/>
          <w:color w:val="auto"/>
        </w:rPr>
        <w:t>(15 USC. §§ 78dd-1</w:t>
      </w:r>
      <w:r>
        <w:rPr>
          <w:rFonts w:ascii="Times New Roman" w:cs="Times New Roman" w:eastAsia="Times New Roman" w:hAnsi="Times New Roman"/>
          <w:sz w:val="22"/>
          <w:szCs w:val="22"/>
          <w:i w:val="1"/>
          <w:iCs w:val="1"/>
          <w:color w:val="auto"/>
        </w:rPr>
        <w:t xml:space="preserve"> et seq.</w:t>
      </w:r>
      <w:r>
        <w:rPr>
          <w:rFonts w:ascii="Times New Roman" w:cs="Times New Roman" w:eastAsia="Times New Roman" w:hAnsi="Times New Roman"/>
          <w:sz w:val="22"/>
          <w:szCs w:val="22"/>
          <w:color w:val="auto"/>
        </w:rPr>
        <w:t>). None of the funds or assets of such Obligor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any Obligor or any of its Subsidiaries insofar as such interest would violate any Economic Sanctions Laws applicable to such Obligor or such Subsidiary.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9.14. Sales and Leasebacks. </w:t>
      </w:r>
      <w:r>
        <w:rPr>
          <w:rFonts w:ascii="Times New Roman" w:cs="Times New Roman" w:eastAsia="Times New Roman" w:hAnsi="Times New Roman"/>
          <w:sz w:val="22"/>
          <w:szCs w:val="22"/>
          <w:color w:val="auto"/>
        </w:rPr>
        <w:t>Except as permitted by Section 9.01(g), it will not, and will not permit any of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9.15. Hazardous Material. </w:t>
      </w:r>
      <w:r>
        <w:rPr>
          <w:rFonts w:ascii="Times New Roman" w:cs="Times New Roman" w:eastAsia="Times New Roman" w:hAnsi="Times New Roman"/>
          <w:sz w:val="22"/>
          <w:szCs w:val="22"/>
          <w:color w:val="auto"/>
        </w:rPr>
        <w:t>It will not, and will not permit any of its Subsidiaries to, use, generate, manufacture,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 treat, release, store or dispose of any Hazardous Material, except in compliance with all applicable Environmental Laws or where the failure to comply would not reasonably be expected to result in a Material Adverse Change.</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9.16. Accounting Changes. </w:t>
      </w:r>
      <w:r>
        <w:rPr>
          <w:rFonts w:ascii="Times New Roman" w:cs="Times New Roman" w:eastAsia="Times New Roman" w:hAnsi="Times New Roman"/>
          <w:sz w:val="22"/>
          <w:szCs w:val="22"/>
          <w:color w:val="auto"/>
        </w:rPr>
        <w:t>It will not, and will not permit any of its Subsidiaries to, make any significant change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accounting treatment, except as required or permitted by GAAP.</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9.17. Compliance with ERISA. </w:t>
      </w:r>
      <w:r>
        <w:rPr>
          <w:rFonts w:ascii="Times New Roman" w:cs="Times New Roman" w:eastAsia="Times New Roman" w:hAnsi="Times New Roman"/>
          <w:sz w:val="22"/>
          <w:szCs w:val="22"/>
          <w:color w:val="auto"/>
        </w:rPr>
        <w:t>No Obligor or ERISA Affiliate shall cause or suffer to exist (a) any event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would result in the imposition of a Lien with respect to any Title IV Plan or Multiemployer Plan or (b) any other ERISA Event, in the case of (a) and (b), that would,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395" w:right="339" w:bottom="1440" w:gutter="0" w:footer="0" w:header="0"/>
        </w:sectPr>
      </w:pPr>
    </w:p>
    <w:bookmarkStart w:id="213" w:name="page214"/>
    <w:bookmarkEnd w:id="213"/>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9.18. Deposit Accounts/Securities Accounts. </w:t>
      </w:r>
      <w:r>
        <w:rPr>
          <w:rFonts w:ascii="Times New Roman" w:cs="Times New Roman" w:eastAsia="Times New Roman" w:hAnsi="Times New Roman"/>
          <w:sz w:val="22"/>
          <w:szCs w:val="22"/>
          <w:color w:val="auto"/>
        </w:rPr>
        <w:t>It will not, and will not permit any of its Subsidiaries to, establish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maintain any bank account and any securities account that is not a Controlled Account (other than an Excluded Account) and will not, and will not permit any of its Subsidiaries to, deposit proceeds in any account that is not a Controlled Account;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other than an Excluded Account).</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9.19. Outbound Licenses. </w:t>
      </w:r>
      <w:r>
        <w:rPr>
          <w:rFonts w:ascii="Times New Roman" w:cs="Times New Roman" w:eastAsia="Times New Roman" w:hAnsi="Times New Roman"/>
          <w:sz w:val="22"/>
          <w:szCs w:val="22"/>
          <w:color w:val="auto"/>
        </w:rPr>
        <w:t>It will not, and will not permit any of its Subsidiaries to, enter into or become bound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any outbound license or agreement unless such outbound license or agreement is a Permitted License.</w:t>
      </w:r>
    </w:p>
    <w:p>
      <w:pPr>
        <w:spacing w:after="0" w:line="14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i w:val="1"/>
          <w:iCs w:val="1"/>
          <w:color w:val="auto"/>
        </w:rPr>
        <w:t xml:space="preserve">Section 9.20. Inbound Licenses. </w:t>
      </w:r>
      <w:r>
        <w:rPr>
          <w:rFonts w:ascii="Times New Roman" w:cs="Times New Roman" w:eastAsia="Times New Roman" w:hAnsi="Times New Roman"/>
          <w:sz w:val="22"/>
          <w:szCs w:val="22"/>
          <w:color w:val="auto"/>
        </w:rPr>
        <w:t>It will not, and will not permit any of its Subsidiaries to, enter into or become bound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inbound license or agreement (other than Permitted Licenses) unless (a) no Default has occurred and is continuing, (b) the Obligors have provided written notice to the Administrative Agent of the material terms of such license or agreement with a description of its anticipated and projected impact on such Obligor’s business or financial condition, and (c) in the case of an Obligor,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aggregate amounts to be paid under all such inbound licenses pursuant to this Section 9.20 shall not exceed an amount equal to $1,000,000 per fiscal year.</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Events of Default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10.01. Events of Default</w:t>
      </w:r>
      <w:r>
        <w:rPr>
          <w:rFonts w:ascii="Times New Roman" w:cs="Times New Roman" w:eastAsia="Times New Roman" w:hAnsi="Times New Roman"/>
          <w:sz w:val="22"/>
          <w:szCs w:val="22"/>
          <w:color w:val="auto"/>
        </w:rPr>
        <w:t>. Each of the following events shall constitute an “Event of Default”:</w:t>
      </w:r>
    </w:p>
    <w:p>
      <w:pPr>
        <w:spacing w:after="0" w:line="183" w:lineRule="exact"/>
        <w:rPr>
          <w:sz w:val="20"/>
          <w:szCs w:val="20"/>
          <w:color w:val="auto"/>
        </w:rPr>
      </w:pPr>
    </w:p>
    <w:p>
      <w:pPr>
        <w:ind w:left="660" w:firstLine="644"/>
        <w:spacing w:after="0" w:line="236" w:lineRule="auto"/>
        <w:tabs>
          <w:tab w:leader="none" w:pos="195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fail to pay any principal on the Term Loans when and as the same shall become due and payable, whether at the due date thereof or at a date fixed for prepayment thereof or otherwise; or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pay any Obligation (other than an amount referred to in Section 10.01(a)) when and as the same shall become due and payable, and such failure shall continue unremedied for a period of three (3) Business Days;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3"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 or</w:t>
      </w:r>
    </w:p>
    <w:p>
      <w:pPr>
        <w:spacing w:after="0" w:line="156"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Sections 8.01, 8.02, 8.03(a) (with respect to such Obligor’s existence), 8.10, 8.11, 8.13, 8.15, 8.16, 8.17, 8.18 or Article 9;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391" w:right="339" w:bottom="1440" w:gutter="0" w:footer="0" w:header="0"/>
        </w:sectPr>
      </w:pPr>
    </w:p>
    <w:bookmarkStart w:id="214" w:name="page215"/>
    <w:bookmarkEnd w:id="214"/>
    <w:p>
      <w:pPr>
        <w:jc w:val="both"/>
        <w:ind w:left="4" w:firstLine="644"/>
        <w:spacing w:after="0" w:line="225" w:lineRule="auto"/>
        <w:tabs>
          <w:tab w:leader="none" w:pos="129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or</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30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fail to make any payment of principal or interest (regardless of amount) in respect of any Material Indebtedness, when and as the same shall become due and payable after giving effect to any applicable grace or cure period as originally provided by the terms of such Indebtedness; or</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5"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grace or cure period thereunder, or (ii) any event or condition occurs (A) that results in any Material Indebtedness becoming due prior to its scheduled maturity or</w:t>
      </w:r>
    </w:p>
    <w:p>
      <w:pPr>
        <w:spacing w:after="0" w:line="2" w:lineRule="exact"/>
        <w:rPr>
          <w:rFonts w:ascii="Times New Roman" w:cs="Times New Roman" w:eastAsia="Times New Roman" w:hAnsi="Times New Roman"/>
          <w:sz w:val="21"/>
          <w:szCs w:val="21"/>
          <w:color w:val="auto"/>
        </w:rPr>
      </w:pPr>
    </w:p>
    <w:p>
      <w:pPr>
        <w:jc w:val="both"/>
        <w:ind w:left="4" w:hanging="4"/>
        <w:spacing w:after="0" w:line="212" w:lineRule="auto"/>
        <w:tabs>
          <w:tab w:leader="none" w:pos="35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Section 10.01(g) shall not apply to secured Indebtedness that becomes due as a result of the voluntary sale or transfer of the Property securing such Material Indebtedness; or</w:t>
      </w:r>
    </w:p>
    <w:p>
      <w:pPr>
        <w:spacing w:after="0" w:line="154"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or any of its Subsidiaries:</w:t>
      </w:r>
    </w:p>
    <w:p>
      <w:pPr>
        <w:spacing w:after="0" w:line="179" w:lineRule="exact"/>
        <w:rPr>
          <w:rFonts w:ascii="Times New Roman" w:cs="Times New Roman" w:eastAsia="Times New Roman" w:hAnsi="Times New Roman"/>
          <w:sz w:val="22"/>
          <w:szCs w:val="22"/>
          <w:color w:val="auto"/>
        </w:rPr>
      </w:pPr>
    </w:p>
    <w:p>
      <w:pPr>
        <w:jc w:val="both"/>
        <w:ind w:left="644" w:firstLine="652"/>
        <w:spacing w:after="0" w:line="220" w:lineRule="auto"/>
        <w:tabs>
          <w:tab w:leader="none" w:pos="1928"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spacing w:after="0" w:line="152" w:lineRule="exact"/>
        <w:rPr>
          <w:rFonts w:ascii="Times New Roman" w:cs="Times New Roman" w:eastAsia="Times New Roman" w:hAnsi="Times New Roman"/>
          <w:sz w:val="22"/>
          <w:szCs w:val="22"/>
          <w:color w:val="auto"/>
        </w:rPr>
      </w:pPr>
    </w:p>
    <w:p>
      <w:pPr>
        <w:jc w:val="both"/>
        <w:ind w:left="644" w:firstLine="652"/>
        <w:spacing w:after="0" w:line="218" w:lineRule="auto"/>
        <w:tabs>
          <w:tab w:leader="none" w:pos="1934" w:val="left"/>
        </w:tabs>
        <w:numPr>
          <w:ilvl w:val="2"/>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(C) apply for or consent to the appointment of a receiver, trustee, custodian, sequestrator, conservator or similar official for an Obligor or for a substantial part of its assets, (D) file an answer admitting the material allegations of a petition filed against it in any such proceeding,</w:t>
      </w:r>
    </w:p>
    <w:p>
      <w:pPr>
        <w:spacing w:after="0" w:line="3" w:lineRule="exact"/>
        <w:rPr>
          <w:rFonts w:ascii="Times New Roman" w:cs="Times New Roman" w:eastAsia="Times New Roman" w:hAnsi="Times New Roman"/>
          <w:sz w:val="21"/>
          <w:szCs w:val="21"/>
          <w:color w:val="auto"/>
        </w:rPr>
      </w:pPr>
    </w:p>
    <w:p>
      <w:pPr>
        <w:ind w:left="644" w:right="2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 make a general assignment for the benefit of creditors or (F) take any action for the purpose of effecting any of the foregoing; or</w:t>
      </w:r>
    </w:p>
    <w:p>
      <w:pPr>
        <w:spacing w:after="0" w:line="136" w:lineRule="exact"/>
        <w:rPr>
          <w:rFonts w:ascii="Times New Roman" w:cs="Times New Roman" w:eastAsia="Times New Roman" w:hAnsi="Times New Roman"/>
          <w:sz w:val="21"/>
          <w:szCs w:val="21"/>
          <w:color w:val="auto"/>
        </w:rPr>
      </w:pPr>
    </w:p>
    <w:p>
      <w:pPr>
        <w:ind w:left="1944" w:hanging="648"/>
        <w:spacing w:after="0"/>
        <w:tabs>
          <w:tab w:leader="none" w:pos="1944" w:val="left"/>
        </w:tabs>
        <w:numPr>
          <w:ilvl w:val="2"/>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seeking</w:t>
      </w:r>
    </w:p>
    <w:p>
      <w:pPr>
        <w:jc w:val="both"/>
        <w:ind w:left="644" w:firstLine="4"/>
        <w:spacing w:after="0" w:line="211" w:lineRule="auto"/>
        <w:tabs>
          <w:tab w:leader="none" w:pos="912"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0584"/>
          </w:cols>
          <w:pgMar w:left="976" w:top="1395" w:right="339" w:bottom="1440" w:gutter="0" w:footer="0" w:header="0"/>
        </w:sectPr>
      </w:pPr>
    </w:p>
    <w:bookmarkStart w:id="215" w:name="page216"/>
    <w:bookmarkEnd w:id="215"/>
    <w:p>
      <w:pPr>
        <w:jc w:val="both"/>
        <w:ind w:left="-460" w:firstLine="644"/>
        <w:spacing w:after="0" w:line="217" w:lineRule="auto"/>
        <w:tabs>
          <w:tab w:leader="none" w:pos="82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judgments for the payment of money in an aggregate amount in excess of $1,000,000 (excluding any amounts covered by insurance as to which the applicable carrier has not denied) shall be rendered against any Obligor or any combination thereof and the same shall remain undischarged for a period of sixty (60) consecutive days during which execution shall not be effectively stayed, or any action shall be legally taken by a judgment creditor to attach or levy upon any assets of any Obligor to enforce any such judgment; or</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82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that, in the opinion of the Lenders, when taken together with all other ERISA Events that have occurred, would reasonably be expected to have a Material Adverse Effect; or</w:t>
      </w:r>
    </w:p>
    <w:p>
      <w:pPr>
        <w:spacing w:after="0" w:line="150"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of Control shall have occurred; or</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Adverse Change shall have occurred; or</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15" w:lineRule="auto"/>
        <w:tabs>
          <w:tab w:leader="none" w:pos="82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Lien created by any of the Security Documents shall at any time not constitute a valid and perfected Lien in favor of the Administrative Agent on Collateral with an aggregate value in excess of $500,000, free and clear of all other Liens (other than Permitted Liens) except due to the action or inaction of the Administrative Agent or any Lender(s), (ii) the Security Documents or any Guarantee of any of the Obligations shall for whatever reason cease to be in full force and effect, or (iii) any of the Security Documents or any Guarantee of any of the Obligations, or the enforceability thereof, shall be contested by any Obligor; or</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83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injunction, whether temporary or permanent, shall be rendered against any Obligor that prevents the Obligors from selling or manufacturing any Product that has a Material Adverse Effect; or</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08" w:lineRule="auto"/>
        <w:tabs>
          <w:tab w:leader="none" w:pos="83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Regulatory Authority or any other Governmental Authority initiates enforcement action against, or issues a warning letter or other written notice alleging a material violation of any applicable Requirements of Law with respect to, any Obligor, or any of their Products or the manufacturing or laboratory facilities therefor, that causes any Obligor thereof to discontinue marketing or withdraw any of its Products, which discontinuance or withdrawal would reasonably be expected to last for more than one-twenty eighty (120) days, (ii) any material Permit (including all Regulatory Approvals or clinical laboratory Permits), or any of the Obligors’ material rights or interests thereunder, is terminated or suspended, (iii) there is a recall of any Product in any territory that would reasonably be expected to result in a loss of revenue equal to at least [***] over the twelve (12) month period following such event, (iv) any Obligor is required to pay a fine, penalty, settlement amount or other payment to any Governmental Authority which individually or in the aggregate is in excess of $1,500,000 (excluding any amounts covered by insurance as to which the applicable carrier has accepted coverage) for any violation or alleged violation of any Health Care Law or (v) any Obligor is (a) excluded from all Federal Health Care Programs, (b)“suspended” or “debarred” from selling products to the U.S. government or its agencies pursuant to the Federal Acquisition Regulation, relating to debarment and suspension applicable to federal government agencies generally (42 C.F.R. Subpart 9.4), or (c) debarred, disqualified, suspended or excluded from participation in any material Third-Party Payor Program or is listed on the General Services Administration list of excluded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0120"/>
          </w:cols>
          <w:pgMar w:left="1440" w:top="1395" w:right="339" w:bottom="1440" w:gutter="0" w:footer="0" w:header="0"/>
        </w:sectPr>
      </w:pPr>
    </w:p>
    <w:bookmarkStart w:id="216" w:name="page217"/>
    <w:bookmarkEnd w:id="216"/>
    <w:p>
      <w:pPr>
        <w:ind w:left="660"/>
        <w:spacing w:after="0"/>
        <w:rPr>
          <w:sz w:val="20"/>
          <w:szCs w:val="20"/>
          <w:color w:val="auto"/>
        </w:rPr>
      </w:pPr>
      <w:r>
        <w:rPr>
          <w:rFonts w:ascii="Times New Roman" w:cs="Times New Roman" w:eastAsia="Times New Roman" w:hAnsi="Times New Roman"/>
          <w:sz w:val="22"/>
          <w:szCs w:val="22"/>
          <w:i w:val="1"/>
          <w:iCs w:val="1"/>
          <w:color w:val="auto"/>
        </w:rPr>
        <w:t>Section 10.02. Remedies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22" w:lineRule="auto"/>
        <w:tabs>
          <w:tab w:leader="none" w:pos="1953"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any Event of Default, then, and in every such event (other than an Event of Default described in Section 10.01(h) or (i)), and at any time thereafter during the continuance of such event, the Majority Lenders may, by notice to the Borrower, take either or both of the following actions, at the same or different times:</w:t>
      </w:r>
    </w:p>
    <w:p>
      <w:pPr>
        <w:spacing w:after="0" w:line="1" w:lineRule="exact"/>
        <w:rPr>
          <w:rFonts w:ascii="Times New Roman" w:cs="Times New Roman" w:eastAsia="Times New Roman" w:hAnsi="Times New Roman"/>
          <w:sz w:val="21"/>
          <w:szCs w:val="21"/>
          <w:color w:val="auto"/>
        </w:rPr>
      </w:pPr>
    </w:p>
    <w:p>
      <w:pPr>
        <w:jc w:val="both"/>
        <w:ind w:left="660" w:hanging="4"/>
        <w:spacing w:after="0" w:line="211" w:lineRule="auto"/>
        <w:tabs>
          <w:tab w:leader="none" w:pos="937"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spacing w:after="0" w:line="153"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any Event of Default described in Section 10.01(h) or (i), the Commitments shall automatically terminate and the principal amount of the Term Loans then outstanding, together with accrued interest thereon and all fees and other Obligations, shall automatically become due and payable immediately (in the case of the Term Loan, at the Redemption Price therefor), without presentment, demand, protest or other notice of any kind, all of which are hereby waived by each Obligor.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collects any money or property pursuant to this Article 10, they shall pay out the money or property in the order set forth in Section 4.01(c).</w:t>
      </w:r>
    </w:p>
    <w:p>
      <w:pPr>
        <w:spacing w:after="0" w:line="14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i w:val="1"/>
          <w:iCs w:val="1"/>
          <w:color w:val="auto"/>
        </w:rPr>
        <w:t xml:space="preserve">Section 10.03. Prepayment Premium and Redemption Price. </w:t>
      </w:r>
      <w:r>
        <w:rPr>
          <w:rFonts w:ascii="Times New Roman" w:cs="Times New Roman" w:eastAsia="Times New Roman" w:hAnsi="Times New Roman"/>
          <w:sz w:val="21"/>
          <w:szCs w:val="21"/>
          <w:color w:val="auto"/>
        </w:rPr>
        <w:t>For the avoidance of doubt, any Prepayment Premium (as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component of the Redemption Price) shall be due and payable at any time the Term Loans become due and payable prior to the Stated Maturity Date in accordance with the terms hereof, whether due to acceleration pursuant to the terms of this Agreement (in which case it shall be due immediately, upon the giving of notice to the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 Section 502(b)(2) of the Bankruptcy Code or otherwise. Each Obligor further acknowledges and agrees, and waives any argument to the contrary, that payment of such amount does not constitute a penalty or an otherwise unenforceable or invalid obligation.</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Guarantee</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11.01. The Guarantee. </w:t>
      </w:r>
      <w:r>
        <w:rPr>
          <w:rFonts w:ascii="Times New Roman" w:cs="Times New Roman" w:eastAsia="Times New Roman" w:hAnsi="Times New Roman"/>
          <w:sz w:val="22"/>
          <w:szCs w:val="22"/>
          <w:color w:val="auto"/>
        </w:rPr>
        <w:t>The Guarantors hereby jointly and severally guarantee to the Administrative Agent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the Borrower under this Agreement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391" w:right="339" w:bottom="1440" w:gutter="0" w:footer="0" w:header="0"/>
        </w:sectPr>
      </w:pPr>
    </w:p>
    <w:bookmarkStart w:id="217" w:name="page218"/>
    <w:bookmarkEnd w:id="217"/>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other Loan Document and by any other Obligor under any of the Loan Documents, in each case strictly in accordance with the terms thereof (such obligations being herein collectively called the </w:t>
      </w:r>
      <w:r>
        <w:rPr>
          <w:rFonts w:ascii="Times New Roman" w:cs="Times New Roman" w:eastAsia="Times New Roman" w:hAnsi="Times New Roman"/>
          <w:sz w:val="22"/>
          <w:szCs w:val="22"/>
          <w:i w:val="1"/>
          <w:iCs w:val="1"/>
          <w:color w:val="auto"/>
        </w:rPr>
        <w:t>“Guaranteed Obligations”</w:t>
      </w:r>
      <w:r>
        <w:rPr>
          <w:rFonts w:ascii="Times New Roman" w:cs="Times New Roman" w:eastAsia="Times New Roman" w:hAnsi="Times New Roman"/>
          <w:sz w:val="22"/>
          <w:szCs w:val="22"/>
          <w:color w:val="auto"/>
        </w:rPr>
        <w:t>). The Guarantors hereby further jointly and severally agree that if the Borrower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i w:val="1"/>
          <w:iCs w:val="1"/>
          <w:color w:val="auto"/>
        </w:rPr>
        <w:t xml:space="preserve">Section 11.02. Obligations Unconditional. </w:t>
      </w:r>
      <w:r>
        <w:rPr>
          <w:rFonts w:ascii="Times New Roman" w:cs="Times New Roman" w:eastAsia="Times New Roman" w:hAnsi="Times New Roman"/>
          <w:sz w:val="22"/>
          <w:szCs w:val="22"/>
          <w:color w:val="auto"/>
        </w:rPr>
        <w:t>The Obligations of the Guarantors under Section 11.01 are irrevocable,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continuing, absolute and unconditional, joint and several, irrespective of the value, genuineness, validity, regularity or enforceability of the obligations of the Borrower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153" w:lineRule="exact"/>
        <w:rPr>
          <w:sz w:val="20"/>
          <w:szCs w:val="20"/>
          <w:color w:val="auto"/>
        </w:rPr>
      </w:pPr>
    </w:p>
    <w:p>
      <w:pPr>
        <w:jc w:val="both"/>
        <w:ind w:left="660" w:firstLine="644"/>
        <w:spacing w:after="0" w:line="225" w:lineRule="auto"/>
        <w:tabs>
          <w:tab w:leader="none" w:pos="195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acts mentioned in any of the provisions of this Agreement or any other agreement or instrument referred to herein shall be done or omitted;</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or security interest granted to, or in favor of, any Lender as security for any of the Guaranteed Obligations shall fail to be perfected or otherwise be taken, exchanged, substituted, varied, released, impaired, or subordinated;</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3"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Guarantee of the Guaranteed Obligations shall be taken, released, impaired, amended, waived or otherwise modified;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Guaranteed Obligations, any Loan Document, or any related agreement, security, or instrument shall be illegal, invalid or unenforceable for any reason whatsoever;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Collateral or other assets shall be sold or disposed, and/or the proceeds of such sale or disposition applied, to satisfy all or part of the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395" w:right="339" w:bottom="1440" w:gutter="0" w:footer="0" w:header="0"/>
        </w:sectPr>
      </w:pPr>
    </w:p>
    <w:bookmarkStart w:id="218" w:name="page219"/>
    <w:bookmarkEnd w:id="218"/>
    <w:p>
      <w:pPr>
        <w:ind w:left="660" w:firstLine="644"/>
        <w:spacing w:after="0" w:line="236" w:lineRule="auto"/>
        <w:tabs>
          <w:tab w:leader="none" w:pos="19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security or Collateral held for the Guaranteed Obligations shall lose or diminish in value, whether such loss or diminution arises from any act or omission of the Administrative Agent or any Lender;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Default, failure, or delay, willful or otherwise, in the payment and/or performance of the Guaranteed Obligations;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36" w:lineRule="auto"/>
        <w:tabs>
          <w:tab w:leader="none" w:pos="1944"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spacing w:after="0" w:line="151" w:lineRule="exact"/>
        <w:rPr>
          <w:rFonts w:ascii="Times New Roman" w:cs="Times New Roman" w:eastAsia="Times New Roman" w:hAnsi="Times New Roman"/>
          <w:sz w:val="21"/>
          <w:szCs w:val="21"/>
          <w:color w:val="auto"/>
        </w:rPr>
      </w:pPr>
    </w:p>
    <w:p>
      <w:pPr>
        <w:jc w:val="both"/>
        <w:ind w:left="660" w:firstLine="644"/>
        <w:spacing w:after="0" w:line="225" w:lineRule="auto"/>
        <w:tabs>
          <w:tab w:leader="none" w:pos="19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any failure of any of the Administrative Agent or any Lender to disclose to any Obligor any information relating to the business, financial condition, results of operations, performance, properties or prospects of any other Obligor, or any other information now or hereafter known to the Administrative Agent or such Lender;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shall fail to execute or deliver this Agreement (including the Guarantee in this Article 11) or any other Guarantee or agreement or the release or reduction of liability of any Obligor or surety with respect to the Guaranteed Obligations;</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of the Administrative Agent or any Lender shall fail to assert any claim or demand or to exercise or enforce any right or remedy under the provisions of any Loan Document or otherwise;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Obligor shall assert any defense, set-off or counterclaim (other than a defense of payment or performance) that may at any time be available to, or be asserted by, such against any of the Administrative Agent or any Lender;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Guarantors hereby expressly waive diligence, presentment, demand of payment, protest and all notices whatsoever, and any requirement that the Administrative Agent or any Lender exhaust any right, power or remedy or proceed against the Borrower under this Agreement or any other agreement or instrument referred to herein, or against any other Person under any other Guarantee of, or security for, any of the Guaranteed Obligations.</w:t>
      </w:r>
    </w:p>
    <w:p>
      <w:pPr>
        <w:spacing w:after="0" w:line="14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 xml:space="preserve">Section 11.03. Reinstatement. </w:t>
      </w:r>
      <w:r>
        <w:rPr>
          <w:rFonts w:ascii="Times New Roman" w:cs="Times New Roman" w:eastAsia="Times New Roman" w:hAnsi="Times New Roman"/>
          <w:sz w:val="22"/>
          <w:szCs w:val="22"/>
          <w:color w:val="auto"/>
        </w:rPr>
        <w:t>The obligations of the Guarantors under this Article 11 shall be automatically reinstated if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to the extent that for any reason any payment by or on behalf of the Borrower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fees of counsel) incurred by such Persons in connection with such rescission or restoration, including any such reasonable costs and expenses incurred in defending against any Claim alleging that such payment constituted a preference, fraudulent transfer or similar payment under any bankruptcy, insolvency or similar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395" w:right="339" w:bottom="1440" w:gutter="0" w:footer="0" w:header="0"/>
        </w:sectPr>
      </w:pPr>
    </w:p>
    <w:bookmarkStart w:id="219" w:name="page220"/>
    <w:bookmarkEnd w:id="219"/>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11.04. Subrogation. </w:t>
      </w:r>
      <w:r>
        <w:rPr>
          <w:rFonts w:ascii="Times New Roman" w:cs="Times New Roman" w:eastAsia="Times New Roman" w:hAnsi="Times New Roman"/>
          <w:sz w:val="22"/>
          <w:szCs w:val="22"/>
          <w:color w:val="auto"/>
        </w:rPr>
        <w:t>The Guarantors hereby jointly and severally agree that, until the payment and satisfaction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 of all Guaranteed Obligations (other than the Warrant Obligations and unasserted contingent liabilities) and the expiration and termination of the Commitments, they shall not exercise any right or remedy arising by reason of any performance by them of their Guarantee in Section 11.01, whether by subrogation or otherwise, against the Borrower or any other guarantor of any of the Guaranteed Obligations or any security for any of the Guaranteed Obligations.</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 xml:space="preserve">Section 11.05. Remedies. </w:t>
      </w:r>
      <w:r>
        <w:rPr>
          <w:rFonts w:ascii="Times New Roman" w:cs="Times New Roman" w:eastAsia="Times New Roman" w:hAnsi="Times New Roman"/>
          <w:sz w:val="22"/>
          <w:szCs w:val="22"/>
          <w:color w:val="auto"/>
        </w:rPr>
        <w:t>The Guarantors jointly and severally agree that, as between the Guarantors, on one hand, and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Lenders, on the other hand, the obligations of the Borrower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Section 11.01.</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11.06. Instrument for the Payment of Money. </w:t>
      </w:r>
      <w:r>
        <w:rPr>
          <w:rFonts w:ascii="Times New Roman" w:cs="Times New Roman" w:eastAsia="Times New Roman" w:hAnsi="Times New Roman"/>
          <w:sz w:val="22"/>
          <w:szCs w:val="22"/>
          <w:color w:val="auto"/>
        </w:rPr>
        <w:t>Each Guarantor hereby acknowledges that the Guarantee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spacing w:after="0" w:line="14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i w:val="1"/>
          <w:iCs w:val="1"/>
          <w:color w:val="auto"/>
        </w:rPr>
        <w:t xml:space="preserve">Section 11.07. Continuing Guarantee. </w:t>
      </w:r>
      <w:r>
        <w:rPr>
          <w:rFonts w:ascii="Times New Roman" w:cs="Times New Roman" w:eastAsia="Times New Roman" w:hAnsi="Times New Roman"/>
          <w:sz w:val="21"/>
          <w:szCs w:val="21"/>
          <w:color w:val="auto"/>
        </w:rPr>
        <w:t>The Guarantee in this Article 11 is a continuing guarantee, and shall apply to 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Obligations, until the complete, irrevocable and payment and</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satisfaction in full of the Guaranteed Obligations. 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i w:val="1"/>
          <w:iCs w:val="1"/>
          <w:color w:val="auto"/>
        </w:rPr>
        <w:t xml:space="preserve">Section 11.08. Rights of Contribution. </w:t>
      </w:r>
      <w:r>
        <w:rPr>
          <w:rFonts w:ascii="Times New Roman" w:cs="Times New Roman" w:eastAsia="Times New Roman" w:hAnsi="Times New Roman"/>
          <w:sz w:val="22"/>
          <w:szCs w:val="22"/>
          <w:color w:val="auto"/>
        </w:rPr>
        <w:t>The Guarantors hereby agree, as between themselves, that if any Guarantor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For purposes of this Section 11.08, (a) </w:t>
      </w:r>
      <w:r>
        <w:rPr>
          <w:rFonts w:ascii="Times New Roman" w:cs="Times New Roman" w:eastAsia="Times New Roman" w:hAnsi="Times New Roman"/>
          <w:sz w:val="22"/>
          <w:szCs w:val="22"/>
          <w:i w:val="1"/>
          <w:iCs w:val="1"/>
          <w:color w:val="auto"/>
        </w:rPr>
        <w:t>“Excess Funding Guarantor”</w:t>
      </w:r>
      <w:r>
        <w:rPr>
          <w:rFonts w:ascii="Times New Roman" w:cs="Times New Roman" w:eastAsia="Times New Roman" w:hAnsi="Times New Roman"/>
          <w:sz w:val="22"/>
          <w:szCs w:val="22"/>
          <w:color w:val="auto"/>
        </w:rPr>
        <w:t xml:space="preserve"> means, in respect of any Guaranteed Obligations, a Guarantor that has paid an amount in excess of its Pro Rata Share of such Guaranteed Obligations, (b) </w:t>
      </w:r>
      <w:r>
        <w:rPr>
          <w:rFonts w:ascii="Times New Roman" w:cs="Times New Roman" w:eastAsia="Times New Roman" w:hAnsi="Times New Roman"/>
          <w:sz w:val="22"/>
          <w:szCs w:val="22"/>
          <w:i w:val="1"/>
          <w:iCs w:val="1"/>
          <w:color w:val="auto"/>
        </w:rPr>
        <w:t>“Excess Payment”</w:t>
      </w:r>
      <w:r>
        <w:rPr>
          <w:rFonts w:ascii="Times New Roman" w:cs="Times New Roman" w:eastAsia="Times New Roman" w:hAnsi="Times New Roman"/>
          <w:sz w:val="22"/>
          <w:szCs w:val="22"/>
          <w:color w:val="auto"/>
        </w:rPr>
        <w:t xml:space="preserve"> means, in respect of any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391" w:right="339" w:bottom="1440" w:gutter="0" w:footer="0" w:header="0"/>
        </w:sectPr>
      </w:pPr>
    </w:p>
    <w:bookmarkStart w:id="220" w:name="page221"/>
    <w:bookmarkEnd w:id="220"/>
    <w:p>
      <w:pPr>
        <w:spacing w:after="0" w:line="254" w:lineRule="auto"/>
        <w:rPr>
          <w:sz w:val="20"/>
          <w:szCs w:val="20"/>
          <w:color w:val="auto"/>
        </w:rPr>
      </w:pPr>
      <w:r>
        <w:rPr>
          <w:rFonts w:ascii="Times New Roman" w:cs="Times New Roman" w:eastAsia="Times New Roman" w:hAnsi="Times New Roman"/>
          <w:sz w:val="22"/>
          <w:szCs w:val="22"/>
          <w:color w:val="auto"/>
        </w:rPr>
        <w:t xml:space="preserve">Obligations, the amount paid by an Excess Funding Guarantor in excess of its Pro Rata Share of such Guaranteed Obligations and (c)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xml:space="preserve"> means, as of the date of determination, for any Guarantor, the ratio (expressed as a percentage) of</w:t>
      </w:r>
    </w:p>
    <w:p>
      <w:pPr>
        <w:spacing w:after="0" w:line="2" w:lineRule="exact"/>
        <w:rPr>
          <w:sz w:val="20"/>
          <w:szCs w:val="20"/>
          <w:color w:val="auto"/>
        </w:rPr>
      </w:pPr>
    </w:p>
    <w:p>
      <w:pPr>
        <w:jc w:val="both"/>
        <w:ind w:firstLine="8"/>
        <w:spacing w:after="0" w:line="247" w:lineRule="auto"/>
        <w:tabs>
          <w:tab w:leader="none" w:pos="27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the Borrower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spacing w:after="0" w:line="15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i w:val="1"/>
          <w:iCs w:val="1"/>
          <w:color w:val="auto"/>
        </w:rPr>
        <w:t xml:space="preserve">Section 11.09. General Limitation on Guarantee Obligations. </w:t>
      </w:r>
      <w:r>
        <w:rPr>
          <w:rFonts w:ascii="Times New Roman" w:cs="Times New Roman" w:eastAsia="Times New Roman" w:hAnsi="Times New Roman"/>
          <w:sz w:val="21"/>
          <w:szCs w:val="21"/>
          <w:color w:val="auto"/>
        </w:rPr>
        <w:t>In any action or proceeding involving any provincial,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the highest amount that is valid and enforceable and not subordinated to the Claims of other creditors as determined in such action or proceeding.</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179"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i w:val="1"/>
          <w:iCs w:val="1"/>
          <w:color w:val="auto"/>
        </w:rPr>
        <w:t>Section 12.01. Appointment</w:t>
      </w:r>
      <w:r>
        <w:rPr>
          <w:rFonts w:ascii="Times New Roman" w:cs="Times New Roman" w:eastAsia="Times New Roman" w:hAnsi="Times New Roman"/>
          <w:sz w:val="21"/>
          <w:szCs w:val="21"/>
          <w:color w:val="auto"/>
        </w:rPr>
        <w:t>. Each of the Lenders hereby irrevocably appoints Perceptive to act on its behalf as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are solely for the benefit of the Administrative Agent and the Lenders, and neither the Borrower nor any other Obligor will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i w:val="1"/>
          <w:iCs w:val="1"/>
          <w:color w:val="auto"/>
        </w:rPr>
        <w:t>Section 12.02. Rights as a Lender</w:t>
      </w:r>
      <w:r>
        <w:rPr>
          <w:rFonts w:ascii="Times New Roman" w:cs="Times New Roman" w:eastAsia="Times New Roman" w:hAnsi="Times New Roman"/>
          <w:sz w:val="22"/>
          <w:szCs w:val="22"/>
          <w:color w:val="auto"/>
        </w:rPr>
        <w:t>. The Person serving as the Administrative Agent hereunder will have the same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221" w:name="page222"/>
    <w:bookmarkEnd w:id="221"/>
    <w:p>
      <w:pPr>
        <w:jc w:val="both"/>
        <w:spacing w:after="0" w:line="225" w:lineRule="auto"/>
        <w:rPr>
          <w:sz w:val="20"/>
          <w:szCs w:val="20"/>
          <w:color w:val="auto"/>
        </w:rPr>
      </w:pPr>
      <w:r>
        <w:rPr>
          <w:rFonts w:ascii="Times New Roman" w:cs="Times New Roman" w:eastAsia="Times New Roman" w:hAnsi="Times New Roman"/>
          <w:sz w:val="22"/>
          <w:szCs w:val="22"/>
          <w:color w:val="auto"/>
        </w:rPr>
        <w:t>financial advisor or in any other advisory capacity for, and generally engage in any kind of business with, the Borrower, the other Obligors or any other Subsidiaries or Affiliates of the Obligors as if such Person were not the Administrative Agent hereunder and without any duty to account therefor to the Lenders.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12.03. Exculpatory Provisions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25" w:lineRule="auto"/>
        <w:tabs>
          <w:tab w:leader="none" w:pos="1953"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spacing w:after="0" w:line="220" w:lineRule="exact"/>
        <w:rPr>
          <w:rFonts w:ascii="Times New Roman" w:cs="Times New Roman" w:eastAsia="Times New Roman" w:hAnsi="Times New Roman"/>
          <w:sz w:val="22"/>
          <w:szCs w:val="22"/>
          <w:color w:val="auto"/>
        </w:rPr>
      </w:pPr>
    </w:p>
    <w:p>
      <w:pPr>
        <w:ind w:left="1300" w:firstLine="652"/>
        <w:spacing w:after="0" w:line="241" w:lineRule="auto"/>
        <w:tabs>
          <w:tab w:leader="none" w:pos="2584"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be subject to any fiduciary or other implied duties, regardless of whether a Default has occurred and is continuing;</w:t>
      </w:r>
    </w:p>
    <w:p>
      <w:pPr>
        <w:spacing w:after="0" w:line="2" w:lineRule="exact"/>
        <w:rPr>
          <w:sz w:val="20"/>
          <w:szCs w:val="20"/>
          <w:color w:val="auto"/>
        </w:rPr>
      </w:pPr>
    </w:p>
    <w:p>
      <w:pPr>
        <w:jc w:val="both"/>
        <w:ind w:left="1300" w:firstLine="652"/>
        <w:spacing w:after="0" w:line="220" w:lineRule="auto"/>
        <w:tabs>
          <w:tab w:leader="none" w:pos="2584" w:val="left"/>
        </w:tabs>
        <w:numPr>
          <w:ilvl w:val="1"/>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Lenders (or such other number or percentage of the Lenders as will be expressly provided for herein or in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spacing w:after="0" w:line="154" w:lineRule="exact"/>
        <w:rPr>
          <w:rFonts w:ascii="Times New Roman" w:cs="Times New Roman" w:eastAsia="Times New Roman" w:hAnsi="Times New Roman"/>
          <w:sz w:val="21"/>
          <w:szCs w:val="21"/>
          <w:color w:val="auto"/>
        </w:rPr>
      </w:pPr>
    </w:p>
    <w:p>
      <w:pPr>
        <w:jc w:val="both"/>
        <w:ind w:left="1300" w:firstLine="652"/>
        <w:spacing w:after="0" w:line="220" w:lineRule="auto"/>
        <w:tabs>
          <w:tab w:leader="none" w:pos="259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non-appealable judgment. The Administrative Agent will be deemed not to have knowledge of any Default unless and until notice describing such Default is given to the Administrative Agent in writing by the Borrower or a Lender.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395" w:right="339" w:bottom="1440" w:gutter="0" w:footer="0" w:header="0"/>
        </w:sectPr>
      </w:pPr>
    </w:p>
    <w:bookmarkStart w:id="222" w:name="page223"/>
    <w:bookmarkEnd w:id="222"/>
    <w:p>
      <w:pPr>
        <w:jc w:val="both"/>
        <w:ind w:firstLine="648"/>
        <w:spacing w:after="0" w:line="210" w:lineRule="auto"/>
        <w:rPr>
          <w:sz w:val="20"/>
          <w:szCs w:val="20"/>
          <w:color w:val="auto"/>
        </w:rPr>
      </w:pPr>
      <w:r>
        <w:rPr>
          <w:rFonts w:ascii="Times New Roman" w:cs="Times New Roman" w:eastAsia="Times New Roman" w:hAnsi="Times New Roman"/>
          <w:sz w:val="22"/>
          <w:szCs w:val="22"/>
          <w:i w:val="1"/>
          <w:iCs w:val="1"/>
          <w:color w:val="auto"/>
        </w:rPr>
        <w:t>Section 12.04. Reliance by Administrative Agent</w:t>
      </w:r>
      <w:r>
        <w:rPr>
          <w:rFonts w:ascii="Times New Roman" w:cs="Times New Roman" w:eastAsia="Times New Roman" w:hAnsi="Times New Roman"/>
          <w:sz w:val="22"/>
          <w:szCs w:val="22"/>
          <w:color w:val="auto"/>
        </w:rPr>
        <w:t>. The Administrative Agent will be entitled to rely upon, and will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Administrative Agent may consult with legal counsel (who may be counsel for the Borrower), independent accountants and other experts selected by it, and will not be liable for any action taken or not taken by it in accordance with the advice of any such counsel, accountants or experts.</w:t>
      </w:r>
    </w:p>
    <w:p>
      <w:pPr>
        <w:spacing w:after="0" w:line="15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i w:val="1"/>
          <w:iCs w:val="1"/>
          <w:color w:val="auto"/>
        </w:rPr>
        <w:t>Section 12.05. Delegation of Duties</w:t>
      </w:r>
      <w:r>
        <w:rPr>
          <w:rFonts w:ascii="Times New Roman" w:cs="Times New Roman" w:eastAsia="Times New Roman" w:hAnsi="Times New Roman"/>
          <w:sz w:val="22"/>
          <w:szCs w:val="22"/>
          <w:color w:val="auto"/>
        </w:rPr>
        <w:t>. The Administrative Agent may perform any and all of its duties and exercise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provisions of this Article 12 will apply to any such sub-agent and to the Affiliates of the Administrative Agent and any such sub-agent, and will apply to their respective activities in connection with the syndication of the facility as well as activities as Administrative Agent. The Administrative Agent will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12.06. Resignation of 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05" w:lineRule="auto"/>
        <w:tabs>
          <w:tab w:leader="none" w:pos="1953"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may at any time give notice of its resignation to the Lenders and the Borrower, which notice shall set forth the effective date of such resignation (the </w:t>
      </w:r>
      <w:r>
        <w:rPr>
          <w:rFonts w:ascii="Times New Roman" w:cs="Times New Roman" w:eastAsia="Times New Roman" w:hAnsi="Times New Roman"/>
          <w:sz w:val="22"/>
          <w:szCs w:val="22"/>
          <w:i w:val="1"/>
          <w:iCs w:val="1"/>
          <w:color w:val="auto"/>
        </w:rPr>
        <w:t>“Resignation Effective Date”</w:t>
      </w:r>
      <w:r>
        <w:rPr>
          <w:rFonts w:ascii="Times New Roman" w:cs="Times New Roman" w:eastAsia="Times New Roman" w:hAnsi="Times New Roman"/>
          <w:sz w:val="22"/>
          <w:szCs w:val="22"/>
          <w:color w:val="auto"/>
        </w:rPr>
        <w:t>), such date not to be earlier than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such notice. The Majority Lenders and the Borrower shall mutually agree upon a successor to the Administrative Agent. If the Majority Lenders and the Borrower are unable to so mutually agree and no successor shall have been appointed within twenty-five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the Borrower and the Majority Lenders). Whether or not a successor has been appointed, such resignation will become effective in accordance with such notice on the Resignation Effective Date.</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1"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w:t>
      </w:r>
    </w:p>
    <w:p>
      <w:pPr>
        <w:spacing w:after="0" w:line="2" w:lineRule="exact"/>
        <w:rPr>
          <w:rFonts w:ascii="Times New Roman" w:cs="Times New Roman" w:eastAsia="Times New Roman" w:hAnsi="Times New Roman"/>
          <w:sz w:val="21"/>
          <w:szCs w:val="21"/>
          <w:color w:val="auto"/>
        </w:rPr>
      </w:pPr>
    </w:p>
    <w:p>
      <w:pPr>
        <w:jc w:val="both"/>
        <w:ind w:left="660" w:hanging="4"/>
        <w:spacing w:after="0" w:line="214" w:lineRule="auto"/>
        <w:tabs>
          <w:tab w:leader="none" w:pos="100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391" w:right="339" w:bottom="1440" w:gutter="0" w:footer="0" w:header="0"/>
        </w:sectPr>
      </w:pPr>
    </w:p>
    <w:bookmarkStart w:id="223" w:name="page224"/>
    <w:bookmarkEnd w:id="223"/>
    <w:p>
      <w:pPr>
        <w:jc w:val="both"/>
        <w:ind w:left="660"/>
        <w:spacing w:after="0" w:line="222" w:lineRule="auto"/>
        <w:rPr>
          <w:sz w:val="20"/>
          <w:szCs w:val="20"/>
          <w:color w:val="auto"/>
        </w:rPr>
      </w:pPr>
      <w:r>
        <w:rPr>
          <w:rFonts w:ascii="Times New Roman" w:cs="Times New Roman" w:eastAsia="Times New Roman" w:hAnsi="Times New Roman"/>
          <w:sz w:val="21"/>
          <w:szCs w:val="21"/>
          <w:color w:val="auto"/>
        </w:rPr>
        <w:t>acceptance of a successor’s appointment as Administrative Agent hereunder, such successor will succeed to and become vested with all of the rights, powers, privileges and 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the Borrower to a successor Administrative Agent will be the same as those payable to its predecessor unless otherwise agreed between the Borrower and such successor. After the retiring Administrative Agent’s resignation hereunder and under the other Loan Documents, the provisions of this Article 12 and Sections 13.03 and 13.06 will continue in effect for the benefit of such retiring Administrative Agent, its sub-agents and their respective Affiliates in respect of any actions taken or omitted to be taken by any of them while the retiring Administrative Agent was acting as Administrative Agent.</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Section 12.07. Non-Reliance on Administrative Agent and Other Lenders</w:t>
      </w:r>
      <w:r>
        <w:rPr>
          <w:rFonts w:ascii="Times New Roman" w:cs="Times New Roman" w:eastAsia="Times New Roman" w:hAnsi="Times New Roman"/>
          <w:sz w:val="22"/>
          <w:szCs w:val="22"/>
          <w:color w:val="auto"/>
        </w:rPr>
        <w:t>. Each Lender acknowledges that it has,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Section 12.08. Administrative Agent May File Proofs of Claim</w:t>
      </w:r>
      <w:r>
        <w:rPr>
          <w:rFonts w:ascii="Times New Roman" w:cs="Times New Roman" w:eastAsia="Times New Roman" w:hAnsi="Times New Roman"/>
          <w:sz w:val="22"/>
          <w:szCs w:val="22"/>
          <w:color w:val="auto"/>
        </w:rPr>
        <w:t>. In case of the pendency of any Insolvency Proceeding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w:t>
      </w:r>
    </w:p>
    <w:p>
      <w:pPr>
        <w:spacing w:after="0" w:line="151" w:lineRule="exact"/>
        <w:rPr>
          <w:sz w:val="20"/>
          <w:szCs w:val="20"/>
          <w:color w:val="auto"/>
        </w:rPr>
      </w:pPr>
    </w:p>
    <w:p>
      <w:pPr>
        <w:jc w:val="both"/>
        <w:ind w:left="660" w:firstLine="644"/>
        <w:spacing w:after="0" w:line="213" w:lineRule="auto"/>
        <w:tabs>
          <w:tab w:leader="none" w:pos="1953"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spacing w:after="0" w:line="156"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395" w:right="339" w:bottom="1440" w:gutter="0" w:footer="0" w:header="0"/>
        </w:sectPr>
      </w:pPr>
    </w:p>
    <w:bookmarkStart w:id="224" w:name="page225"/>
    <w:bookmarkEnd w:id="224"/>
    <w:p>
      <w:pPr>
        <w:ind w:left="660"/>
        <w:spacing w:after="0"/>
        <w:rPr>
          <w:sz w:val="20"/>
          <w:szCs w:val="20"/>
          <w:color w:val="auto"/>
        </w:rPr>
      </w:pPr>
      <w:r>
        <w:rPr>
          <w:rFonts w:ascii="Times New Roman" w:cs="Times New Roman" w:eastAsia="Times New Roman" w:hAnsi="Times New Roman"/>
          <w:sz w:val="22"/>
          <w:szCs w:val="22"/>
          <w:i w:val="1"/>
          <w:iCs w:val="1"/>
          <w:color w:val="auto"/>
        </w:rPr>
        <w:t>Section 12.09. Collateral and Guaranty Matters; Appointment of Collateral Agent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940" w:hanging="636"/>
        <w:spacing w:after="0"/>
        <w:tabs>
          <w:tab w:leader="none" w:pos="194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provisions of Section 12.08, the Lenders irrevocably agree as follows: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8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in its discretion, to release any Lien on any property granted to or held by the Administrative Agent under any Loan Document (A) on the date when all Obligations have been satisfied in full in cash (other than the Warrant Obligations and unasserted contingent liabilities),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authorized, at its option and discretion, to release any Guarantor from its obligations hereunder if such Person ceases to be a Subsidiary as a result of a transaction permitted under the Loan Documents.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spacing w:after="0" w:line="159" w:lineRule="exact"/>
        <w:rPr>
          <w:sz w:val="20"/>
          <w:szCs w:val="20"/>
          <w:color w:val="auto"/>
        </w:rPr>
      </w:pPr>
    </w:p>
    <w:p>
      <w:pPr>
        <w:jc w:val="both"/>
        <w:ind w:left="660" w:firstLine="644"/>
        <w:spacing w:after="0" w:line="217" w:lineRule="auto"/>
        <w:tabs>
          <w:tab w:leader="none" w:pos="195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09" w:lineRule="auto"/>
        <w:tabs>
          <w:tab w:leader="none" w:pos="195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and 9.01(m), as applicable, (iv) enter into non-disturbance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391" w:right="339" w:bottom="1440" w:gutter="0" w:footer="0" w:header="0"/>
        </w:sectPr>
      </w:pPr>
    </w:p>
    <w:bookmarkStart w:id="225" w:name="page226"/>
    <w:bookmarkEnd w:id="225"/>
    <w:p>
      <w:pPr>
        <w:ind w:left="4980"/>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 xml:space="preserve">Section 13.01. No Waiver. </w:t>
      </w:r>
      <w:r>
        <w:rPr>
          <w:rFonts w:ascii="Times New Roman" w:cs="Times New Roman" w:eastAsia="Times New Roman" w:hAnsi="Times New Roman"/>
          <w:sz w:val="22"/>
          <w:szCs w:val="22"/>
          <w:color w:val="auto"/>
        </w:rPr>
        <w:t>No failure on the part of the Administrative Agent or the Lenders to exercise and no delay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47"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i w:val="1"/>
          <w:iCs w:val="1"/>
          <w:color w:val="auto"/>
        </w:rPr>
        <w:t xml:space="preserve">Section 13.02. Notices. </w:t>
      </w:r>
      <w:r>
        <w:rPr>
          <w:rFonts w:ascii="Times New Roman" w:cs="Times New Roman" w:eastAsia="Times New Roman" w:hAnsi="Times New Roman"/>
          <w:sz w:val="22"/>
          <w:szCs w:val="22"/>
          <w:color w:val="auto"/>
        </w:rPr>
        <w:t>All notices, requests, instructions, directions and other communications provided for herein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(including any modifications of, or waivers, requests or consents under, the Loan Documents) shall be given or made in writing (including by telecopy or electronic mail) delivered, if to the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 Notwithstanding anything to the contrary in this Agreement, notices, documents, certificates and other deliverables to the Lenders by any Obligor may be made solely to the Administrative Agent and the Administrative Agent shall promptly deliver such notices, documents, certificates and other deliverables to the other Lenders.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13.03. Expenses, Indemnification, Etc</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7" w:lineRule="auto"/>
        <w:tabs>
          <w:tab w:leader="none" w:pos="1953" w:val="left"/>
        </w:tabs>
        <w:numPr>
          <w:ilvl w:val="1"/>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Expenses. </w:t>
      </w:r>
      <w:r>
        <w:rPr>
          <w:rFonts w:ascii="Times New Roman" w:cs="Times New Roman" w:eastAsia="Times New Roman" w:hAnsi="Times New Roman"/>
          <w:sz w:val="21"/>
          <w:szCs w:val="21"/>
          <w:color w:val="auto"/>
        </w:rPr>
        <w:t>Each Obligor agrees to pay or reimburse (i) the Administrative Agent and the Lenders for all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their reasonable and documented out-of-pocket costs and expenses (including the reasonable and documented fees and expenses of one firm of outside counsel to all such Persons taken as a whole and, if necessary, of one local counsel in any relevant jurisdiction to all such Persons, taken as a whole and solely in the case of an actual or potential conflict of interest, (x) one additional counsel to all such Persons similarly affected, taken as a whole, and (y) one additional local counsel to all such Persons similarly affected, taken as a whole, in any relevant jurisdiction) in connection with (A) the negotiation, preparation, execution and delivery of this Agreement and the other Loan Documents and the making of the Term Loans (exclusive of post-closing costs);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 long as the Borrowing of the Tranche A Term Loan is made, such fees shall be credited against the Expense Deposit, (B) reasonable and documented post-closing costs and</w:t>
      </w:r>
    </w:p>
    <w:p>
      <w:pPr>
        <w:spacing w:after="0" w:line="6" w:lineRule="exact"/>
        <w:rPr>
          <w:rFonts w:ascii="Times New Roman" w:cs="Times New Roman" w:eastAsia="Times New Roman" w:hAnsi="Times New Roman"/>
          <w:sz w:val="21"/>
          <w:szCs w:val="21"/>
          <w:color w:val="auto"/>
        </w:rPr>
      </w:pPr>
    </w:p>
    <w:p>
      <w:pPr>
        <w:jc w:val="both"/>
        <w:ind w:left="660" w:hanging="4"/>
        <w:spacing w:after="0" w:line="212" w:lineRule="auto"/>
        <w:tabs>
          <w:tab w:leader="none" w:pos="103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negotiation or preparation of any amendment, modification, supplement or waiver of any of the terms of this Agreement or any of the other Loan Documents (whether or not consummated) and (ii) the Administrative Agent and the Lenders for all of their reasonable and documented out-of-pocket costs and expenses (including the reasonable fees and expenses of legal counsel) in connection with any enforcement or collection proceedings resulting from the occurrence of an Event of Default that is continuing.</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6" w:lineRule="auto"/>
        <w:tabs>
          <w:tab w:leader="none" w:pos="1951"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Indemnification. </w:t>
      </w:r>
      <w:r>
        <w:rPr>
          <w:rFonts w:ascii="Times New Roman" w:cs="Times New Roman" w:eastAsia="Times New Roman" w:hAnsi="Times New Roman"/>
          <w:sz w:val="21"/>
          <w:szCs w:val="21"/>
          <w:color w:val="auto"/>
        </w:rPr>
        <w:t>Each Obligor hereby indemnifies the Administrative Agent, the Lenders, their respective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Affiliates, and their respective directors, officers, employees, attorneys, agents and advisors (each, an </w:t>
      </w:r>
      <w:r>
        <w:rPr>
          <w:rFonts w:ascii="Times New Roman" w:cs="Times New Roman" w:eastAsia="Times New Roman" w:hAnsi="Times New Roman"/>
          <w:sz w:val="21"/>
          <w:szCs w:val="21"/>
          <w:i w:val="1"/>
          <w:iCs w:val="1"/>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Party”</w:t>
      </w:r>
      <w:r>
        <w:rPr>
          <w:rFonts w:ascii="Times New Roman" w:cs="Times New Roman" w:eastAsia="Times New Roman" w:hAnsi="Times New Roman"/>
          <w:sz w:val="21"/>
          <w:szCs w:val="21"/>
          <w:color w:val="auto"/>
        </w:rPr>
        <w:t>) from and against, and agrees to hold them harmless against, any and all reasonable and documented out-of-pocket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Claims and Losses of any kind (including one firm of outside counsel to all such Persons taken as a whole and, if necessary, of one local counsel in any relevant jurisdiction to all such Persons, taken as a whole and solely in the case of an actual or potential conflict of interest, (x) one additional counsel to all such Persons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391" w:right="339" w:bottom="1440" w:gutter="0" w:footer="0" w:header="0"/>
        </w:sectPr>
      </w:pPr>
    </w:p>
    <w:bookmarkStart w:id="226" w:name="page227"/>
    <w:bookmarkEnd w:id="226"/>
    <w:p>
      <w:pPr>
        <w:jc w:val="both"/>
        <w:ind w:left="660"/>
        <w:spacing w:after="0" w:line="219" w:lineRule="auto"/>
        <w:rPr>
          <w:sz w:val="20"/>
          <w:szCs w:val="20"/>
          <w:color w:val="auto"/>
        </w:rPr>
      </w:pPr>
      <w:r>
        <w:rPr>
          <w:rFonts w:ascii="Times New Roman" w:cs="Times New Roman" w:eastAsia="Times New Roman" w:hAnsi="Times New Roman"/>
          <w:sz w:val="21"/>
          <w:szCs w:val="21"/>
          <w:color w:val="auto"/>
        </w:rPr>
        <w:t>affected, taken as a whole, and (y) one additional local counsel to all such Persons similarly affected, taken as a whole, in any relevant jurisdiction),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is found in a final, non-appealable judgment by a court of competent jurisdiction to have resulted from any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non-Tax Claim or Loss governed by this Section 13.03(b).</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Section 13.04. Amendments, Etc</w:t>
      </w:r>
      <w:r>
        <w:rPr>
          <w:rFonts w:ascii="Times New Roman" w:cs="Times New Roman" w:eastAsia="Times New Roman" w:hAnsi="Times New Roman"/>
          <w:sz w:val="22"/>
          <w:szCs w:val="22"/>
          <w:color w:val="auto"/>
        </w:rPr>
        <w:t>. Except as otherwise expressly provided in this Agreement, any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Agreement or any other Loan Document (except for the Warrant Certificate, which may be amended, modified, waived or supplemented in accordance with the terms thereof) may be amended, modified, waived or supplemented only by an instrument in writing signed by Obligors, the Administrative Agent and the Majority Lenders;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spacing w:after="0" w:line="152" w:lineRule="exact"/>
        <w:rPr>
          <w:sz w:val="20"/>
          <w:szCs w:val="20"/>
          <w:color w:val="auto"/>
        </w:rPr>
      </w:pPr>
    </w:p>
    <w:p>
      <w:pPr>
        <w:ind w:left="660" w:firstLine="644"/>
        <w:spacing w:after="0" w:line="236" w:lineRule="auto"/>
        <w:tabs>
          <w:tab w:leader="none" w:pos="195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all of the Lenders, do any of the following at any time:</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change the number of Lenders or the percentage of (A) the Commitments or (B) the aggregate unpaid principal amount of the Term Loans that, in each case, shall be required for the Lenders or any of them to take any action hereunder (including pursuant to any change to the definition of </w:t>
      </w:r>
      <w:r>
        <w:rPr>
          <w:rFonts w:ascii="Times New Roman" w:cs="Times New Roman" w:eastAsia="Times New Roman" w:hAnsi="Times New Roman"/>
          <w:sz w:val="22"/>
          <w:szCs w:val="22"/>
          <w:i w:val="1"/>
          <w:iCs w:val="1"/>
          <w:color w:val="auto"/>
        </w:rPr>
        <w:t>“Majority Lenders”</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or subordinate the Lenders’ Liens in, all or substantially all of the Collateral in any transaction or series of related transactions (other than in connection with any sale of Collateral permitted herein); or</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any provision of this Section 13.04;</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or consent shall, unless in writing and signed by each Lender specified below for such amendment, waiver or consent:</w:t>
      </w:r>
    </w:p>
    <w:p>
      <w:pPr>
        <w:spacing w:after="0" w:line="150"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the Commitments of a Lender without the consent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395" w:right="339" w:bottom="1440" w:gutter="0" w:footer="0" w:header="0"/>
        </w:sectPr>
      </w:pPr>
    </w:p>
    <w:bookmarkStart w:id="227" w:name="page228"/>
    <w:bookmarkEnd w:id="227"/>
    <w:p>
      <w:pPr>
        <w:jc w:val="both"/>
        <w:ind w:left="640" w:firstLine="652"/>
        <w:spacing w:after="0" w:line="225" w:lineRule="auto"/>
        <w:tabs>
          <w:tab w:leader="none" w:pos="193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36" w:lineRule="auto"/>
        <w:tabs>
          <w:tab w:leader="none" w:pos="1936"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spacing w:after="0" w:line="151" w:lineRule="exact"/>
        <w:rPr>
          <w:rFonts w:ascii="Times New Roman" w:cs="Times New Roman" w:eastAsia="Times New Roman" w:hAnsi="Times New Roman"/>
          <w:sz w:val="21"/>
          <w:szCs w:val="21"/>
          <w:color w:val="auto"/>
        </w:rPr>
      </w:pPr>
    </w:p>
    <w:p>
      <w:pPr>
        <w:jc w:val="both"/>
        <w:ind w:left="640" w:firstLine="652"/>
        <w:spacing w:after="0" w:line="231" w:lineRule="auto"/>
        <w:tabs>
          <w:tab w:leader="none" w:pos="1924"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spacing w:after="0" w:line="150" w:lineRule="exact"/>
        <w:rPr>
          <w:rFonts w:ascii="Times New Roman" w:cs="Times New Roman" w:eastAsia="Times New Roman" w:hAnsi="Times New Roman"/>
          <w:sz w:val="21"/>
          <w:szCs w:val="21"/>
          <w:color w:val="auto"/>
        </w:rPr>
      </w:pPr>
    </w:p>
    <w:p>
      <w:pPr>
        <w:ind w:left="1940" w:hanging="648"/>
        <w:spacing w:after="0"/>
        <w:tabs>
          <w:tab w:leader="none" w:pos="19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Section 2.02 without the consent of each Lender directly and adversely affected thereby.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Section 13.05. Successors and Assigns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4"/>
        <w:spacing w:after="0" w:line="212" w:lineRule="auto"/>
        <w:tabs>
          <w:tab w:leader="none" w:pos="129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General. </w:t>
      </w:r>
      <w:r>
        <w:rPr>
          <w:rFonts w:ascii="Times New Roman" w:cs="Times New Roman" w:eastAsia="Times New Roman" w:hAnsi="Times New Roman"/>
          <w:sz w:val="22"/>
          <w:szCs w:val="22"/>
          <w:color w:val="auto"/>
        </w:rPr>
        <w:t>The provisions of this Agreement shall be binding upon and inure to the benefit of the parties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spacing w:after="0" w:line="148" w:lineRule="exact"/>
        <w:rPr>
          <w:rFonts w:ascii="Times New Roman" w:cs="Times New Roman" w:eastAsia="Times New Roman" w:hAnsi="Times New Roman"/>
          <w:sz w:val="22"/>
          <w:szCs w:val="22"/>
          <w:color w:val="auto"/>
        </w:rPr>
      </w:pPr>
    </w:p>
    <w:p>
      <w:pPr>
        <w:jc w:val="both"/>
        <w:ind w:firstLine="644"/>
        <w:spacing w:after="0" w:line="218" w:lineRule="auto"/>
        <w:tabs>
          <w:tab w:leader="none" w:pos="1291"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Amendments to Loan Documents. </w:t>
      </w:r>
      <w:r>
        <w:rPr>
          <w:rFonts w:ascii="Times New Roman" w:cs="Times New Roman" w:eastAsia="Times New Roman" w:hAnsi="Times New Roman"/>
          <w:sz w:val="22"/>
          <w:szCs w:val="22"/>
          <w:color w:val="auto"/>
        </w:rPr>
        <w:t>Each of the Lenders and the Obligors agrees to enter into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spacing w:after="0" w:line="151"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by Lenders.</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15" w:lineRule="auto"/>
        <w:tabs>
          <w:tab w:leader="none" w:pos="1924"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provided that no consent of the Administrative Agent shall be required for an assignment of any Commitment or of all or any portion of a Term Loan to a Lender, an Affiliate of a Lender or an Approved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0580"/>
          </w:cols>
          <w:pgMar w:left="980" w:top="1395" w:right="339" w:bottom="1440" w:gutter="0" w:footer="0" w:header="0"/>
        </w:sectPr>
      </w:pPr>
    </w:p>
    <w:bookmarkStart w:id="228" w:name="page229"/>
    <w:bookmarkEnd w:id="228"/>
    <w:p>
      <w:pPr>
        <w:ind w:left="1480" w:hanging="648"/>
        <w:spacing w:after="0"/>
        <w:tabs>
          <w:tab w:leader="none" w:pos="148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27" w:lineRule="auto"/>
        <w:tabs>
          <w:tab w:leader="none" w:pos="2125" w:val="left"/>
        </w:tabs>
        <w:numPr>
          <w:ilvl w:val="2"/>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not be less than $500,000, unless the Administrative Agent otherwise consents;</w:t>
      </w:r>
    </w:p>
    <w:p>
      <w:pPr>
        <w:spacing w:after="0" w:line="153" w:lineRule="exact"/>
        <w:rPr>
          <w:rFonts w:ascii="Times New Roman" w:cs="Times New Roman" w:eastAsia="Times New Roman" w:hAnsi="Times New Roman"/>
          <w:sz w:val="21"/>
          <w:szCs w:val="21"/>
          <w:color w:val="auto"/>
        </w:rPr>
      </w:pPr>
    </w:p>
    <w:p>
      <w:pPr>
        <w:ind w:left="840" w:firstLine="640"/>
        <w:spacing w:after="0" w:line="236" w:lineRule="auto"/>
        <w:tabs>
          <w:tab w:leader="none" w:pos="2127" w:val="left"/>
        </w:tabs>
        <w:numPr>
          <w:ilvl w:val="2"/>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and the other Loan Documents; and</w:t>
      </w:r>
    </w:p>
    <w:p>
      <w:pPr>
        <w:spacing w:after="0" w:line="150" w:lineRule="exact"/>
        <w:rPr>
          <w:rFonts w:ascii="Times New Roman" w:cs="Times New Roman" w:eastAsia="Times New Roman" w:hAnsi="Times New Roman"/>
          <w:sz w:val="22"/>
          <w:szCs w:val="22"/>
          <w:color w:val="auto"/>
        </w:rPr>
      </w:pPr>
    </w:p>
    <w:p>
      <w:pPr>
        <w:ind w:left="840" w:right="20" w:firstLine="640"/>
        <w:spacing w:after="0" w:line="236" w:lineRule="auto"/>
        <w:tabs>
          <w:tab w:leader="none" w:pos="2127" w:val="left"/>
        </w:tabs>
        <w:numPr>
          <w:ilvl w:val="2"/>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Agreement in form and substance reasonably satisfactory to the Administrative Agent.</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76"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spacing w:after="0" w:line="147" w:lineRule="exact"/>
        <w:rPr>
          <w:rFonts w:ascii="Times New Roman" w:cs="Times New Roman" w:eastAsia="Times New Roman" w:hAnsi="Times New Roman"/>
          <w:sz w:val="22"/>
          <w:szCs w:val="22"/>
          <w:color w:val="auto"/>
        </w:rPr>
      </w:pPr>
    </w:p>
    <w:p>
      <w:pPr>
        <w:jc w:val="both"/>
        <w:ind w:left="-460" w:firstLine="644"/>
        <w:spacing w:after="0" w:line="221" w:lineRule="auto"/>
        <w:tabs>
          <w:tab w:leader="none" w:pos="831"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Register. </w:t>
      </w:r>
      <w:r>
        <w:rPr>
          <w:rFonts w:ascii="Times New Roman" w:cs="Times New Roman" w:eastAsia="Times New Roman" w:hAnsi="Times New Roman"/>
          <w:sz w:val="21"/>
          <w:szCs w:val="21"/>
          <w:color w:val="auto"/>
        </w:rPr>
        <w:t>The Administrative Agent, acting for this purpose as a non-fiduciary agent of the Borrower,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 w:cs="Times New Roman" w:eastAsia="Times New Roman" w:hAnsi="Times New Roman"/>
          <w:sz w:val="21"/>
          <w:szCs w:val="21"/>
          <w:i w:val="1"/>
          <w:iCs w:val="1"/>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w:t>
      </w:r>
    </w:p>
    <w:p>
      <w:pPr>
        <w:spacing w:after="0" w:line="152" w:lineRule="exact"/>
        <w:rPr>
          <w:rFonts w:ascii="Times New Roman" w:cs="Times New Roman" w:eastAsia="Times New Roman" w:hAnsi="Times New Roman"/>
          <w:sz w:val="21"/>
          <w:szCs w:val="21"/>
          <w:color w:val="auto"/>
        </w:rPr>
      </w:pPr>
    </w:p>
    <w:p>
      <w:pPr>
        <w:jc w:val="both"/>
        <w:ind w:left="-460" w:firstLine="644"/>
        <w:spacing w:after="0" w:line="227" w:lineRule="auto"/>
        <w:tabs>
          <w:tab w:leader="none" w:pos="83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Participations. </w:t>
      </w:r>
      <w:r>
        <w:rPr>
          <w:rFonts w:ascii="Times New Roman" w:cs="Times New Roman" w:eastAsia="Times New Roman" w:hAnsi="Times New Roman"/>
          <w:sz w:val="22"/>
          <w:szCs w:val="22"/>
          <w:color w:val="auto"/>
        </w:rPr>
        <w:t>Any Lender may at any time, without the consent of, or notice to, the Borrower, sell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participations to any Person (a “</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other than an Ineligible Assignee, in all or a portion of such Lender’s rights and obligations under the Loan Documents (including all or a portion of its Commitment and the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0120"/>
          </w:cols>
          <w:pgMar w:left="1440" w:top="1395" w:right="339" w:bottom="1440" w:gutter="0" w:footer="0" w:header="0"/>
        </w:sectPr>
      </w:pPr>
    </w:p>
    <w:bookmarkStart w:id="229" w:name="page230"/>
    <w:bookmarkEnd w:id="229"/>
    <w:p>
      <w:pPr>
        <w:jc w:val="both"/>
        <w:ind w:left="660"/>
        <w:spacing w:after="0" w:line="227" w:lineRule="auto"/>
        <w:rPr>
          <w:sz w:val="20"/>
          <w:szCs w:val="20"/>
          <w:color w:val="auto"/>
        </w:rPr>
      </w:pPr>
      <w:r>
        <w:rPr>
          <w:rFonts w:ascii="Times New Roman" w:cs="Times New Roman" w:eastAsia="Times New Roman" w:hAnsi="Times New Roman"/>
          <w:sz w:val="22"/>
          <w:szCs w:val="22"/>
          <w:color w:val="auto"/>
        </w:rPr>
        <w:t xml:space="preserve">owing to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Lender’s obligations under the Loan Documents shall remain unchanged, (ii) such Lender shall remain solely responsible to the other parties hereto for the performance of such obligations and (iii) the Borrower shall continue to deal solely and directly with such Lender in connection therewith.</w:t>
      </w:r>
    </w:p>
    <w:p>
      <w:pPr>
        <w:spacing w:after="0" w:line="150" w:lineRule="exact"/>
        <w:rPr>
          <w:sz w:val="20"/>
          <w:szCs w:val="20"/>
          <w:color w:val="auto"/>
        </w:rPr>
      </w:pPr>
    </w:p>
    <w:p>
      <w:pPr>
        <w:jc w:val="both"/>
        <w:ind w:left="660" w:firstLine="644"/>
        <w:spacing w:after="0" w:line="218" w:lineRule="auto"/>
        <w:tabs>
          <w:tab w:leader="none" w:pos="1956"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w:t>
      </w:r>
    </w:p>
    <w:p>
      <w:pPr>
        <w:spacing w:after="0" w:line="3" w:lineRule="exact"/>
        <w:rPr>
          <w:rFonts w:ascii="Times New Roman" w:cs="Times New Roman" w:eastAsia="Times New Roman" w:hAnsi="Times New Roman"/>
          <w:sz w:val="21"/>
          <w:szCs w:val="21"/>
          <w:color w:val="auto"/>
        </w:rPr>
      </w:pPr>
    </w:p>
    <w:p>
      <w:pPr>
        <w:jc w:val="both"/>
        <w:ind w:left="660" w:hanging="4"/>
        <w:spacing w:after="0" w:line="206" w:lineRule="auto"/>
        <w:tabs>
          <w:tab w:leader="none" w:pos="104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rate at which interest is payable thereon to a level below the rate at which the Participant is entitled to receive such interest. The Borrower agrees that each Participant shall be entitled to the benefits of Section 5.03 (subject to the requirements and limitations therein, including the requirements under Section 5.03(f) (it being understood that the documentation required under Section 5.03(f) shall be delivered to the Borrower and the participating Lender)) to the same extent as if it were a Lender and had acquired its interest by assignment pursuant to Section 13.05(a),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the Borrower’s prior written consent. To the extent permitted by Law, each Participant also shall be entitled to the benefits of Section 4.04(a)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Term Loans or other obligations under the Loan Documents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5" w:lineRule="exact"/>
        <w:rPr>
          <w:rFonts w:ascii="Times New Roman" w:cs="Times New Roman" w:eastAsia="Times New Roman" w:hAnsi="Times New Roman"/>
          <w:sz w:val="22"/>
          <w:szCs w:val="22"/>
          <w:color w:val="auto"/>
        </w:rPr>
      </w:pPr>
    </w:p>
    <w:p>
      <w:pPr>
        <w:jc w:val="both"/>
        <w:ind w:left="660" w:firstLine="644"/>
        <w:spacing w:after="0" w:line="218" w:lineRule="auto"/>
        <w:tabs>
          <w:tab w:leader="none" w:pos="195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Certain Pledges. </w:t>
      </w:r>
      <w:r>
        <w:rPr>
          <w:rFonts w:ascii="Times New Roman" w:cs="Times New Roman" w:eastAsia="Times New Roman" w:hAnsi="Times New Roman"/>
          <w:sz w:val="22"/>
          <w:szCs w:val="22"/>
          <w:color w:val="auto"/>
        </w:rPr>
        <w:t>The Lenders may at any time pledge or assign a security interest in all or any portion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 rights under this Agreement and any other Loan Document to secure obligations of the Lenders, including any pledge or assignment to secure obligations to a Federal Reserve Bank or another central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pledge or assignment shall release the Lenders from any of their obligations hereunder or substitute any such pledgee or assignee for the Lenders as a party hereto.</w:t>
      </w:r>
    </w:p>
    <w:p>
      <w:pPr>
        <w:spacing w:after="0" w:line="14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Section 13.06. Survival. </w:t>
      </w:r>
      <w:r>
        <w:rPr>
          <w:rFonts w:ascii="Times New Roman" w:cs="Times New Roman" w:eastAsia="Times New Roman" w:hAnsi="Times New Roman"/>
          <w:sz w:val="22"/>
          <w:szCs w:val="22"/>
          <w:color w:val="auto"/>
        </w:rPr>
        <w:t>The obligations of each Obligor under Sections 5.01, 5.02, 5.03, 13.03, 13.05, 13.09, 13.10,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391" w:right="339" w:bottom="1440" w:gutter="0" w:footer="0" w:header="0"/>
        </w:sectPr>
      </w:pPr>
    </w:p>
    <w:bookmarkStart w:id="230" w:name="page231"/>
    <w:bookmarkEnd w:id="230"/>
    <w:p>
      <w:pPr>
        <w:jc w:val="both"/>
        <w:spacing w:after="0" w:line="220" w:lineRule="auto"/>
        <w:rPr>
          <w:sz w:val="20"/>
          <w:szCs w:val="20"/>
          <w:color w:val="auto"/>
        </w:rPr>
      </w:pPr>
      <w:r>
        <w:rPr>
          <w:rFonts w:ascii="Times New Roman" w:cs="Times New Roman" w:eastAsia="Times New Roman" w:hAnsi="Times New Roman"/>
          <w:sz w:val="22"/>
          <w:szCs w:val="22"/>
          <w:color w:val="auto"/>
        </w:rPr>
        <w:t>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Section 13.07. Captions. </w:t>
      </w:r>
      <w:r>
        <w:rPr>
          <w:rFonts w:ascii="Times New Roman" w:cs="Times New Roman" w:eastAsia="Times New Roman" w:hAnsi="Times New Roman"/>
          <w:sz w:val="22"/>
          <w:szCs w:val="22"/>
          <w:color w:val="auto"/>
        </w:rPr>
        <w:t>The table of contents and captions and section headings appearing herein are included solely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convenience of reference and are not intended to affect the interpretation of any provision of this Agreement.</w:t>
      </w:r>
    </w:p>
    <w:p>
      <w:pPr>
        <w:spacing w:after="0" w:line="14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i w:val="1"/>
          <w:iCs w:val="1"/>
          <w:color w:val="auto"/>
        </w:rPr>
        <w:t xml:space="preserve">Section 13.08. Counterparts. </w:t>
      </w:r>
      <w:r>
        <w:rPr>
          <w:rFonts w:ascii="Times New Roman" w:cs="Times New Roman" w:eastAsia="Times New Roman" w:hAnsi="Times New Roman"/>
          <w:sz w:val="21"/>
          <w:szCs w:val="21"/>
          <w:color w:val="auto"/>
        </w:rPr>
        <w:t>This Agreement may be executed in any number of counterparts, all of which taken together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 xml:space="preserve">Section 13.09. GOVERNING LAW. </w:t>
      </w:r>
      <w:r>
        <w:rPr>
          <w:rFonts w:ascii="Times New Roman" w:cs="Times New Roman" w:eastAsia="Times New Roman" w:hAnsi="Times New Roman"/>
          <w:sz w:val="22"/>
          <w:szCs w:val="22"/>
          <w:color w:val="auto"/>
        </w:rPr>
        <w:t>THIS AGREEMENT AND THE OTHER LOAN DOCUMENTS, THE RIGHTS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Section 13.10. Jurisdiction, Service of Process and Venue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660" w:firstLine="644"/>
        <w:spacing w:after="0" w:line="214" w:lineRule="auto"/>
        <w:tabs>
          <w:tab w:leader="none" w:pos="195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SUBMISSION TO JURISDICTION. </w:t>
      </w:r>
      <w:r>
        <w:rPr>
          <w:rFonts w:ascii="Times New Roman" w:cs="Times New Roman" w:eastAsia="Times New Roman" w:hAnsi="Times New Roman"/>
          <w:sz w:val="22"/>
          <w:szCs w:val="22"/>
          <w:color w:val="auto"/>
        </w:rPr>
        <w:t>EACH OBLIGOR AGREES THAT ANY SUIT, ACTION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spacing w:after="0" w:line="148" w:lineRule="exact"/>
        <w:rPr>
          <w:rFonts w:ascii="Times New Roman" w:cs="Times New Roman" w:eastAsia="Times New Roman" w:hAnsi="Times New Roman"/>
          <w:sz w:val="22"/>
          <w:szCs w:val="22"/>
          <w:color w:val="auto"/>
        </w:rPr>
      </w:pPr>
    </w:p>
    <w:p>
      <w:pPr>
        <w:ind w:left="660" w:right="20" w:firstLine="644"/>
        <w:spacing w:after="0" w:line="238" w:lineRule="auto"/>
        <w:tabs>
          <w:tab w:leader="none" w:pos="1951"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Alternative Process. </w:t>
      </w:r>
      <w:r>
        <w:rPr>
          <w:rFonts w:ascii="Times New Roman" w:cs="Times New Roman" w:eastAsia="Times New Roman" w:hAnsi="Times New Roman"/>
          <w:sz w:val="22"/>
          <w:szCs w:val="22"/>
          <w:color w:val="auto"/>
        </w:rPr>
        <w:t>Nothing herein shall in any way be deemed to limit the ability of the Lenders to serve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such process or summonses in any other manner permitted by applicable Law.</w:t>
      </w:r>
    </w:p>
    <w:p>
      <w:pPr>
        <w:spacing w:after="0" w:line="146" w:lineRule="exact"/>
        <w:rPr>
          <w:rFonts w:ascii="Times New Roman" w:cs="Times New Roman" w:eastAsia="Times New Roman" w:hAnsi="Times New Roman"/>
          <w:sz w:val="22"/>
          <w:szCs w:val="22"/>
          <w:color w:val="auto"/>
        </w:rPr>
      </w:pPr>
    </w:p>
    <w:p>
      <w:pPr>
        <w:jc w:val="both"/>
        <w:ind w:left="660" w:firstLine="644"/>
        <w:spacing w:after="0" w:line="227" w:lineRule="auto"/>
        <w:tabs>
          <w:tab w:leader="none" w:pos="195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 OF VENUE, ETC. </w:t>
      </w:r>
      <w:r>
        <w:rPr>
          <w:rFonts w:ascii="Times New Roman" w:cs="Times New Roman" w:eastAsia="Times New Roman" w:hAnsi="Times New Roman"/>
          <w:sz w:val="22"/>
          <w:szCs w:val="22"/>
          <w:color w:val="auto"/>
        </w:rPr>
        <w:t>EACH OBLIGOR IRREVOCABLY WAIVES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LAW ANY OBJECTION THAT IT MAY NOW OR HEREAFTER HAVE TO THE LAYING OF THE VENUE OF ANY SUIT, ACTION OR PROCEEDING ARISING OUT OF OR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395" w:right="339" w:bottom="1440" w:gutter="0" w:footer="0" w:header="0"/>
        </w:sectPr>
      </w:pPr>
    </w:p>
    <w:bookmarkStart w:id="231" w:name="page232"/>
    <w:bookmarkEnd w:id="231"/>
    <w:p>
      <w:pPr>
        <w:jc w:val="both"/>
        <w:ind w:left="660"/>
        <w:spacing w:after="0" w:line="225" w:lineRule="auto"/>
        <w:rPr>
          <w:sz w:val="20"/>
          <w:szCs w:val="20"/>
          <w:color w:val="auto"/>
        </w:rPr>
      </w:pPr>
      <w:r>
        <w:rPr>
          <w:rFonts w:ascii="Times New Roman" w:cs="Times New Roman" w:eastAsia="Times New Roman" w:hAnsi="Times New Roman"/>
          <w:sz w:val="21"/>
          <w:szCs w:val="21"/>
          <w:color w:val="auto"/>
        </w:rPr>
        <w:t>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spacing w:after="0" w:line="15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i w:val="1"/>
          <w:iCs w:val="1"/>
          <w:color w:val="auto"/>
        </w:rPr>
        <w:t>Section 13.11. WAIVER OF JURY TRIAL</w:t>
      </w:r>
      <w:r>
        <w:rPr>
          <w:rFonts w:ascii="Times New Roman" w:cs="Times New Roman" w:eastAsia="Times New Roman" w:hAnsi="Times New Roman"/>
          <w:sz w:val="22"/>
          <w:szCs w:val="22"/>
          <w:color w:val="auto"/>
        </w:rPr>
        <w:t>. EACH PARTY HERETO HEREBY IRREVOCABLY WAIVES,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FULLEST EXTENT PERMITTED BY APPLICABLE LAW, ANY AND ALL RIGHT TO TRIAL BY JURY IN ANY SUIT, ACTION OR PROCEEDING ARISING OUT OF OR RELATING TO THIS AGREEMENT, THE OTHER LOAN DOCUMENTS OR THE TRANSACTIONS CONTEMPLATED HEREBY OR THEREBY.</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i w:val="1"/>
          <w:iCs w:val="1"/>
          <w:color w:val="auto"/>
        </w:rPr>
        <w:t>Section 13.12. WAIVER OF IMMUNITY</w:t>
      </w:r>
      <w:r>
        <w:rPr>
          <w:rFonts w:ascii="Times New Roman" w:cs="Times New Roman" w:eastAsia="Times New Roman" w:hAnsi="Times New Roman"/>
          <w:sz w:val="22"/>
          <w:szCs w:val="22"/>
          <w:color w:val="auto"/>
        </w:rPr>
        <w:t>. TO THE EXTENT THAT ANY OBLIGOR MAY BE OR BECOME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 xml:space="preserve">Section 13.13. Entire Agreement. </w:t>
      </w:r>
      <w:r>
        <w:rPr>
          <w:rFonts w:ascii="Times New Roman" w:cs="Times New Roman" w:eastAsia="Times New Roman" w:hAnsi="Times New Roman"/>
          <w:sz w:val="22"/>
          <w:szCs w:val="22"/>
          <w:color w:val="auto"/>
        </w:rPr>
        <w:t>This Agreement and the other Loan Documents constitute the entire agreement among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i w:val="1"/>
          <w:iCs w:val="1"/>
          <w:color w:val="auto"/>
        </w:rPr>
        <w:t xml:space="preserve">Section 13.14. Severability. </w:t>
      </w:r>
      <w:r>
        <w:rPr>
          <w:rFonts w:ascii="Times New Roman" w:cs="Times New Roman" w:eastAsia="Times New Roman" w:hAnsi="Times New Roman"/>
          <w:sz w:val="22"/>
          <w:szCs w:val="22"/>
          <w:color w:val="auto"/>
        </w:rPr>
        <w:t>If any provision hereof is found by a court to be invalid or unenforceable, to the fullest extent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permitted by applicable Law the parties agree that such invalidity or unenforceability shall not impair the validity or enforceability of any other provision hereof.</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i w:val="1"/>
          <w:iCs w:val="1"/>
          <w:color w:val="auto"/>
        </w:rPr>
        <w:t xml:space="preserve">Section 13.15. No Fiduciary Relationship. </w:t>
      </w:r>
      <w:r>
        <w:rPr>
          <w:rFonts w:ascii="Times New Roman" w:cs="Times New Roman" w:eastAsia="Times New Roman" w:hAnsi="Times New Roman"/>
          <w:sz w:val="22"/>
          <w:szCs w:val="22"/>
          <w:color w:val="auto"/>
        </w:rPr>
        <w:t>The Administrative Agent, each Lender and their Affiliates (collectively, solely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for purposes of this paragraph, the </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may have economic interests that conflict with those of the Obligors, their stockholders or equity holders and/or their Affiliates (collectively, solely for purposes of this paragraph, the </w:t>
      </w:r>
      <w:r>
        <w:rPr>
          <w:rFonts w:ascii="Times New Roman" w:cs="Times New Roman" w:eastAsia="Times New Roman" w:hAnsi="Times New Roman"/>
          <w:sz w:val="22"/>
          <w:szCs w:val="22"/>
          <w:i w:val="1"/>
          <w:iCs w:val="1"/>
          <w:color w:val="auto"/>
        </w:rPr>
        <w:t>“Obligors”</w:t>
      </w:r>
      <w:r>
        <w:rPr>
          <w:rFonts w:ascii="Times New Roman" w:cs="Times New Roman" w:eastAsia="Times New Roman" w:hAnsi="Times New Roman"/>
          <w:sz w:val="22"/>
          <w:szCs w:val="22"/>
          <w:color w:val="auto"/>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395" w:right="339" w:bottom="1440" w:gutter="0" w:footer="0" w:header="0"/>
        </w:sectPr>
      </w:pPr>
    </w:p>
    <w:bookmarkStart w:id="232" w:name="page233"/>
    <w:bookmarkEnd w:id="232"/>
    <w:p>
      <w:pPr>
        <w:jc w:val="both"/>
        <w:ind w:firstLine="648"/>
        <w:spacing w:after="0" w:line="216" w:lineRule="auto"/>
        <w:rPr>
          <w:sz w:val="20"/>
          <w:szCs w:val="20"/>
          <w:color w:val="auto"/>
        </w:rPr>
      </w:pPr>
      <w:r>
        <w:rPr>
          <w:rFonts w:ascii="Times New Roman" w:cs="Times New Roman" w:eastAsia="Times New Roman" w:hAnsi="Times New Roman"/>
          <w:sz w:val="22"/>
          <w:szCs w:val="22"/>
          <w:i w:val="1"/>
          <w:iCs w:val="1"/>
          <w:color w:val="auto"/>
        </w:rPr>
        <w:t>Section 13.16. USA Patriot Act</w:t>
      </w:r>
      <w:r>
        <w:rPr>
          <w:rFonts w:ascii="Times New Roman" w:cs="Times New Roman" w:eastAsia="Times New Roman" w:hAnsi="Times New Roman"/>
          <w:sz w:val="22"/>
          <w:szCs w:val="22"/>
          <w:color w:val="auto"/>
        </w:rPr>
        <w:t>. The Administrative Agent and the Lenders hereby notify the Obligors that pursuant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requirements of the USA PATRIOT Act (Title III of Pub. L. 107-56 (signed into law October 26, 2001)) (the </w:t>
      </w:r>
      <w:r>
        <w:rPr>
          <w:rFonts w:ascii="Times New Roman" w:cs="Times New Roman" w:eastAsia="Times New Roman" w:hAnsi="Times New Roman"/>
          <w:sz w:val="22"/>
          <w:szCs w:val="22"/>
          <w:i w:val="1"/>
          <w:iCs w:val="1"/>
          <w:color w:val="auto"/>
        </w:rPr>
        <w:t>“Act”</w:t>
      </w:r>
      <w:r>
        <w:rPr>
          <w:rFonts w:ascii="Times New Roman" w:cs="Times New Roman" w:eastAsia="Times New Roman" w:hAnsi="Times New Roman"/>
          <w:sz w:val="22"/>
          <w:szCs w:val="22"/>
          <w:color w:val="auto"/>
        </w:rPr>
        <w:t>) and 31 C.F.R. § 1010.230 (the “</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w:t>
      </w:r>
    </w:p>
    <w:p>
      <w:pPr>
        <w:spacing w:after="0" w:line="14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i w:val="1"/>
          <w:iCs w:val="1"/>
          <w:color w:val="auto"/>
        </w:rPr>
        <w:t xml:space="preserve">Section 13.17. Treatment of Certain Information; Confidentiality. </w:t>
      </w:r>
      <w:r>
        <w:rPr>
          <w:rFonts w:ascii="Times New Roman" w:cs="Times New Roman" w:eastAsia="Times New Roman" w:hAnsi="Times New Roman"/>
          <w:sz w:val="21"/>
          <w:szCs w:val="21"/>
          <w:color w:val="auto"/>
        </w:rPr>
        <w:t>The Lenders agree to maintain the confidentiality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Information (as defined below), except that Information may be disclosed to (a) its Affiliates and to its and its Affiliates’ respective partners, directors, officers, employees, agents, trustees, advisors and representatives (collectively, </w:t>
      </w:r>
      <w:r>
        <w:rPr>
          <w:rFonts w:ascii="Times New Roman" w:cs="Times New Roman" w:eastAsia="Times New Roman" w:hAnsi="Times New Roman"/>
          <w:sz w:val="21"/>
          <w:szCs w:val="21"/>
          <w:i w:val="1"/>
          <w:iCs w:val="1"/>
          <w:color w:val="auto"/>
        </w:rPr>
        <w:t>“Representatives”</w:t>
      </w:r>
      <w:r>
        <w:rPr>
          <w:rFonts w:ascii="Times New Roman" w:cs="Times New Roman" w:eastAsia="Times New Roman" w:hAnsi="Times New Roman"/>
          <w:sz w:val="21"/>
          <w:szCs w:val="21"/>
          <w:color w:val="auto"/>
        </w:rPr>
        <w:t>)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FINRA or the National Association of Insurance Commissioners) or any exchange, (c) to the extent required by the 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w:t>
      </w:r>
    </w:p>
    <w:p>
      <w:pPr>
        <w:spacing w:after="0" w:line="5" w:lineRule="exact"/>
        <w:rPr>
          <w:sz w:val="20"/>
          <w:szCs w:val="20"/>
          <w:color w:val="auto"/>
        </w:rPr>
      </w:pPr>
    </w:p>
    <w:p>
      <w:pPr>
        <w:jc w:val="both"/>
        <w:ind w:firstLine="8"/>
        <w:spacing w:after="0" w:line="204" w:lineRule="auto"/>
        <w:tabs>
          <w:tab w:leader="none" w:pos="27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assignee of or Participant in, or any prospective assignee of or Participant in, any of its rights or obligations under this Agreement or (ii) any actual or prospective counterparty (or its advisors) to any swap or derivative transaction relating to the Borrower or any Guarantor and its obligation, (g) with the consent of the Borrower or (h) to the extent such Information</w:t>
      </w:r>
    </w:p>
    <w:p>
      <w:pPr>
        <w:spacing w:after="0" w:line="2" w:lineRule="exact"/>
        <w:rPr>
          <w:rFonts w:ascii="Times New Roman" w:cs="Times New Roman" w:eastAsia="Times New Roman" w:hAnsi="Times New Roman"/>
          <w:sz w:val="22"/>
          <w:szCs w:val="22"/>
          <w:color w:val="auto"/>
        </w:rPr>
      </w:pPr>
    </w:p>
    <w:p>
      <w:pPr>
        <w:jc w:val="both"/>
        <w:ind w:firstLine="8"/>
        <w:spacing w:after="0" w:line="208" w:lineRule="auto"/>
        <w:tabs>
          <w:tab w:leader="none" w:pos="26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publicly available other than as a result of a breach of this Section 13.17 or (ii) becomes available to the Lender, or any of its respective Representatives on a nonconfidential basis from a source other than the Borrower or any other Obligor. For purposes of this Section 13.17,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xml:space="preserve"> 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 the case of any Lender that has elected to receive material non-public information pursuant to Section 8.02, such Lender acknowledges that (a) the Information may include material non-public information concerning an Obligor or its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391"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22"/>
          <w:szCs w:val="22"/>
          <w:i w:val="1"/>
          <w:iCs w:val="1"/>
          <w:color w:val="auto"/>
        </w:rPr>
        <w:t>Section 13.18. Releases of Guarantees and Liens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660" w:firstLine="644"/>
        <w:spacing w:after="0" w:line="213" w:lineRule="auto"/>
        <w:tabs>
          <w:tab w:leader="none" w:pos="1953"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the Borrower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5" w:lineRule="auto"/>
        <w:tabs>
          <w:tab w:leader="none" w:pos="195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such time as the Term Loans and the other Obligations (other than the Warrant Obligations and unasserted contingent liabilities)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i w:val="1"/>
          <w:iCs w:val="1"/>
          <w:color w:val="auto"/>
        </w:rPr>
        <w:t>Section 13.19. Acknowledgement and Consent to Bail-In of Affected Financial Institutions</w:t>
      </w:r>
      <w:r>
        <w:rPr>
          <w:rFonts w:ascii="Times New Roman" w:cs="Times New Roman" w:eastAsia="Times New Roman" w:hAnsi="Times New Roman"/>
          <w:sz w:val="22"/>
          <w:szCs w:val="22"/>
          <w:color w:val="auto"/>
        </w:rPr>
        <w:t>. Notwithstanding anything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1" w:lineRule="exact"/>
        <w:rPr>
          <w:sz w:val="20"/>
          <w:szCs w:val="20"/>
          <w:color w:val="auto"/>
        </w:rPr>
      </w:pPr>
    </w:p>
    <w:p>
      <w:pPr>
        <w:jc w:val="both"/>
        <w:ind w:left="660" w:firstLine="644"/>
        <w:spacing w:after="0" w:line="225" w:lineRule="auto"/>
        <w:tabs>
          <w:tab w:leader="none" w:pos="195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the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391" w:right="339" w:bottom="1440" w:gutter="0" w:footer="0" w:header="0"/>
        </w:sectPr>
      </w:pPr>
    </w:p>
    <w:bookmarkStart w:id="234" w:name="page235"/>
    <w:bookmarkEnd w:id="23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as of the day and year first above written.</w:t>
      </w:r>
    </w:p>
    <w:p>
      <w:pPr>
        <w:spacing w:after="0" w:line="37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Borrower:</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Exagen Inc.</w:t>
      </w:r>
    </w:p>
    <w:p>
      <w:pPr>
        <w:spacing w:after="0" w:line="200" w:lineRule="exact"/>
        <w:rPr>
          <w:sz w:val="20"/>
          <w:szCs w:val="20"/>
          <w:color w:val="auto"/>
        </w:rPr>
      </w:pPr>
    </w:p>
    <w:p>
      <w:pPr>
        <w:spacing w:after="0" w:line="236" w:lineRule="exact"/>
        <w:rPr>
          <w:sz w:val="20"/>
          <w:szCs w:val="20"/>
          <w:color w:val="auto"/>
        </w:rPr>
      </w:pPr>
    </w:p>
    <w:p>
      <w:pPr>
        <w:ind w:left="4540"/>
        <w:spacing w:after="0"/>
        <w:tabs>
          <w:tab w:leader="none" w:pos="50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-13970</wp:posOffset>
            </wp:positionV>
            <wp:extent cx="10337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Jeffrey Black</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Credit Agreement and Guaranty</w:t>
      </w:r>
      <w:r>
        <w:rPr>
          <w:rFonts w:ascii="Times New Roman" w:cs="Times New Roman" w:eastAsia="Times New Roman" w:hAnsi="Times New Roman"/>
          <w:sz w:val="22"/>
          <w:szCs w:val="22"/>
          <w:color w:val="auto"/>
        </w:rPr>
        <w:t>]</w:t>
      </w:r>
    </w:p>
    <w:p>
      <w:pPr>
        <w:sectPr>
          <w:pgSz w:w="11900" w:h="16838" w:orient="portrait"/>
          <w:cols w:equalWidth="0" w:num="1">
            <w:col w:w="11220"/>
          </w:cols>
          <w:pgMar w:left="320" w:top="1422" w:right="3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Perceptive Credit Holdings IV, 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 and a Lender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Perceptive Credit Opportunities GP, LLC, its general partner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Sandeep Dixit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0820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Sandeep Dixit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Credit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Sam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9982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Sam Chawla</w:t>
      </w:r>
    </w:p>
    <w:p>
      <w:pPr>
        <w:spacing w:after="0"/>
        <w:rPr>
          <w:sz w:val="20"/>
          <w:szCs w:val="20"/>
          <w:color w:val="auto"/>
        </w:rPr>
      </w:pPr>
      <w:r>
        <w:rPr>
          <w:rFonts w:ascii="Times New Roman" w:cs="Times New Roman" w:eastAsia="Times New Roman" w:hAnsi="Times New Roman"/>
          <w:sz w:val="22"/>
          <w:szCs w:val="22"/>
          <w:color w:val="auto"/>
        </w:rPr>
        <w:t>Title: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Credit Agreement and Guaranty</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08" w:right="1440"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Commitments and Maximum Amount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418" w:right="1440"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0"/>
          <w:szCs w:val="20"/>
          <w:b w:val="1"/>
          <w:bCs w:val="1"/>
          <w:color w:val="auto"/>
        </w:rPr>
        <w:t>ANNEX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Schedule 1 to Credit Agreement</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09" w:right="1440" w:bottom="1440" w:gutter="0" w:footer="0" w:header="0"/>
        </w:sectPr>
      </w:pPr>
    </w:p>
    <w:bookmarkStart w:id="238" w:name="page239"/>
    <w:bookmarkEnd w:id="23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333-275632 and 333-288199) and Form S-8 (Nos. 333-233878, 333-256014, 333-264867, 333-272038, 333-279356 and 333-287438) of Exagen Inc. of our report dated March 10, 2026, relating to the financial statements which appear in this Annual Report on Form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2026</w:t>
      </w:r>
    </w:p>
    <w:p>
      <w:pPr>
        <w:sectPr>
          <w:pgSz w:w="11900" w:h="16838" w:orient="portrait"/>
          <w:cols w:equalWidth="0" w:num="1">
            <w:col w:w="11240"/>
          </w:cols>
          <w:pgMar w:left="320" w:top="1440"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John Aballi, certify that:</w:t>
      </w:r>
    </w:p>
    <w:p>
      <w:pPr>
        <w:spacing w:after="0" w:line="306" w:lineRule="exact"/>
        <w:rPr>
          <w:sz w:val="20"/>
          <w:szCs w:val="20"/>
          <w:color w:val="auto"/>
        </w:rPr>
      </w:pPr>
    </w:p>
    <w:p>
      <w:pPr>
        <w:ind w:left="400" w:hanging="392"/>
        <w:spacing w:after="0"/>
        <w:tabs>
          <w:tab w:leader="none" w:pos="4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240" w:name="page241"/>
    <w:bookmarkEnd w:id="240"/>
    <w:p>
      <w:pPr>
        <w:ind w:left="-20" w:firstLine="332"/>
        <w:spacing w:after="0" w:line="396" w:lineRule="auto"/>
        <w:tabs>
          <w:tab w:leader="none" w:pos="76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10, 2026</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Aballi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John Aballi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Jeffrey G. Black, certify that:</w:t>
      </w:r>
    </w:p>
    <w:p>
      <w:pPr>
        <w:spacing w:after="0" w:line="306" w:lineRule="exact"/>
        <w:rPr>
          <w:sz w:val="20"/>
          <w:szCs w:val="20"/>
          <w:color w:val="auto"/>
        </w:rPr>
      </w:pPr>
    </w:p>
    <w:p>
      <w:pPr>
        <w:ind w:left="420" w:hanging="412"/>
        <w:spacing w:after="0"/>
        <w:tabs>
          <w:tab w:leader="none" w:pos="4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9" w:lineRule="exact"/>
        <w:rPr>
          <w:rFonts w:ascii="Arial" w:cs="Arial" w:eastAsia="Arial" w:hAnsi="Arial"/>
          <w:sz w:val="18"/>
          <w:szCs w:val="18"/>
          <w:color w:val="auto"/>
        </w:rPr>
      </w:pPr>
    </w:p>
    <w:p>
      <w:pPr>
        <w:ind w:right="460" w:firstLine="8"/>
        <w:spacing w:after="0" w:line="362" w:lineRule="auto"/>
        <w:tabs>
          <w:tab w:leader="none" w:pos="3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242" w:name="page243"/>
    <w:bookmarkEnd w:id="242"/>
    <w:p>
      <w:pPr>
        <w:ind w:left="-20" w:firstLine="332"/>
        <w:spacing w:after="0" w:line="396" w:lineRule="auto"/>
        <w:tabs>
          <w:tab w:leader="none" w:pos="76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March 10, 2026</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G. Black</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Jeffrey G. Black</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jc w:val="both"/>
        <w:ind w:left="660" w:right="240" w:hanging="4"/>
        <w:spacing w:after="0" w:line="362" w:lineRule="auto"/>
        <w:tabs>
          <w:tab w:leader="none" w:pos="113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2025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2026</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John Aballi</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66" w:lineRule="exact"/>
        <w:rPr>
          <w:sz w:val="20"/>
          <w:szCs w:val="20"/>
          <w:color w:val="auto"/>
        </w:rPr>
      </w:pPr>
    </w:p>
    <w:p>
      <w:pPr>
        <w:jc w:val="both"/>
        <w:ind w:left="660" w:right="240" w:hanging="4"/>
        <w:spacing w:after="0" w:line="362" w:lineRule="auto"/>
        <w:tabs>
          <w:tab w:leader="none" w:pos="113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December 31, 2025 (the "Report") fully complies with the requirements of Section 13(a) or 15(d), as applicable, of the Securities Exchange Act of 1934, as amended; and</w:t>
      </w:r>
    </w:p>
    <w:p>
      <w:pPr>
        <w:spacing w:after="0" w:line="116" w:lineRule="exact"/>
        <w:rPr>
          <w:rFonts w:ascii="Arial" w:cs="Arial" w:eastAsia="Arial" w:hAnsi="Arial"/>
          <w:sz w:val="18"/>
          <w:szCs w:val="18"/>
          <w:color w:val="auto"/>
        </w:rPr>
      </w:pPr>
    </w:p>
    <w:p>
      <w:pPr>
        <w:ind w:left="660" w:right="40" w:hanging="4"/>
        <w:spacing w:after="0" w:line="396" w:lineRule="auto"/>
        <w:tabs>
          <w:tab w:leader="none" w:pos="113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2026</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Jeffrey G. Black</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emdash "/>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1."/>
      <w:numFmt w:val="lowerLetter"/>
      <w:start w:val="1"/>
    </w:lvl>
  </w:abstractNum>
  <w:abstractNum w:abstractNumId="31">
    <w:nsid w:val="5C10FE21"/>
    <w:multiLevelType w:val="hybridMultilevel"/>
    <w:lvl w:ilvl="0">
      <w:lvlJc w:val="left"/>
      <w:lvlText w:val="%1."/>
      <w:numFmt w:val="lowerLetter"/>
      <w:start w:val="4"/>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1)"/>
      <w:numFmt w:val="decimal"/>
      <w:start w:val="1"/>
    </w:lvl>
  </w:abstractNum>
  <w:abstractNum w:abstractNumId="44">
    <w:nsid w:val="1DF029D3"/>
    <w:multiLevelType w:val="hybridMultilevel"/>
    <w:lvl w:ilvl="0">
      <w:lvlJc w:val="left"/>
      <w:lvlText w:val="%1."/>
      <w:numFmt w:val="decimal"/>
      <w:start w:val="606"/>
    </w:lvl>
  </w:abstractNum>
  <w:abstractNum w:abstractNumId="45">
    <w:nsid w:val="5675FF36"/>
    <w:multiLevelType w:val="hybridMultilevel"/>
    <w:lvl w:ilvl="0">
      <w:lvlJc w:val="left"/>
      <w:lvlText w:val="%1."/>
      <w:numFmt w:val="decimal"/>
      <w:start w:val="6"/>
    </w:lvl>
  </w:abstractNum>
  <w:abstractNum w:abstractNumId="46">
    <w:nsid w:val="3DD15094"/>
    <w:multiLevelType w:val="hybridMultilevel"/>
    <w:lvl w:ilvl="0">
      <w:lvlJc w:val="left"/>
      <w:lvlText w:val="1"/>
      <w:numFmt w:val="bullet"/>
      <w:start w:val="1"/>
    </w:lvl>
  </w:abstractNum>
  <w:abstractNum w:abstractNumId="47">
    <w:nsid w:val="3DB012B3"/>
    <w:multiLevelType w:val="hybridMultilevel"/>
    <w:lvl w:ilvl="0">
      <w:lvlJc w:val="left"/>
      <w:lvlText w:val="%1."/>
      <w:numFmt w:val="upperLetter"/>
      <w:start w:val="1"/>
    </w:lvl>
  </w:abstractNum>
  <w:abstractNum w:abstractNumId="48">
    <w:nsid w:val="2708C9AF"/>
    <w:multiLevelType w:val="hybridMultilevel"/>
    <w:lvl w:ilvl="0">
      <w:lvlJc w:val="left"/>
      <w:lvlText w:val="%1."/>
      <w:numFmt w:val="decimal"/>
      <w:start w:val="1"/>
    </w:lvl>
  </w:abstractNum>
  <w:abstractNum w:abstractNumId="49">
    <w:nsid w:val="5B25ACE2"/>
    <w:multiLevelType w:val="hybridMultilevel"/>
    <w:lvl w:ilvl="0">
      <w:lvlJc w:val="left"/>
      <w:lvlText w:val="%1"/>
      <w:numFmt w:val="decimal"/>
      <w:start w:val="1"/>
    </w:lvl>
    <w:lvl w:ilvl="1">
      <w:lvlJc w:val="left"/>
      <w:lvlText w:val="(%2)"/>
      <w:numFmt w:val="upperLetter"/>
      <w:start w:val="1"/>
    </w:lvl>
  </w:abstractNum>
  <w:abstractNum w:abstractNumId="50">
    <w:nsid w:val="175DFCF0"/>
    <w:multiLevelType w:val="hybridMultilevel"/>
    <w:lvl w:ilvl="0">
      <w:lvlJc w:val="left"/>
      <w:lvlText w:val="%1."/>
      <w:numFmt w:val="decimal"/>
      <w:start w:val="5"/>
    </w:lvl>
    <w:lvl w:ilvl="1">
      <w:lvlJc w:val="left"/>
      <w:lvlText w:val="(%2)"/>
      <w:numFmt w:val="upperLetter"/>
      <w:start w:val="1"/>
    </w:lvl>
  </w:abstractNum>
  <w:abstractNum w:abstractNumId="51">
    <w:nsid w:val="4F97E3E4"/>
    <w:multiLevelType w:val="hybridMultilevel"/>
    <w:lvl w:ilvl="0">
      <w:lvlJc w:val="left"/>
      <w:lvlText w:val="%1."/>
      <w:numFmt w:val="decimal"/>
      <w:start w:val="8"/>
    </w:lvl>
  </w:abstractNum>
  <w:abstractNum w:abstractNumId="52">
    <w:nsid w:val="53B0A9E"/>
    <w:multiLevelType w:val="hybridMultilevel"/>
    <w:lvl w:ilvl="0">
      <w:lvlJc w:val="left"/>
      <w:lvlText w:val="1"/>
      <w:numFmt w:val="bullet"/>
      <w:start w:val="1"/>
    </w:lvl>
  </w:abstractNum>
  <w:abstractNum w:abstractNumId="53">
    <w:nsid w:val="34FD6B4F"/>
    <w:multiLevelType w:val="hybridMultilevel"/>
    <w:lvl w:ilvl="0">
      <w:lvlJc w:val="left"/>
      <w:lvlText w:val="(%1)"/>
      <w:numFmt w:val="lowerLetter"/>
      <w:start w:val="1"/>
    </w:lvl>
  </w:abstractNum>
  <w:abstractNum w:abstractNumId="54">
    <w:nsid w:val="5915FF32"/>
    <w:multiLevelType w:val="hybridMultilevel"/>
    <w:lvl w:ilvl="0">
      <w:lvlJc w:val="left"/>
      <w:lvlText w:val="(%1)"/>
      <w:numFmt w:val="lowerLetter"/>
      <w:start w:val="1"/>
    </w:lvl>
  </w:abstractNum>
  <w:abstractNum w:abstractNumId="55">
    <w:nsid w:val="56438D15"/>
    <w:multiLevelType w:val="hybridMultilevel"/>
    <w:lvl w:ilvl="0">
      <w:lvlJc w:val="left"/>
      <w:lvlText w:val="(%1)"/>
      <w:numFmt w:val="lowerLetter"/>
      <w:start w:val="1"/>
    </w:lvl>
  </w:abstractNum>
  <w:abstractNum w:abstractNumId="56">
    <w:nsid w:val="519E3149"/>
    <w:multiLevelType w:val="hybridMultilevel"/>
    <w:lvl w:ilvl="0">
      <w:lvlJc w:val="left"/>
      <w:lvlText w:val="(%1)"/>
      <w:numFmt w:val="lowerLetter"/>
      <w:start w:val="1"/>
    </w:lvl>
  </w:abstractNum>
  <w:abstractNum w:abstractNumId="57">
    <w:nsid w:val="2C6E4AFD"/>
    <w:multiLevelType w:val="hybridMultilevel"/>
    <w:lvl w:ilvl="0">
      <w:lvlJc w:val="left"/>
      <w:lvlText w:val="(%1)"/>
      <w:numFmt w:val="lowerLetter"/>
      <w:start w:val="3"/>
    </w:lvl>
  </w:abstractNum>
  <w:abstractNum w:abstractNumId="58">
    <w:nsid w:val="17A1B582"/>
    <w:multiLevelType w:val="hybridMultilevel"/>
    <w:lvl w:ilvl="0">
      <w:lvlJc w:val="left"/>
      <w:lvlText w:val="(%1)"/>
      <w:numFmt w:val="decimal"/>
      <w:start w:val="3"/>
    </w:lvl>
  </w:abstractNum>
  <w:abstractNum w:abstractNumId="59">
    <w:nsid w:val="4DF72E4E"/>
    <w:multiLevelType w:val="hybridMultilevel"/>
    <w:lvl w:ilvl="0">
      <w:lvlJc w:val="left"/>
      <w:lvlText w:val="(%1)"/>
      <w:numFmt w:val="lowerLetter"/>
      <w:start w:val="1"/>
    </w:lvl>
  </w:abstractNum>
  <w:abstractNum w:abstractNumId="60">
    <w:nsid w:val="5046B5A9"/>
    <w:multiLevelType w:val="hybridMultilevel"/>
    <w:lvl w:ilvl="0">
      <w:lvlJc w:val="left"/>
      <w:lvlText w:val="(%1)"/>
      <w:numFmt w:val="lowerLetter"/>
      <w:start w:val="3"/>
    </w:lvl>
  </w:abstractNum>
  <w:abstractNum w:abstractNumId="61">
    <w:nsid w:val="5D888A08"/>
    <w:multiLevelType w:val="hybridMultilevel"/>
    <w:lvl w:ilvl="0">
      <w:lvlJc w:val="left"/>
      <w:lvlText w:val="(%1)"/>
      <w:numFmt w:val="lowerRoman"/>
      <w:start w:val="2"/>
    </w:lvl>
  </w:abstractNum>
  <w:abstractNum w:abstractNumId="62">
    <w:nsid w:val="2A082C70"/>
    <w:multiLevelType w:val="hybridMultilevel"/>
    <w:lvl w:ilvl="0">
      <w:lvlJc w:val="left"/>
      <w:lvlText w:val="(%1)"/>
      <w:numFmt w:val="lowerLetter"/>
      <w:start w:val="1"/>
    </w:lvl>
  </w:abstractNum>
  <w:abstractNum w:abstractNumId="63">
    <w:nsid w:val="5EC6AFD4"/>
    <w:multiLevelType w:val="hybridMultilevel"/>
    <w:lvl w:ilvl="0">
      <w:lvlJc w:val="left"/>
      <w:lvlText w:val="(%1)"/>
      <w:numFmt w:val="lowerLetter"/>
      <w:start w:val="13"/>
    </w:lvl>
  </w:abstractNum>
  <w:abstractNum w:abstractNumId="64">
    <w:nsid w:val="19E21BB2"/>
    <w:multiLevelType w:val="hybridMultilevel"/>
    <w:lvl w:ilvl="0">
      <w:lvlJc w:val="left"/>
      <w:lvlText w:val="(%1)"/>
      <w:numFmt w:val="lowerLetter"/>
      <w:start w:val="2"/>
    </w:lvl>
  </w:abstractNum>
  <w:abstractNum w:abstractNumId="65">
    <w:nsid w:val="75E0858A"/>
    <w:multiLevelType w:val="hybridMultilevel"/>
    <w:lvl w:ilvl="0">
      <w:lvlJc w:val="left"/>
      <w:lvlText w:val="(%1)"/>
      <w:numFmt w:val="lowerLetter"/>
      <w:start w:val="1"/>
    </w:lvl>
  </w:abstractNum>
  <w:abstractNum w:abstractNumId="66">
    <w:nsid w:val="57A61A29"/>
    <w:multiLevelType w:val="hybridMultilevel"/>
    <w:lvl w:ilvl="0">
      <w:lvlJc w:val="left"/>
      <w:lvlText w:val="(%1)"/>
      <w:numFmt w:val="lowerRoman"/>
      <w:start w:val="2"/>
    </w:lvl>
  </w:abstractNum>
  <w:abstractNum w:abstractNumId="67">
    <w:nsid w:val="5399C654"/>
    <w:multiLevelType w:val="hybridMultilevel"/>
    <w:lvl w:ilvl="0">
      <w:lvlJc w:val="left"/>
      <w:lvlText w:val="(%1)"/>
      <w:numFmt w:val="lowerLetter"/>
      <w:start w:val="2"/>
    </w:lvl>
  </w:abstractNum>
  <w:abstractNum w:abstractNumId="68">
    <w:nsid w:val="20EE1348"/>
    <w:multiLevelType w:val="hybridMultilevel"/>
    <w:lvl w:ilvl="0">
      <w:lvlJc w:val="left"/>
      <w:lvlText w:val="(%1)"/>
      <w:numFmt w:val="lowerLetter"/>
      <w:start w:val="1"/>
    </w:lvl>
  </w:abstractNum>
  <w:abstractNum w:abstractNumId="69">
    <w:nsid w:val="4427069A"/>
    <w:multiLevelType w:val="hybridMultilevel"/>
    <w:lvl w:ilvl="0">
      <w:lvlJc w:val="left"/>
      <w:lvlText w:val="(%1)"/>
      <w:numFmt w:val="lowerRoman"/>
      <w:start w:val="1"/>
    </w:lvl>
  </w:abstractNum>
  <w:abstractNum w:abstractNumId="70">
    <w:nsid w:val="B37E80A"/>
    <w:multiLevelType w:val="hybridMultilevel"/>
    <w:lvl w:ilvl="0">
      <w:lvlJc w:val="left"/>
      <w:lvlText w:val="(%1)"/>
      <w:numFmt w:val="lowerRoman"/>
      <w:start w:val="6"/>
    </w:lvl>
  </w:abstractNum>
  <w:abstractNum w:abstractNumId="71">
    <w:nsid w:val="2157F6BC"/>
    <w:multiLevelType w:val="hybridMultilevel"/>
    <w:lvl w:ilvl="0">
      <w:lvlJc w:val="left"/>
      <w:lvlText w:val="(%1)"/>
      <w:numFmt w:val="lowerRoman"/>
      <w:start w:val="7"/>
    </w:lvl>
  </w:abstractNum>
  <w:abstractNum w:abstractNumId="72">
    <w:nsid w:val="704E1DD5"/>
    <w:multiLevelType w:val="hybridMultilevel"/>
    <w:lvl w:ilvl="0">
      <w:lvlJc w:val="left"/>
      <w:lvlText w:val="(%1)"/>
      <w:numFmt w:val="lowerLetter"/>
      <w:start w:val="1"/>
    </w:lvl>
  </w:abstractNum>
  <w:abstractNum w:abstractNumId="73">
    <w:nsid w:val="57D2F10E"/>
    <w:multiLevelType w:val="hybridMultilevel"/>
    <w:lvl w:ilvl="0">
      <w:lvlJc w:val="left"/>
      <w:lvlText w:val="(%1)"/>
      <w:numFmt w:val="lowerLetter"/>
      <w:start w:val="2"/>
    </w:lvl>
  </w:abstractNum>
  <w:abstractNum w:abstractNumId="74">
    <w:nsid w:val="BFFAE18"/>
    <w:multiLevelType w:val="hybridMultilevel"/>
    <w:lvl w:ilvl="0">
      <w:lvlJc w:val="left"/>
      <w:lvlText w:val="(%1)"/>
      <w:numFmt w:val="lowerLetter"/>
      <w:start w:val="1"/>
    </w:lvl>
    <w:lvl w:ilvl="1">
      <w:lvlJc w:val="left"/>
      <w:lvlText w:val="(%2)"/>
      <w:numFmt w:val="lowerRoman"/>
      <w:start w:val="1"/>
    </w:lvl>
  </w:abstractNum>
  <w:abstractNum w:abstractNumId="75">
    <w:nsid w:val="E3E47A8"/>
    <w:multiLevelType w:val="hybridMultilevel"/>
    <w:lvl w:ilvl="0">
      <w:lvlJc w:val="left"/>
      <w:lvlText w:val="(%1)"/>
      <w:numFmt w:val="lowerLetter"/>
      <w:start w:val="2"/>
    </w:lvl>
    <w:lvl w:ilvl="1">
      <w:lvlJc w:val="left"/>
      <w:lvlText w:val="(%2)"/>
      <w:numFmt w:val="lowerRoman"/>
      <w:start w:val="1"/>
    </w:lvl>
  </w:abstractNum>
  <w:abstractNum w:abstractNumId="76">
    <w:nsid w:val="2E48F044"/>
    <w:multiLevelType w:val="hybridMultilevel"/>
    <w:lvl w:ilvl="0">
      <w:lvlJc w:val="left"/>
      <w:lvlText w:val="(%1)"/>
      <w:numFmt w:val="lowerLetter"/>
      <w:start w:val="5"/>
    </w:lvl>
  </w:abstractNum>
  <w:abstractNum w:abstractNumId="77">
    <w:nsid w:val="49D0FEAC"/>
    <w:multiLevelType w:val="hybridMultilevel"/>
    <w:lvl w:ilvl="0">
      <w:lvlJc w:val="left"/>
      <w:lvlText w:val="(%1)"/>
      <w:numFmt w:val="lowerLetter"/>
      <w:start w:val="1"/>
    </w:lvl>
  </w:abstractNum>
  <w:abstractNum w:abstractNumId="78">
    <w:nsid w:val="4BEE5A5B"/>
    <w:multiLevelType w:val="hybridMultilevel"/>
    <w:lvl w:ilvl="0">
      <w:lvlJc w:val="left"/>
      <w:lvlText w:val="(%1)"/>
      <w:numFmt w:val="lowerLetter"/>
      <w:start w:val="3"/>
    </w:lvl>
    <w:lvl w:ilvl="1">
      <w:lvlJc w:val="left"/>
      <w:lvlText w:val="(%2)"/>
      <w:numFmt w:val="lowerRoman"/>
      <w:start w:val="1"/>
    </w:lvl>
  </w:abstractNum>
  <w:abstractNum w:abstractNumId="79">
    <w:nsid w:val="5551B9F3"/>
    <w:multiLevelType w:val="hybridMultilevel"/>
    <w:lvl w:ilvl="0">
      <w:lvlJc w:val="left"/>
      <w:lvlText w:val="(%1)"/>
      <w:numFmt w:val="lowerLetter"/>
      <w:start w:val="4"/>
    </w:lvl>
  </w:abstractNum>
  <w:abstractNum w:abstractNumId="80">
    <w:nsid w:val="24F6AB8E"/>
    <w:multiLevelType w:val="hybridMultilevel"/>
    <w:lvl w:ilvl="0">
      <w:lvlJc w:val="left"/>
      <w:lvlText w:val="(%1)"/>
      <w:numFmt w:val="lowerLetter"/>
      <w:start w:val="1"/>
    </w:lvl>
    <w:lvl w:ilvl="1">
      <w:lvlJc w:val="left"/>
      <w:lvlText w:val="(%2)"/>
      <w:numFmt w:val="lowerLetter"/>
      <w:start w:val="9"/>
    </w:lvl>
  </w:abstractNum>
  <w:abstractNum w:abstractNumId="81">
    <w:nsid w:val="634C574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2">
    <w:nsid w:val="24E99DD7"/>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3">
    <w:nsid w:val="2A31B62D"/>
    <w:multiLevelType w:val="hybridMultilevel"/>
    <w:lvl w:ilvl="0">
      <w:lvlJc w:val="left"/>
      <w:lvlText w:val="(%1)"/>
      <w:numFmt w:val="lowerRoman"/>
      <w:start w:val="2"/>
    </w:lvl>
  </w:abstractNum>
  <w:abstractNum w:abstractNumId="84">
    <w:nsid w:val="1849C29B"/>
    <w:multiLevelType w:val="hybridMultilevel"/>
    <w:lvl w:ilvl="0">
      <w:lvlJc w:val="left"/>
      <w:lvlText w:val="%1"/>
      <w:numFmt w:val="lowerRoman"/>
      <w:start w:val="1"/>
    </w:lvl>
    <w:lvl w:ilvl="1">
      <w:lvlJc w:val="left"/>
      <w:lvlText w:val="(%2)"/>
      <w:numFmt w:val="lowerRoman"/>
      <w:start w:val="3"/>
    </w:lvl>
  </w:abstractNum>
  <w:abstractNum w:abstractNumId="85">
    <w:nsid w:val="7DFF9D09"/>
    <w:multiLevelType w:val="hybridMultilevel"/>
    <w:lvl w:ilvl="0">
      <w:lvlJc w:val="left"/>
      <w:lvlText w:val="(%1)"/>
      <w:numFmt w:val="lowerRoman"/>
      <w:start w:val="3"/>
    </w:lvl>
    <w:lvl w:ilvl="1">
      <w:lvlJc w:val="left"/>
      <w:lvlText w:val="%2"/>
      <w:numFmt w:val="lowerRoman"/>
      <w:start w:val="1"/>
    </w:lvl>
  </w:abstractNum>
  <w:abstractNum w:abstractNumId="86">
    <w:nsid w:val="754342"/>
    <w:multiLevelType w:val="hybridMultilevel"/>
    <w:lvl w:ilvl="0">
      <w:lvlJc w:val="left"/>
      <w:lvlText w:val="%1"/>
      <w:numFmt w:val="lowerLetter"/>
      <w:start w:val="1"/>
    </w:lvl>
    <w:lvl w:ilvl="1">
      <w:lvlJc w:val="left"/>
      <w:lvlText w:val="(%2)"/>
      <w:numFmt w:val="lowerLetter"/>
      <w:start w:val="3"/>
    </w:lvl>
  </w:abstractNum>
  <w:abstractNum w:abstractNumId="87">
    <w:nsid w:val="69E7F3E5"/>
    <w:multiLevelType w:val="hybridMultilevel"/>
    <w:lvl w:ilvl="0">
      <w:lvlJc w:val="left"/>
      <w:lvlText w:val="(%1)"/>
      <w:numFmt w:val="lowerLetter"/>
      <w:start w:val="9"/>
    </w:lvl>
    <w:lvl w:ilvl="1">
      <w:lvlJc w:val="left"/>
      <w:lvlText w:val="%2"/>
      <w:numFmt w:val="lowerLetter"/>
      <w:start w:val="1"/>
    </w:lvl>
  </w:abstractNum>
  <w:abstractNum w:abstractNumId="88">
    <w:nsid w:val="2A6DE806"/>
    <w:multiLevelType w:val="hybridMultilevel"/>
    <w:lvl w:ilvl="0">
      <w:lvlJc w:val="left"/>
      <w:lvlText w:val="(%1)"/>
      <w:numFmt w:val="lowerLetter"/>
      <w:start w:val="1"/>
    </w:lvl>
    <w:lvl w:ilvl="1">
      <w:lvlJc w:val="left"/>
      <w:lvlText w:val="(%2)"/>
      <w:numFmt w:val="lowerRoman"/>
      <w:start w:val="1"/>
    </w:lvl>
  </w:abstractNum>
  <w:abstractNum w:abstractNumId="89">
    <w:nsid w:val="1816F8C4"/>
    <w:multiLevelType w:val="hybridMultilevel"/>
    <w:lvl w:ilvl="0">
      <w:lvlJc w:val="left"/>
      <w:lvlText w:val="(%1)"/>
      <w:numFmt w:val="lowerLetter"/>
      <w:start w:val="4"/>
    </w:lvl>
  </w:abstractNum>
  <w:abstractNum w:abstractNumId="90">
    <w:nsid w:val="37DF2233"/>
    <w:multiLevelType w:val="hybridMultilevel"/>
    <w:lvl w:ilvl="0">
      <w:lvlJc w:val="left"/>
      <w:lvlText w:val="(%1)"/>
      <w:numFmt w:val="lowerLetter"/>
      <w:start w:val="1"/>
    </w:lvl>
  </w:abstractNum>
  <w:abstractNum w:abstractNumId="91">
    <w:nsid w:val="7AB49DAF"/>
    <w:multiLevelType w:val="hybridMultilevel"/>
    <w:lvl w:ilvl="0">
      <w:lvlJc w:val="left"/>
      <w:lvlText w:val="(%1)"/>
      <w:numFmt w:val="lowerLetter"/>
      <w:start w:val="1"/>
    </w:lvl>
  </w:abstractNum>
  <w:abstractNum w:abstractNumId="92">
    <w:nsid w:val="759F82CD"/>
    <w:multiLevelType w:val="hybridMultilevel"/>
    <w:lvl w:ilvl="0">
      <w:lvlJc w:val="left"/>
      <w:lvlText w:val="(%1)"/>
      <w:numFmt w:val="lowerLetter"/>
      <w:start w:val="2"/>
    </w:lvl>
  </w:abstractNum>
  <w:abstractNum w:abstractNumId="93">
    <w:nsid w:val="61E74EA3"/>
    <w:multiLevelType w:val="hybridMultilevel"/>
    <w:lvl w:ilvl="0">
      <w:lvlJc w:val="left"/>
      <w:lvlText w:val="(%1)"/>
      <w:numFmt w:val="lowerLetter"/>
      <w:start w:val="2"/>
    </w:lvl>
  </w:abstractNum>
  <w:abstractNum w:abstractNumId="94">
    <w:nsid w:val="597B4D84"/>
    <w:multiLevelType w:val="hybridMultilevel"/>
    <w:lvl w:ilvl="0">
      <w:lvlJc w:val="left"/>
      <w:lvlText w:val="(%1)"/>
      <w:numFmt w:val="lowerLetter"/>
      <w:start w:val="1"/>
    </w:lvl>
  </w:abstractNum>
  <w:abstractNum w:abstractNumId="95">
    <w:nsid w:val="F819E7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6">
    <w:nsid w:val="57C7D42D"/>
    <w:multiLevelType w:val="hybridMultilevel"/>
    <w:lvl w:ilvl="0">
      <w:lvlJc w:val="left"/>
      <w:lvlText w:val="%1"/>
      <w:numFmt w:val="upperLetter"/>
      <w:start w:val="1"/>
    </w:lvl>
    <w:lvl w:ilvl="1">
      <w:lvlJc w:val="left"/>
      <w:lvlText w:val="(%2)"/>
      <w:numFmt w:val="decimal"/>
      <w:start w:val="1"/>
    </w:lvl>
  </w:abstractNum>
  <w:abstractNum w:abstractNumId="97">
    <w:nsid w:val="312167AD"/>
    <w:multiLevelType w:val="hybridMultilevel"/>
    <w:lvl w:ilvl="0">
      <w:lvlJc w:val="left"/>
      <w:lvlText w:val="(%1)"/>
      <w:numFmt w:val="upperLetter"/>
      <w:start w:val="3"/>
    </w:lvl>
    <w:lvl w:ilvl="1">
      <w:lvlJc w:val="left"/>
      <w:lvlText w:val="%2"/>
      <w:numFmt w:val="decimal"/>
      <w:start w:val="1"/>
    </w:lvl>
  </w:abstractNum>
  <w:abstractNum w:abstractNumId="98">
    <w:nsid w:val="631B64D4"/>
    <w:multiLevelType w:val="hybridMultilevel"/>
    <w:lvl w:ilvl="0">
      <w:lvlJc w:val="left"/>
      <w:lvlText w:val="(%1)"/>
      <w:numFmt w:val="upperLetter"/>
      <w:start w:val="4"/>
    </w:lvl>
  </w:abstractNum>
  <w:abstractNum w:abstractNumId="99">
    <w:nsid w:val="78B5E776"/>
    <w:multiLevelType w:val="hybridMultilevel"/>
    <w:lvl w:ilvl="0">
      <w:lvlJc w:val="left"/>
      <w:lvlText w:val="(%1)"/>
      <w:numFmt w:val="lowerLetter"/>
      <w:start w:val="7"/>
    </w:lvl>
  </w:abstractNum>
  <w:abstractNum w:abstractNumId="100">
    <w:nsid w:val="75486E47"/>
    <w:multiLevelType w:val="hybridMultilevel"/>
    <w:lvl w:ilvl="0">
      <w:lvlJc w:val="left"/>
      <w:lvlText w:val="(%1)"/>
      <w:numFmt w:val="lowerRoman"/>
      <w:start w:val="1"/>
    </w:lvl>
  </w:abstractNum>
  <w:abstractNum w:abstractNumId="101">
    <w:nsid w:val="6E534CDE"/>
    <w:multiLevelType w:val="hybridMultilevel"/>
    <w:lvl w:ilvl="0">
      <w:lvlJc w:val="left"/>
      <w:lvlText w:val="(%1)"/>
      <w:numFmt w:val="lowerLetter"/>
      <w:start w:val="1"/>
    </w:lvl>
  </w:abstractNum>
  <w:abstractNum w:abstractNumId="102">
    <w:nsid w:val="1A0DDE32"/>
    <w:multiLevelType w:val="hybridMultilevel"/>
    <w:lvl w:ilvl="0">
      <w:lvlJc w:val="left"/>
      <w:lvlText w:val="(%1)"/>
      <w:numFmt w:val="lowerRoman"/>
      <w:start w:val="1"/>
    </w:lvl>
    <w:lvl w:ilvl="1">
      <w:lvlJc w:val="left"/>
      <w:lvlText w:val="(%2)"/>
      <w:numFmt w:val="upperLetter"/>
      <w:start w:val="1"/>
    </w:lvl>
  </w:abstractNum>
  <w:abstractNum w:abstractNumId="103">
    <w:nsid w:val="65968C1C"/>
    <w:multiLevelType w:val="hybridMultilevel"/>
    <w:lvl w:ilvl="0">
      <w:lvlJc w:val="left"/>
      <w:lvlText w:val="%1"/>
      <w:numFmt w:val="lowerLetter"/>
      <w:start w:val="1"/>
    </w:lvl>
    <w:lvl w:ilvl="1">
      <w:lvlJc w:val="left"/>
      <w:lvlText w:val="(%2)"/>
      <w:numFmt w:val="lowerRoman"/>
      <w:start w:val="8"/>
    </w:lvl>
  </w:abstractNum>
  <w:abstractNum w:abstractNumId="104">
    <w:nsid w:val="46263DEC"/>
    <w:multiLevelType w:val="hybridMultilevel"/>
    <w:lvl w:ilvl="0">
      <w:lvlJc w:val="left"/>
      <w:lvlText w:val="(%1)"/>
      <w:numFmt w:val="lowerLetter"/>
      <w:start w:val="6"/>
    </w:lvl>
    <w:lvl w:ilvl="1">
      <w:lvlJc w:val="left"/>
      <w:lvlText w:val="%2"/>
      <w:numFmt w:val="lowerRoman"/>
      <w:start w:val="1"/>
    </w:lvl>
  </w:abstractNum>
  <w:abstractNum w:abstractNumId="105">
    <w:nsid w:val="260D8C4A"/>
    <w:multiLevelType w:val="hybridMultilevel"/>
    <w:lvl w:ilvl="0">
      <w:lvlJc w:val="left"/>
      <w:lvlText w:val="(%1)"/>
      <w:numFmt w:val="lowerLetter"/>
      <w:start w:val="10"/>
    </w:lvl>
  </w:abstractNum>
  <w:abstractNum w:abstractNumId="106">
    <w:nsid w:val="73D4D3C4"/>
    <w:multiLevelType w:val="hybridMultilevel"/>
    <w:lvl w:ilvl="0">
      <w:lvlJc w:val="left"/>
      <w:lvlText w:val="(%1)"/>
      <w:numFmt w:val="lowerLetter"/>
      <w:start w:val="1"/>
    </w:lvl>
  </w:abstractNum>
  <w:abstractNum w:abstractNumId="107">
    <w:nsid w:val="746F2E30"/>
    <w:multiLevelType w:val="hybridMultilevel"/>
    <w:lvl w:ilvl="0">
      <w:lvlJc w:val="left"/>
      <w:lvlText w:val="(%1)"/>
      <w:numFmt w:val="lowerLetter"/>
      <w:start w:val="1"/>
    </w:lvl>
  </w:abstractNum>
  <w:abstractNum w:abstractNumId="108">
    <w:nsid w:val="6FDE8AF6"/>
    <w:multiLevelType w:val="hybridMultilevel"/>
    <w:lvl w:ilvl="0">
      <w:lvlJc w:val="left"/>
      <w:lvlText w:val="(%1)"/>
      <w:numFmt w:val="lowerRoman"/>
      <w:start w:val="1"/>
    </w:lvl>
  </w:abstractNum>
  <w:abstractNum w:abstractNumId="109">
    <w:nsid w:val="3FC32E20"/>
    <w:multiLevelType w:val="hybridMultilevel"/>
    <w:lvl w:ilvl="0">
      <w:lvlJc w:val="left"/>
      <w:lvlText w:val="(%1)"/>
      <w:numFmt w:val="lowerLetter"/>
      <w:start w:val="1"/>
    </w:lvl>
  </w:abstractNum>
  <w:abstractNum w:abstractNumId="110">
    <w:nsid w:val="49C0E823"/>
    <w:multiLevelType w:val="hybridMultilevel"/>
    <w:lvl w:ilvl="0">
      <w:lvlJc w:val="left"/>
      <w:lvlText w:val="(%1)"/>
      <w:numFmt w:val="lowerLetter"/>
      <w:start w:val="2"/>
    </w:lvl>
  </w:abstractNum>
  <w:abstractNum w:abstractNumId="111">
    <w:nsid w:val="14D53685"/>
    <w:multiLevelType w:val="hybridMultilevel"/>
    <w:lvl w:ilvl="0">
      <w:lvlJc w:val="left"/>
      <w:lvlText w:val="(%1)"/>
      <w:numFmt w:val="lowerLetter"/>
      <w:start w:val="1"/>
    </w:lvl>
    <w:lvl w:ilvl="1">
      <w:lvlJc w:val="left"/>
      <w:lvlText w:val="(%2)"/>
      <w:numFmt w:val="lowerRoman"/>
      <w:start w:val="1"/>
    </w:lvl>
  </w:abstractNum>
  <w:abstractNum w:abstractNumId="112">
    <w:nsid w:val="230F856C"/>
    <w:multiLevelType w:val="hybridMultilevel"/>
    <w:lvl w:ilvl="0">
      <w:lvlJc w:val="left"/>
      <w:lvlText w:val="%1"/>
      <w:numFmt w:val="upperLetter"/>
      <w:start w:val="1"/>
    </w:lvl>
    <w:lvl w:ilvl="1">
      <w:lvlJc w:val="left"/>
      <w:lvlText w:val="(%2)"/>
      <w:numFmt w:val="lowerRoman"/>
      <w:start w:val="6"/>
    </w:lvl>
  </w:abstractNum>
  <w:abstractNum w:abstractNumId="113">
    <w:nsid w:val="6EAA85FB"/>
    <w:multiLevelType w:val="hybridMultilevel"/>
    <w:lvl w:ilvl="0">
      <w:lvlJc w:val="left"/>
      <w:lvlText w:val="(%1)"/>
      <w:numFmt w:val="upperLetter"/>
      <w:start w:val="2"/>
    </w:lvl>
    <w:lvl w:ilvl="1">
      <w:lvlJc w:val="left"/>
      <w:lvlText w:val="(%2)"/>
      <w:numFmt w:val="lowerRoman"/>
      <w:start w:val="7"/>
    </w:lvl>
  </w:abstractNum>
  <w:abstractNum w:abstractNumId="114">
    <w:nsid w:val="3F06ECB2"/>
    <w:multiLevelType w:val="hybridMultilevel"/>
    <w:lvl w:ilvl="0">
      <w:lvlJc w:val="left"/>
      <w:lvlText w:val="(%1)"/>
      <w:numFmt w:val="lowerLetter"/>
      <w:start w:val="1"/>
    </w:lvl>
  </w:abstractNum>
  <w:abstractNum w:abstractNumId="115">
    <w:nsid w:val="3B594807"/>
    <w:multiLevelType w:val="hybridMultilevel"/>
    <w:lvl w:ilvl="0">
      <w:lvlJc w:val="left"/>
      <w:lvlText w:val="(%1)"/>
      <w:numFmt w:val="lowerLetter"/>
      <w:start w:val="2"/>
    </w:lvl>
  </w:abstractNum>
  <w:abstractNum w:abstractNumId="116">
    <w:nsid w:val="6CAA2304"/>
    <w:multiLevelType w:val="hybridMultilevel"/>
    <w:lvl w:ilvl="0">
      <w:lvlJc w:val="left"/>
      <w:lvlText w:val="(%1)"/>
      <w:numFmt w:val="lowerLetter"/>
      <w:start w:val="1"/>
    </w:lvl>
    <w:lvl w:ilvl="1">
      <w:lvlJc w:val="left"/>
      <w:lvlText w:val="(%2)"/>
      <w:numFmt w:val="lowerRoman"/>
      <w:start w:val="1"/>
    </w:lvl>
  </w:abstractNum>
  <w:abstractNum w:abstractNumId="117">
    <w:nsid w:val="3F7C2FF4"/>
    <w:multiLevelType w:val="hybridMultilevel"/>
    <w:lvl w:ilvl="0">
      <w:lvlJc w:val="left"/>
      <w:lvlText w:val="(%1)"/>
      <w:numFmt w:val="lowerRoman"/>
      <w:start w:val="5"/>
    </w:lvl>
  </w:abstractNum>
  <w:abstractNum w:abstractNumId="118">
    <w:nsid w:val="25413BEC"/>
    <w:multiLevelType w:val="hybridMultilevel"/>
    <w:lvl w:ilvl="0">
      <w:lvlJc w:val="left"/>
      <w:lvlText w:val="(%1)"/>
      <w:numFmt w:val="lowerRoman"/>
      <w:start w:val="8"/>
    </w:lvl>
  </w:abstractNum>
  <w:abstractNum w:abstractNumId="119">
    <w:nsid w:val="17180B0B"/>
    <w:multiLevelType w:val="hybridMultilevel"/>
    <w:lvl w:ilvl="0">
      <w:lvlJc w:val="left"/>
      <w:lvlText w:val="(%1)"/>
      <w:numFmt w:val="lowerLetter"/>
      <w:start w:val="1"/>
    </w:lvl>
  </w:abstractNum>
  <w:abstractNum w:abstractNumId="120">
    <w:nsid w:val="579328B9"/>
    <w:multiLevelType w:val="hybridMultilevel"/>
    <w:lvl w:ilvl="0">
      <w:lvlJc w:val="left"/>
      <w:lvlText w:val="%1"/>
      <w:numFmt w:val="lowerLetter"/>
      <w:start w:val="1"/>
    </w:lvl>
    <w:lvl w:ilvl="1">
      <w:lvlJc w:val="left"/>
      <w:lvlText w:val="(%2)"/>
      <w:numFmt w:val="lowerLetter"/>
      <w:start w:val="1"/>
    </w:lvl>
  </w:abstractNum>
  <w:abstractNum w:abstractNumId="121">
    <w:nsid w:val="5D205E20"/>
    <w:multiLevelType w:val="hybridMultilevel"/>
    <w:lvl w:ilvl="0">
      <w:lvlJc w:val="left"/>
      <w:lvlText w:val="(%1)"/>
      <w:numFmt w:val="lowerLetter"/>
      <w:start w:val="61"/>
    </w:lvl>
    <w:lvl w:ilvl="1">
      <w:lvlJc w:val="left"/>
      <w:lvlText w:val="(%2)"/>
      <w:numFmt w:val="lowerLetter"/>
      <w:start w:val="4"/>
    </w:lvl>
  </w:abstractNum>
  <w:abstractNum w:abstractNumId="122">
    <w:nsid w:val="11CCA8BA"/>
    <w:multiLevelType w:val="hybridMultilevel"/>
    <w:lvl w:ilvl="0">
      <w:lvlJc w:val="left"/>
      <w:lvlText w:val="(%1)"/>
      <w:numFmt w:val="lowerLetter"/>
      <w:start w:val="61"/>
    </w:lvl>
    <w:lvl w:ilvl="1">
      <w:lvlJc w:val="left"/>
      <w:lvlText w:val="(%2)"/>
      <w:numFmt w:val="lowerLetter"/>
      <w:start w:val="6"/>
    </w:lvl>
  </w:abstractNum>
  <w:abstractNum w:abstractNumId="123">
    <w:nsid w:val="4D32AB86"/>
    <w:multiLevelType w:val="hybridMultilevel"/>
    <w:lvl w:ilvl="0">
      <w:lvlJc w:val="left"/>
      <w:lvlText w:val="(%1)"/>
      <w:numFmt w:val="lowerLetter"/>
      <w:start w:val="7"/>
    </w:lvl>
  </w:abstractNum>
  <w:abstractNum w:abstractNumId="124">
    <w:nsid w:val="3F07ACC3"/>
    <w:multiLevelType w:val="hybridMultilevel"/>
    <w:lvl w:ilvl="0">
      <w:lvlJc w:val="left"/>
      <w:lvlText w:val="(%1)"/>
      <w:numFmt w:val="lowerLetter"/>
      <w:start w:val="1"/>
    </w:lvl>
  </w:abstractNum>
  <w:abstractNum w:abstractNumId="125">
    <w:nsid w:val="6B47F63E"/>
    <w:multiLevelType w:val="hybridMultilevel"/>
    <w:lvl w:ilvl="0">
      <w:lvlJc w:val="left"/>
      <w:lvlText w:val="%1"/>
      <w:numFmt w:val="lowerLetter"/>
      <w:start w:val="1"/>
    </w:lvl>
    <w:lvl w:ilvl="1">
      <w:lvlJc w:val="left"/>
      <w:lvlText w:val="(%2)"/>
      <w:numFmt w:val="lowerLetter"/>
      <w:start w:val="1"/>
    </w:lvl>
  </w:abstractNum>
  <w:abstractNum w:abstractNumId="126">
    <w:nsid w:val="5CB44A05"/>
    <w:multiLevelType w:val="hybridMultilevel"/>
    <w:lvl w:ilvl="0">
      <w:lvlJc w:val="left"/>
      <w:lvlText w:val="(%1)"/>
      <w:numFmt w:val="lowerLetter"/>
      <w:start w:val="35"/>
    </w:lvl>
    <w:lvl w:ilvl="1">
      <w:lvlJc w:val="left"/>
      <w:lvlText w:val="(%2)"/>
      <w:numFmt w:val="lowerLetter"/>
      <w:start w:val="2"/>
    </w:lvl>
  </w:abstractNum>
  <w:abstractNum w:abstractNumId="127">
    <w:nsid w:val="16CF80F1"/>
    <w:multiLevelType w:val="hybridMultilevel"/>
    <w:lvl w:ilvl="0">
      <w:lvlJc w:val="left"/>
      <w:lvlText w:val="(%1)"/>
      <w:numFmt w:val="lowerLetter"/>
      <w:start w:val="3"/>
    </w:lvl>
  </w:abstractNum>
  <w:abstractNum w:abstractNumId="128">
    <w:nsid w:val="1C695DEC"/>
    <w:multiLevelType w:val="hybridMultilevel"/>
    <w:lvl w:ilvl="0">
      <w:lvlJc w:val="left"/>
      <w:lvlText w:val="(%1)"/>
      <w:numFmt w:val="lowerLetter"/>
      <w:start w:val="9"/>
    </w:lvl>
  </w:abstractNum>
  <w:abstractNum w:abstractNumId="129">
    <w:nsid w:val="3FCFAED9"/>
    <w:multiLevelType w:val="hybridMultilevel"/>
    <w:lvl w:ilvl="0">
      <w:lvlJc w:val="left"/>
      <w:lvlText w:val="%1"/>
      <w:numFmt w:val="lowerLetter"/>
      <w:start w:val="1"/>
    </w:lvl>
    <w:lvl w:ilvl="1">
      <w:lvlJc w:val="left"/>
      <w:lvlText w:val="(%2)"/>
      <w:numFmt w:val="lowerLetter"/>
      <w:start w:val="1"/>
    </w:lvl>
  </w:abstractNum>
  <w:abstractNum w:abstractNumId="130">
    <w:nsid w:val="F856867"/>
    <w:multiLevelType w:val="hybridMultilevel"/>
    <w:lvl w:ilvl="0">
      <w:lvlJc w:val="left"/>
      <w:lvlText w:val="(%1)"/>
      <w:numFmt w:val="lowerLetter"/>
      <w:start w:val="35"/>
    </w:lvl>
    <w:lvl w:ilvl="1">
      <w:lvlJc w:val="left"/>
      <w:lvlText w:val="(%2)"/>
      <w:numFmt w:val="lowerLetter"/>
      <w:start w:val="4"/>
    </w:lvl>
  </w:abstractNum>
  <w:abstractNum w:abstractNumId="131">
    <w:nsid w:val="11B1CC33"/>
    <w:multiLevelType w:val="hybridMultilevel"/>
    <w:lvl w:ilvl="0">
      <w:lvlJc w:val="left"/>
      <w:lvlText w:val="(%1)"/>
      <w:numFmt w:val="lowerLetter"/>
      <w:start w:val="5"/>
    </w:lvl>
  </w:abstractNum>
  <w:abstractNum w:abstractNumId="132">
    <w:nsid w:val="2E22FBB7"/>
    <w:multiLevelType w:val="hybridMultilevel"/>
    <w:lvl w:ilvl="0">
      <w:lvlJc w:val="left"/>
      <w:lvlText w:val="%1"/>
      <w:numFmt w:val="lowerLetter"/>
      <w:start w:val="1"/>
    </w:lvl>
    <w:lvl w:ilvl="1">
      <w:lvlJc w:val="left"/>
      <w:lvlText w:val="(%2)"/>
      <w:numFmt w:val="lowerLetter"/>
      <w:start w:val="12"/>
    </w:lvl>
  </w:abstractNum>
  <w:abstractNum w:abstractNumId="133">
    <w:nsid w:val="29934699"/>
    <w:multiLevelType w:val="hybridMultilevel"/>
    <w:lvl w:ilvl="0">
      <w:lvlJc w:val="left"/>
      <w:lvlText w:val="(%1)"/>
      <w:numFmt w:val="lowerLetter"/>
      <w:start w:val="61"/>
    </w:lvl>
    <w:lvl w:ilvl="1">
      <w:lvlJc w:val="left"/>
      <w:lvlText w:val="%2"/>
      <w:numFmt w:val="lowerLetter"/>
      <w:start w:val="1"/>
    </w:lvl>
  </w:abstractNum>
  <w:abstractNum w:abstractNumId="134">
    <w:nsid w:val="77485850"/>
    <w:multiLevelType w:val="hybridMultilevel"/>
    <w:lvl w:ilvl="0">
      <w:lvlJc w:val="left"/>
      <w:lvlText w:val="(%1)"/>
      <w:numFmt w:val="lowerLetter"/>
      <w:start w:val="1"/>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Letter"/>
      <w:start w:val="2"/>
    </w:lvl>
  </w:abstractNum>
  <w:abstractNum w:abstractNumId="137">
    <w:nsid w:val="6B1D2C14"/>
    <w:multiLevelType w:val="hybridMultilevel"/>
    <w:lvl w:ilvl="0">
      <w:lvlJc w:val="left"/>
      <w:lvlText w:val="(%1)"/>
      <w:numFmt w:val="lowerLetter"/>
      <w:start w:val="1"/>
    </w:lvl>
    <w:lvl w:ilvl="1">
      <w:lvlJc w:val="left"/>
      <w:lvlText w:val="(%2)"/>
      <w:numFmt w:val="lowerRoman"/>
      <w:start w:val="1"/>
    </w:lvl>
  </w:abstractNum>
  <w:abstractNum w:abstractNumId="138">
    <w:nsid w:val="68B867D3"/>
    <w:multiLevelType w:val="hybridMultilevel"/>
    <w:lvl w:ilvl="0">
      <w:lvlJc w:val="left"/>
      <w:lvlText w:val="%1"/>
      <w:numFmt w:val="lowerLetter"/>
      <w:start w:val="1"/>
    </w:lvl>
    <w:lvl w:ilvl="1">
      <w:lvlJc w:val="left"/>
      <w:lvlText w:val="(%2)"/>
      <w:numFmt w:val="lowerRoman"/>
      <w:start w:val="3"/>
    </w:lvl>
  </w:abstractNum>
  <w:abstractNum w:abstractNumId="139">
    <w:nsid w:val="3F7F5DD9"/>
    <w:multiLevelType w:val="hybridMultilevel"/>
    <w:lvl w:ilvl="0">
      <w:lvlJc w:val="left"/>
      <w:lvlText w:val="(%1)"/>
      <w:numFmt w:val="lowerLetter"/>
      <w:start w:val="2"/>
    </w:lvl>
    <w:lvl w:ilvl="1">
      <w:lvlJc w:val="left"/>
      <w:lvlText w:val="%2"/>
      <w:numFmt w:val="lowerRoman"/>
      <w:start w:val="1"/>
    </w:lvl>
  </w:abstractNum>
  <w:abstractNum w:abstractNumId="140">
    <w:nsid w:val="2AE05A34"/>
    <w:multiLevelType w:val="hybridMultilevel"/>
    <w:lvl w:ilvl="0">
      <w:lvlJc w:val="left"/>
      <w:lvlText w:val="(%1)"/>
      <w:numFmt w:val="lowerLetter"/>
      <w:start w:val="1"/>
    </w:lvl>
  </w:abstractNum>
  <w:abstractNum w:abstractNumId="141">
    <w:nsid w:val="32794FF7"/>
    <w:multiLevelType w:val="hybridMultilevel"/>
    <w:lvl w:ilvl="0">
      <w:lvlJc w:val="left"/>
      <w:lvlText w:val="(%1)"/>
      <w:numFmt w:val="lowerLetter"/>
      <w:start w:val="2"/>
    </w:lvl>
  </w:abstractNum>
  <w:abstractNum w:abstractNumId="142">
    <w:nsid w:val="5454945E"/>
    <w:multiLevelType w:val="hybridMultilevel"/>
    <w:lvl w:ilvl="0">
      <w:lvlJc w:val="left"/>
      <w:lvlText w:val="(%1)"/>
      <w:numFmt w:val="lowerLetter"/>
      <w:start w:val="1"/>
    </w:lvl>
  </w:abstractNum>
  <w:abstractNum w:abstractNumId="143">
    <w:nsid w:val="4DEFDFA0"/>
    <w:multiLevelType w:val="hybridMultilevel"/>
    <w:lvl w:ilvl="0">
      <w:lvlJc w:val="left"/>
      <w:lvlText w:val="(%1)"/>
      <w:numFmt w:val="lowerLetter"/>
      <w:start w:val="1"/>
    </w:lvl>
  </w:abstractNum>
  <w:abstractNum w:abstractNumId="144">
    <w:nsid w:val="2123D5F2"/>
    <w:multiLevelType w:val="hybridMultilevel"/>
    <w:lvl w:ilvl="0">
      <w:lvlJc w:val="left"/>
      <w:lvlText w:val="(%1)"/>
      <w:numFmt w:val="lowerLetter"/>
      <w:start w:val="1"/>
    </w:lvl>
  </w:abstractNum>
  <w:abstractNum w:abstractNumId="145">
    <w:nsid w:val="135B8110"/>
    <w:multiLevelType w:val="hybridMultilevel"/>
    <w:lvl w:ilvl="0">
      <w:lvlJc w:val="left"/>
      <w:lvlText w:val="(%1)"/>
      <w:numFmt w:val="lowerLetter"/>
      <w:start w:val="12"/>
    </w:lvl>
  </w:abstractNum>
  <w:abstractNum w:abstractNumId="146">
    <w:nsid w:val="94927A8"/>
    <w:multiLevelType w:val="hybridMultilevel"/>
    <w:lvl w:ilvl="0">
      <w:lvlJc w:val="left"/>
      <w:lvlText w:val="(%1)"/>
      <w:numFmt w:val="lowerLetter"/>
      <w:start w:val="1"/>
    </w:lvl>
  </w:abstractNum>
  <w:abstractNum w:abstractNumId="147">
    <w:nsid w:val="DCDF8F6"/>
    <w:multiLevelType w:val="hybridMultilevel"/>
    <w:lvl w:ilvl="0">
      <w:lvlJc w:val="left"/>
      <w:lvlText w:val="(%1)"/>
      <w:numFmt w:val="lowerLetter"/>
      <w:start w:val="5"/>
    </w:lvl>
  </w:abstractNum>
  <w:abstractNum w:abstractNumId="148">
    <w:nsid w:val="52D7B105"/>
    <w:multiLevelType w:val="hybridMultilevel"/>
    <w:lvl w:ilvl="0">
      <w:lvlJc w:val="left"/>
      <w:lvlText w:val="(%1)"/>
      <w:numFmt w:val="lowerLetter"/>
      <w:start w:val="18"/>
    </w:lvl>
  </w:abstractNum>
  <w:abstractNum w:abstractNumId="149">
    <w:nsid w:val="2E8A6394"/>
    <w:multiLevelType w:val="hybridMultilevel"/>
    <w:lvl w:ilvl="0">
      <w:lvlJc w:val="left"/>
      <w:lvlText w:val="(%1)"/>
      <w:numFmt w:val="lowerLetter"/>
      <w:start w:val="1"/>
    </w:lvl>
    <w:lvl w:ilvl="1">
      <w:lvlJc w:val="left"/>
      <w:lvlText w:val="(%2)"/>
      <w:numFmt w:val="lowerRoman"/>
      <w:start w:val="1"/>
    </w:lvl>
  </w:abstractNum>
  <w:abstractNum w:abstractNumId="150">
    <w:nsid w:val="24E60401"/>
    <w:multiLevelType w:val="hybridMultilevel"/>
    <w:lvl w:ilvl="0">
      <w:lvlJc w:val="left"/>
      <w:lvlText w:val="(%1)"/>
      <w:numFmt w:val="lowerLetter"/>
      <w:start w:val="1"/>
    </w:lvl>
  </w:abstractNum>
  <w:abstractNum w:abstractNumId="151">
    <w:nsid w:val="2A6AD9BE"/>
    <w:multiLevelType w:val="hybridMultilevel"/>
    <w:lvl w:ilvl="0">
      <w:lvlJc w:val="left"/>
      <w:lvlText w:val="(%1)"/>
      <w:numFmt w:val="lowerLetter"/>
      <w:start w:val="5"/>
    </w:lvl>
  </w:abstractNum>
  <w:abstractNum w:abstractNumId="152">
    <w:nsid w:val="BAAC1B4"/>
    <w:multiLevelType w:val="hybridMultilevel"/>
    <w:lvl w:ilvl="0">
      <w:lvlJc w:val="left"/>
      <w:lvlText w:val="(%1)"/>
      <w:numFmt w:val="lowerLetter"/>
      <w:start w:val="1"/>
    </w:lvl>
  </w:abstractNum>
  <w:abstractNum w:abstractNumId="153">
    <w:nsid w:val="36B2ACBC"/>
    <w:multiLevelType w:val="hybridMultilevel"/>
    <w:lvl w:ilvl="0">
      <w:lvlJc w:val="left"/>
      <w:lvlText w:val="(%1)"/>
      <w:numFmt w:val="lowerLetter"/>
      <w:start w:val="4"/>
    </w:lvl>
  </w:abstractNum>
  <w:abstractNum w:abstractNumId="154">
    <w:nsid w:val="779D8544"/>
    <w:multiLevelType w:val="hybridMultilevel"/>
    <w:lvl w:ilvl="0">
      <w:lvlJc w:val="left"/>
      <w:lvlText w:val="(%1)"/>
      <w:numFmt w:val="lowerLetter"/>
      <w:start w:val="1"/>
    </w:lvl>
  </w:abstractNum>
  <w:abstractNum w:abstractNumId="155">
    <w:nsid w:val="4AB26E78"/>
    <w:multiLevelType w:val="hybridMultilevel"/>
    <w:lvl w:ilvl="0">
      <w:lvlJc w:val="left"/>
      <w:lvlText w:val="(%1)"/>
      <w:numFmt w:val="lowerLetter"/>
      <w:start w:val="6"/>
    </w:lvl>
  </w:abstractNum>
  <w:abstractNum w:abstractNumId="156">
    <w:nsid w:val="21FAA2FA"/>
    <w:multiLevelType w:val="hybridMultilevel"/>
    <w:lvl w:ilvl="0">
      <w:lvlJc w:val="left"/>
      <w:lvlText w:val="(%1)"/>
      <w:numFmt w:val="lowerLetter"/>
      <w:start w:val="1"/>
    </w:lvl>
  </w:abstractNum>
  <w:abstractNum w:abstractNumId="157">
    <w:nsid w:val="5451CF49"/>
    <w:multiLevelType w:val="hybridMultilevel"/>
    <w:lvl w:ilvl="0">
      <w:lvlJc w:val="left"/>
      <w:lvlText w:val="(%1)"/>
      <w:numFmt w:val="lowerLetter"/>
      <w:start w:val="1"/>
    </w:lvl>
  </w:abstractNum>
  <w:abstractNum w:abstractNumId="158">
    <w:nsid w:val="6181EF69"/>
    <w:multiLevelType w:val="hybridMultilevel"/>
    <w:lvl w:ilvl="0">
      <w:lvlJc w:val="left"/>
      <w:lvlText w:val="(%1)"/>
      <w:numFmt w:val="lowerLetter"/>
      <w:start w:val="1"/>
    </w:lvl>
  </w:abstractNum>
  <w:abstractNum w:abstractNumId="159">
    <w:nsid w:val="3E6400E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60">
    <w:nsid w:val="14217E23"/>
    <w:multiLevelType w:val="hybridMultilevel"/>
    <w:lvl w:ilvl="0">
      <w:lvlJc w:val="left"/>
      <w:lvlText w:val="(%1)"/>
      <w:numFmt w:val="upperLetter"/>
      <w:start w:val="2"/>
    </w:lvl>
    <w:lvl w:ilvl="1">
      <w:lvlJc w:val="left"/>
      <w:lvlText w:val="(%2)"/>
      <w:numFmt w:val="lowerLetter"/>
      <w:start w:val="8"/>
    </w:lvl>
    <w:lvl w:ilvl="2">
      <w:lvlJc w:val="left"/>
      <w:lvlText w:val="(%3)"/>
      <w:numFmt w:val="lowerRoman"/>
      <w:start w:val="1"/>
    </w:lvl>
  </w:abstractNum>
  <w:abstractNum w:abstractNumId="161">
    <w:nsid w:val="710757D0"/>
    <w:multiLevelType w:val="hybridMultilevel"/>
    <w:lvl w:ilvl="0">
      <w:lvlJc w:val="left"/>
      <w:lvlText w:val="(%1)"/>
      <w:numFmt w:val="lowerLetter"/>
      <w:start w:val="9"/>
    </w:lvl>
  </w:abstractNum>
  <w:abstractNum w:abstractNumId="162">
    <w:nsid w:val="5015CD1A"/>
    <w:multiLevelType w:val="hybridMultilevel"/>
    <w:lvl w:ilvl="0">
      <w:lvlJc w:val="left"/>
      <w:lvlText w:val="%1"/>
      <w:numFmt w:val="lowerLetter"/>
      <w:start w:val="1"/>
    </w:lvl>
    <w:lvl w:ilvl="1">
      <w:lvlJc w:val="left"/>
      <w:lvlText w:val="(%2)"/>
      <w:numFmt w:val="lowerLetter"/>
      <w:start w:val="1"/>
    </w:lvl>
  </w:abstractNum>
  <w:abstractNum w:abstractNumId="163">
    <w:nsid w:val="424479DA"/>
    <w:multiLevelType w:val="hybridMultilevel"/>
    <w:lvl w:ilvl="0">
      <w:lvlJc w:val="left"/>
      <w:lvlText w:val="(%1)"/>
      <w:numFmt w:val="lowerLetter"/>
      <w:start w:val="9"/>
    </w:lvl>
    <w:lvl w:ilvl="1">
      <w:lvlJc w:val="left"/>
      <w:lvlText w:val="(%2)"/>
      <w:numFmt w:val="lowerLetter"/>
      <w:start w:val="2"/>
    </w:lvl>
  </w:abstractNum>
  <w:abstractNum w:abstractNumId="164">
    <w:nsid w:val="1A9A9E69"/>
    <w:multiLevelType w:val="hybridMultilevel"/>
    <w:lvl w:ilvl="0">
      <w:lvlJc w:val="left"/>
      <w:lvlText w:val="(%1)"/>
      <w:numFmt w:val="lowerLetter"/>
      <w:start w:val="1"/>
    </w:lvl>
  </w:abstractNum>
  <w:abstractNum w:abstractNumId="165">
    <w:nsid w:val="475E256A"/>
    <w:multiLevelType w:val="hybridMultilevel"/>
    <w:lvl w:ilvl="0">
      <w:lvlJc w:val="left"/>
      <w:lvlText w:val="(%1)"/>
      <w:numFmt w:val="lowerLetter"/>
      <w:start w:val="8"/>
    </w:lvl>
  </w:abstractNum>
  <w:abstractNum w:abstractNumId="166">
    <w:nsid w:val="368DB37E"/>
    <w:multiLevelType w:val="hybridMultilevel"/>
    <w:lvl w:ilvl="0">
      <w:lvlJc w:val="left"/>
      <w:lvlText w:val="(%1)"/>
      <w:numFmt w:val="lowerRoman"/>
      <w:start w:val="1"/>
    </w:lvl>
  </w:abstractNum>
  <w:abstractNum w:abstractNumId="167">
    <w:nsid w:val="6A3B714C"/>
    <w:multiLevelType w:val="hybridMultilevel"/>
    <w:lvl w:ilvl="0">
      <w:lvlJc w:val="left"/>
      <w:lvlText w:val="(%1)"/>
      <w:numFmt w:val="lowerLetter"/>
      <w:start w:val="1"/>
    </w:lvl>
    <w:lvl w:ilvl="1">
      <w:lvlJc w:val="left"/>
      <w:lvlText w:val="(%2)"/>
      <w:numFmt w:val="lowerLetter"/>
      <w:start w:val="9"/>
    </w:lvl>
  </w:abstractNum>
  <w:abstractNum w:abstractNumId="168">
    <w:nsid w:val="327B517E"/>
    <w:multiLevelType w:val="hybridMultilevel"/>
    <w:lvl w:ilvl="0">
      <w:lvlJc w:val="left"/>
      <w:lvlText w:val="%1"/>
      <w:numFmt w:val="lowerLetter"/>
      <w:start w:val="1"/>
    </w:lvl>
    <w:lvl w:ilvl="1">
      <w:lvlJc w:val="left"/>
      <w:lvlText w:val="(%2)"/>
      <w:numFmt w:val="lowerRoman"/>
      <w:start w:val="1"/>
    </w:lvl>
  </w:abstractNum>
  <w:abstractNum w:abstractNumId="169">
    <w:nsid w:val="1F461B51"/>
    <w:multiLevelType w:val="hybridMultilevel"/>
    <w:lvl w:ilvl="0">
      <w:lvlJc w:val="left"/>
      <w:lvlText w:val="(%1)"/>
      <w:numFmt w:val="lowerLetter"/>
      <w:start w:val="2"/>
    </w:lvl>
    <w:lvl w:ilvl="1">
      <w:lvlJc w:val="left"/>
      <w:lvlText w:val="%2"/>
      <w:numFmt w:val="lowerRoman"/>
      <w:start w:val="1"/>
    </w:lvl>
  </w:abstractNum>
  <w:abstractNum w:abstractNumId="170">
    <w:nsid w:val="29BACF25"/>
    <w:multiLevelType w:val="hybridMultilevel"/>
    <w:lvl w:ilvl="0">
      <w:lvlJc w:val="left"/>
      <w:lvlText w:val="%1"/>
      <w:numFmt w:val="lowerLetter"/>
      <w:start w:val="1"/>
    </w:lvl>
    <w:lvl w:ilvl="1">
      <w:lvlJc w:val="left"/>
      <w:lvlText w:val="(%2)"/>
      <w:numFmt w:val="lowerLetter"/>
      <w:start w:val="1"/>
    </w:lvl>
  </w:abstractNum>
  <w:abstractNum w:abstractNumId="171">
    <w:nsid w:val="5D5BABB3"/>
    <w:multiLevelType w:val="hybridMultilevel"/>
    <w:lvl w:ilvl="0">
      <w:lvlJc w:val="left"/>
      <w:lvlText w:val="(%1)"/>
      <w:numFmt w:val="lowerLetter"/>
      <w:start w:val="35"/>
    </w:lvl>
    <w:lvl w:ilvl="1">
      <w:lvlJc w:val="left"/>
      <w:lvlText w:val="%2"/>
      <w:numFmt w:val="lowerLetter"/>
      <w:start w:val="1"/>
    </w:lvl>
  </w:abstractNum>
  <w:abstractNum w:abstractNumId="172">
    <w:nsid w:val="51BF6B48"/>
    <w:multiLevelType w:val="hybridMultilevel"/>
    <w:lvl w:ilvl="0">
      <w:lvlJc w:val="left"/>
      <w:lvlText w:val="(%1)"/>
      <w:numFmt w:val="lowerLetter"/>
      <w:start w:val="1"/>
    </w:lvl>
  </w:abstractNum>
  <w:abstractNum w:abstractNumId="173">
    <w:nsid w:val="7E0F6384"/>
    <w:multiLevelType w:val="hybridMultilevel"/>
    <w:lvl w:ilvl="0">
      <w:lvlJc w:val="left"/>
      <w:lvlText w:val="(%1)"/>
      <w:numFmt w:val="lowerLetter"/>
      <w:start w:val="1"/>
    </w:lvl>
    <w:lvl w:ilvl="1">
      <w:lvlJc w:val="left"/>
      <w:lvlText w:val="(%2)"/>
      <w:numFmt w:val="lowerRoman"/>
      <w:start w:val="1"/>
    </w:lvl>
  </w:abstractNum>
  <w:abstractNum w:abstractNumId="174">
    <w:nsid w:val="2B4B8B53"/>
    <w:multiLevelType w:val="hybridMultilevel"/>
    <w:lvl w:ilvl="0">
      <w:lvlJc w:val="left"/>
      <w:lvlText w:val="(%1)"/>
      <w:numFmt w:val="lowerLetter"/>
      <w:start w:val="2"/>
    </w:lvl>
  </w:abstractNum>
  <w:abstractNum w:abstractNumId="175">
    <w:nsid w:val="72E3413A"/>
    <w:multiLevelType w:val="hybridMultilevel"/>
    <w:lvl w:ilvl="0">
      <w:lvlJc w:val="left"/>
      <w:lvlText w:val="%1"/>
      <w:numFmt w:val="upperLetter"/>
      <w:start w:val="1"/>
    </w:lvl>
    <w:lvl w:ilvl="1">
      <w:lvlJc w:val="left"/>
      <w:lvlText w:val="(%2)"/>
      <w:numFmt w:val="lowerLetter"/>
      <w:start w:val="1"/>
    </w:lvl>
  </w:abstractNum>
  <w:abstractNum w:abstractNumId="176">
    <w:nsid w:val="116AE494"/>
    <w:multiLevelType w:val="hybridMultilevel"/>
    <w:lvl w:ilvl="0">
      <w:lvlJc w:val="left"/>
      <w:lvlText w:val="(%1)"/>
      <w:numFmt w:val="upperLetter"/>
      <w:start w:val="3"/>
    </w:lvl>
    <w:lvl w:ilvl="1">
      <w:lvlJc w:val="left"/>
      <w:lvlText w:val="(%2)"/>
      <w:numFmt w:val="lowerLetter"/>
      <w:start w:val="2"/>
    </w:lvl>
  </w:abstractNum>
  <w:abstractNum w:abstractNumId="177">
    <w:nsid w:val="3494B2FB"/>
    <w:multiLevelType w:val="hybridMultilevel"/>
    <w:lvl w:ilvl="0">
      <w:lvlJc w:val="left"/>
      <w:lvlText w:val="(%1)"/>
      <w:numFmt w:val="lowerLetter"/>
      <w:start w:val="1"/>
    </w:lvl>
    <w:lvl w:ilvl="1">
      <w:lvlJc w:val="left"/>
      <w:lvlText w:val="(%2)"/>
      <w:numFmt w:val="lowerRoman"/>
      <w:start w:val="1"/>
    </w:lvl>
  </w:abstractNum>
  <w:abstractNum w:abstractNumId="178">
    <w:nsid w:val="B13A31"/>
    <w:multiLevelType w:val="hybridMultilevel"/>
    <w:lvl w:ilvl="0">
      <w:lvlJc w:val="left"/>
      <w:lvlText w:val="(%1)"/>
      <w:numFmt w:val="lowerRoman"/>
      <w:start w:val="2"/>
    </w:lvl>
  </w:abstractNum>
  <w:abstractNum w:abstractNumId="179">
    <w:nsid w:val="64429599"/>
    <w:multiLevelType w:val="hybridMultilevel"/>
    <w:lvl w:ilvl="0">
      <w:lvlJc w:val="left"/>
      <w:lvlText w:val="(%1)"/>
      <w:numFmt w:val="lowerLetter"/>
      <w:start w:val="1"/>
    </w:lvl>
    <w:lvl w:ilvl="1">
      <w:lvlJc w:val="left"/>
      <w:lvlText w:val="(%2)"/>
      <w:numFmt w:val="lowerLetter"/>
      <w:start w:val="9"/>
    </w:lvl>
  </w:abstractNum>
  <w:abstractNum w:abstractNumId="180">
    <w:nsid w:val="631F169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81">
    <w:nsid w:val="25973E3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82">
    <w:nsid w:val="EAD6F57"/>
    <w:multiLevelType w:val="hybridMultilevel"/>
    <w:lvl w:ilvl="0">
      <w:lvlJc w:val="left"/>
      <w:lvlText w:val="%1"/>
      <w:numFmt w:val="lowerRoman"/>
      <w:start w:val="1"/>
    </w:lvl>
    <w:lvl w:ilvl="1">
      <w:lvlJc w:val="left"/>
      <w:lvlText w:val="(%2)"/>
      <w:numFmt w:val="lowerLetter"/>
      <w:start w:val="6"/>
    </w:lvl>
  </w:abstractNum>
  <w:abstractNum w:abstractNumId="183">
    <w:nsid w:val="6EC9D844"/>
    <w:multiLevelType w:val="hybridMultilevel"/>
    <w:lvl w:ilvl="0">
      <w:lvlJc w:val="left"/>
      <w:lvlText w:val="(%1)"/>
      <w:numFmt w:val="lowerRoman"/>
      <w:start w:val="4"/>
    </w:lvl>
    <w:lvl w:ilvl="1">
      <w:lvlJc w:val="left"/>
      <w:lvlText w:val="(%2)"/>
      <w:numFmt w:val="lowerLetter"/>
      <w:start w:val="7"/>
    </w:lvl>
  </w:abstractNum>
  <w:abstractNum w:abstractNumId="184">
    <w:nsid w:val="5C49EAEE"/>
    <w:multiLevelType w:val="hybridMultilevel"/>
    <w:lvl w:ilvl="0">
      <w:lvlJc w:val="left"/>
      <w:lvlText w:val="(%1)"/>
      <w:numFmt w:val="lowerLetter"/>
      <w:start w:val="1"/>
    </w:lvl>
  </w:abstractNum>
  <w:abstractNum w:abstractNumId="185">
    <w:nsid w:val="64AF49B"/>
    <w:multiLevelType w:val="hybridMultilevel"/>
    <w:lvl w:ilvl="0">
      <w:lvlJc w:val="left"/>
      <w:lvlText w:val="(%1)"/>
      <w:numFmt w:val="lowerRoman"/>
      <w:start w:val="1"/>
    </w:lvl>
  </w:abstractNum>
  <w:abstractNum w:abstractNumId="186">
    <w:nsid w:val="397C46BC"/>
    <w:multiLevelType w:val="hybridMultilevel"/>
    <w:lvl w:ilvl="0">
      <w:lvlJc w:val="left"/>
      <w:lvlText w:val="(%1)"/>
      <w:numFmt w:val="lowerRoman"/>
      <w:start w:val="1"/>
    </w:lvl>
  </w:abstractNum>
  <w:abstractNum w:abstractNumId="187">
    <w:nsid w:val="7E448DE9"/>
    <w:multiLevelType w:val="hybridMultilevel"/>
    <w:lvl w:ilvl="0">
      <w:lvlJc w:val="left"/>
      <w:lvlText w:val="(%1)"/>
      <w:numFmt w:val="lowerLetter"/>
      <w:start w:val="1"/>
    </w:lvl>
  </w:abstractNum>
  <w:abstractNum w:abstractNumId="188">
    <w:nsid w:val="5A9CC3E5"/>
    <w:multiLevelType w:val="hybridMultilevel"/>
    <w:lvl w:ilvl="0">
      <w:lvlJc w:val="left"/>
      <w:lvlText w:val="(%1)"/>
      <w:numFmt w:val="lowerLetter"/>
      <w:start w:val="1"/>
    </w:lvl>
    <w:lvl w:ilvl="1">
      <w:lvlJc w:val="left"/>
      <w:lvlText w:val="(%2)"/>
      <w:numFmt w:val="lowerRoman"/>
      <w:start w:val="1"/>
    </w:lvl>
  </w:abstractNum>
  <w:abstractNum w:abstractNumId="189">
    <w:nsid w:val="1AFE3625"/>
    <w:multiLevelType w:val="hybridMultilevel"/>
    <w:lvl w:ilvl="0">
      <w:lvlJc w:val="left"/>
      <w:lvlText w:val="%1."/>
      <w:numFmt w:val="decimal"/>
      <w:start w:val="1"/>
    </w:lvl>
    <w:lvl w:ilvl="1">
      <w:lvlJc w:val="left"/>
      <w:lvlText w:val="(%2)"/>
      <w:numFmt w:val="lowerLetter"/>
      <w:start w:val="1"/>
    </w:lvl>
  </w:abstractNum>
  <w:abstractNum w:abstractNumId="190">
    <w:nsid w:val="3CA88ECF"/>
    <w:multiLevelType w:val="hybridMultilevel"/>
    <w:lvl w:ilvl="0">
      <w:lvlJc w:val="left"/>
      <w:lvlText w:val="(%1)"/>
      <w:numFmt w:val="lowerLetter"/>
      <w:start w:val="1"/>
    </w:lvl>
  </w:abstractNum>
  <w:abstractNum w:abstractNumId="191">
    <w:nsid w:val="6EBE4208"/>
    <w:multiLevelType w:val="hybridMultilevel"/>
    <w:lvl w:ilvl="0">
      <w:lvlJc w:val="left"/>
      <w:lvlText w:val="%1."/>
      <w:numFmt w:val="decimal"/>
      <w:start w:val="1"/>
    </w:lvl>
    <w:lvl w:ilvl="1">
      <w:lvlJc w:val="left"/>
      <w:lvlText w:val="(%2)"/>
      <w:numFmt w:val="lowerLetter"/>
      <w:start w:val="1"/>
    </w:lvl>
  </w:abstractNum>
  <w:abstractNum w:abstractNumId="192">
    <w:nsid w:val="C058DF5"/>
    <w:multiLevelType w:val="hybridMultilevel"/>
    <w:lvl w:ilvl="0">
      <w:lvlJc w:val="left"/>
      <w:lvlText w:val="(%1)"/>
      <w:numFmt w:val="lowerLetter"/>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1" Type="http://schemas.openxmlformats.org/officeDocument/2006/relationships/image" Target="media/image94.png"/><Relationship Id="rId138" Type="http://schemas.openxmlformats.org/officeDocument/2006/relationships/image" Target="media/image95.png"/><Relationship Id="rId155"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101" Type="http://schemas.openxmlformats.org/officeDocument/2006/relationships/hyperlink" Target="https://www.sec.gov/Archives/edgar/data/1274737/000119312519252366/d769261dex31.htm" TargetMode="External"/><Relationship Id="rId102" Type="http://schemas.openxmlformats.org/officeDocument/2006/relationships/hyperlink" Target="https://www.sec.gov/Archives/edgar/data/1274737/000127473721000017/ex31-amendedandrestatedbyl.htm" TargetMode="External"/><Relationship Id="rId103" Type="http://schemas.openxmlformats.org/officeDocument/2006/relationships/hyperlink" Target="https://www.sec.gov/Archives/edgar/data/1274737/000127473723000004/exhibit-exagenxamendmentto.htm" TargetMode="External"/><Relationship Id="rId104" Type="http://schemas.openxmlformats.org/officeDocument/2006/relationships/hyperlink" Target="https://www.sec.gov/Archives/edgar/data/1274737/000119312519240403/d692844dex41.htm" TargetMode="External"/><Relationship Id="rId105" Type="http://schemas.openxmlformats.org/officeDocument/2006/relationships/hyperlink" Target="https://www.sec.gov/Archives/edgar/data/1274737/000119312519228011/d692844dex44.htm" TargetMode="External"/><Relationship Id="rId106" Type="http://schemas.openxmlformats.org/officeDocument/2006/relationships/hyperlink" Target="https://www.sec.gov/Archives/edgar/data/1274737/000119312519228011/d692844dex48.htm" TargetMode="External"/><Relationship Id="rId107" Type="http://schemas.openxmlformats.org/officeDocument/2006/relationships/hyperlink" Target="https://www.sec.gov/Archives/edgar/data/1274737/000119312519228011/d692844dex49.htm" TargetMode="External"/><Relationship Id="rId108" Type="http://schemas.openxmlformats.org/officeDocument/2006/relationships/hyperlink" Target="https://www.sec.gov/Archives/edgar/data/1274737/000127473724000022/xgn-descriptionofsecurities.htm" TargetMode="External"/><Relationship Id="rId109" Type="http://schemas.openxmlformats.org/officeDocument/2006/relationships/hyperlink" Target="https://www.sec.gov/Archives/edgar/data/1274737/000119312525100447/d811854dex41.htm" TargetMode="External"/><Relationship Id="rId110" Type="http://schemas.openxmlformats.org/officeDocument/2006/relationships/hyperlink" Target="https://www.sec.gov/Archives/edgar/data/1274737/000119312519228011/d692844dex102.htm" TargetMode="External"/><Relationship Id="rId111" Type="http://schemas.openxmlformats.org/officeDocument/2006/relationships/hyperlink" Target="https://www.sec.gov/Archives/edgar/data/1274737/000119312519240403/d692844dex103.htm" TargetMode="External"/><Relationship Id="rId112" Type="http://schemas.openxmlformats.org/officeDocument/2006/relationships/hyperlink" Target="https://www.sec.gov/Archives/edgar/data/1274737/000119312519240403/d692844dex104.htm" TargetMode="External"/><Relationship Id="rId113" Type="http://schemas.openxmlformats.org/officeDocument/2006/relationships/hyperlink" Target="https://www.sec.gov/Archives/edgar/data/1274737/000127473721000015/ex105-formofrsuagreement20.htm" TargetMode="External"/><Relationship Id="rId114" Type="http://schemas.openxmlformats.org/officeDocument/2006/relationships/hyperlink" Target="https://www.sec.gov/Archives/edgar/data/1274737/000119312519240403/d692844dex105.htm" TargetMode="External"/><Relationship Id="rId115" Type="http://schemas.openxmlformats.org/officeDocument/2006/relationships/hyperlink" Target="https://www.sec.gov/Archives/edgar/data/1274737/000119312519228011/d692844dex1010.htm" TargetMode="External"/><Relationship Id="rId116" Type="http://schemas.openxmlformats.org/officeDocument/2006/relationships/hyperlink" Target="https://www.sec.gov/Archives/edgar/data/1274737/000119312519228011/d692844dex1011.htm" TargetMode="External"/><Relationship Id="rId117" Type="http://schemas.openxmlformats.org/officeDocument/2006/relationships/hyperlink" Target="https://www.sec.gov/Archives/edgar/data/1274737/000119312519228011/d692844dex1012.htm" TargetMode="External"/><Relationship Id="rId118" Type="http://schemas.openxmlformats.org/officeDocument/2006/relationships/hyperlink" Target="https://www.sec.gov/Archives/edgar/data/1274737/000119312519228011/d692844dex1013.htm" TargetMode="External"/><Relationship Id="rId119" Type="http://schemas.openxmlformats.org/officeDocument/2006/relationships/hyperlink" Target="https://www.sec.gov/Archives/edgar/data/1274737/000119312519228011/d692844dex1014.htm" TargetMode="External"/><Relationship Id="rId120" Type="http://schemas.openxmlformats.org/officeDocument/2006/relationships/hyperlink" Target="https://www.sec.gov/Archives/edgar/data/1274737/000119312519228011/d692844dex1015.htm" TargetMode="External"/><Relationship Id="rId122" Type="http://schemas.openxmlformats.org/officeDocument/2006/relationships/hyperlink" Target="https://www.sec.gov/Archives/edgar/data/1274737/000119312519228011/d692844dex1016.htm" TargetMode="External"/><Relationship Id="rId123" Type="http://schemas.openxmlformats.org/officeDocument/2006/relationships/hyperlink" Target="https://www.sec.gov/Archives/edgar/data/1274737/000119312519228011/d692844dex1017.htm" TargetMode="External"/><Relationship Id="rId124" Type="http://schemas.openxmlformats.org/officeDocument/2006/relationships/hyperlink" Target="https://www.sec.gov/Archives/edgar/data/1274737/000119312519228011/d692844dex1018.htm" TargetMode="External"/><Relationship Id="rId125" Type="http://schemas.openxmlformats.org/officeDocument/2006/relationships/hyperlink" Target="https://www.sec.gov/Archives/edgar/data/1274737/000119312519228011/d692844dex1019.htm" TargetMode="External"/><Relationship Id="rId126" Type="http://schemas.openxmlformats.org/officeDocument/2006/relationships/hyperlink" Target="https://www.sec.gov/Archives/edgar/data/1274737/000119312519228011/d692844dex1020.htm" TargetMode="External"/><Relationship Id="rId127" Type="http://schemas.openxmlformats.org/officeDocument/2006/relationships/hyperlink" Target="https://www.sec.gov/Archives/edgar/data/1274737/000119312519228011/d692844dex1021.htm" TargetMode="External"/><Relationship Id="rId128" Type="http://schemas.openxmlformats.org/officeDocument/2006/relationships/hyperlink" Target="https://www.sec.gov/Archives/edgar/data/1274737/000119312519228011/d692844dex1022.htm" TargetMode="External"/><Relationship Id="rId129" Type="http://schemas.openxmlformats.org/officeDocument/2006/relationships/hyperlink" Target="https://www.sec.gov/Archives/edgar/data/1274737/000119312519228011/d692844dex1024.htm" TargetMode="External"/><Relationship Id="rId130" Type="http://schemas.openxmlformats.org/officeDocument/2006/relationships/hyperlink" Target="https://www.sec.gov/Archives/edgar/data/1274737/000119312519228011/d692844dex1025.htm" TargetMode="External"/><Relationship Id="rId131" Type="http://schemas.openxmlformats.org/officeDocument/2006/relationships/hyperlink" Target="https://www.sec.gov/Archives/edgar/data/1274737/000127473720000026/secondamend1261suitebc.htm" TargetMode="External"/><Relationship Id="rId132" Type="http://schemas.openxmlformats.org/officeDocument/2006/relationships/hyperlink" Target="https://www.sec.gov/Archives/edgar/data/1274737/000127473720000026/thirdamend1261suitebc.htm" TargetMode="External"/><Relationship Id="rId133" Type="http://schemas.openxmlformats.org/officeDocument/2006/relationships/hyperlink" Target="https://www.sec.gov/Archives/edgar/data/1274737/000127473720000026/fourthamendmenttolease.htm" TargetMode="External"/><Relationship Id="rId134" Type="http://schemas.openxmlformats.org/officeDocument/2006/relationships/hyperlink" Target="https://www.sec.gov/Archives/edgar/data/1274737/000127473721000115/ex103-fifthaddendumtolease.htm" TargetMode="External"/><Relationship Id="rId135" Type="http://schemas.openxmlformats.org/officeDocument/2006/relationships/hyperlink" Target="https://www.sec.gov/Archives/edgar/data/1274737/000119312519228011/d692844dex1030.htm" TargetMode="External"/><Relationship Id="rId136" Type="http://schemas.openxmlformats.org/officeDocument/2006/relationships/hyperlink" Target="https://www.sec.gov/Archives/edgar/data/1274737/000127473720000026/firstamend1221lease.htm" TargetMode="External"/><Relationship Id="rId137" Type="http://schemas.openxmlformats.org/officeDocument/2006/relationships/hyperlink" Target="https://www.sec.gov/Archives/edgar/data/1274737/000127473720000026/a1221libertyway-leasea.htm" TargetMode="External"/><Relationship Id="rId139" Type="http://schemas.openxmlformats.org/officeDocument/2006/relationships/hyperlink" Target="https://www.sec.gov/Archives/edgar/data/1274737/000127473721000015/ex1034-amend1to1221liberty.htm" TargetMode="External"/><Relationship Id="rId140" Type="http://schemas.openxmlformats.org/officeDocument/2006/relationships/hyperlink" Target="https://www.sec.gov/Archives/edgar/data/1274737/000127473721000115/ex102-amend2to1221libertyw.htm" TargetMode="External"/><Relationship Id="rId141" Type="http://schemas.openxmlformats.org/officeDocument/2006/relationships/hyperlink" Target="https://www.sec.gov/Archives/edgar/data/1274737/000127473720000026/ex10331261suitealeasev2.htm" TargetMode="External"/><Relationship Id="rId142" Type="http://schemas.openxmlformats.org/officeDocument/2006/relationships/hyperlink" Target="https://www.sec.gov/Archives/edgar/data/1274737/000127473721000115/ex104-firstaddendumtolease.htm" TargetMode="External"/><Relationship Id="rId143" Type="http://schemas.openxmlformats.org/officeDocument/2006/relationships/hyperlink" Target="https://www.sec.gov/Archives/edgar/data/1274737/000127473721000115/ex101-subleaseagreement819.htm" TargetMode="External"/><Relationship Id="rId144" Type="http://schemas.openxmlformats.org/officeDocument/2006/relationships/hyperlink" Target="https://www.sec.gov/Archives/edgar/data/1274737/000119312519228011/d692844dex1031.htm" TargetMode="External"/><Relationship Id="rId145" Type="http://schemas.openxmlformats.org/officeDocument/2006/relationships/hyperlink" Target="https://www.sec.gov/Archives/edgar/data/1274737/000119312519228011/d692844dex1034.htm" TargetMode="External"/><Relationship Id="rId146" Type="http://schemas.openxmlformats.org/officeDocument/2006/relationships/hyperlink" Target="https://www.sec.gov/Archives/edgar/data/1274737/000127473725000055/directorcompensationprogra.htm" TargetMode="External"/><Relationship Id="rId147" Type="http://schemas.openxmlformats.org/officeDocument/2006/relationships/hyperlink" Target="https://www.sec.gov/Archives/edgar/data/1274737/000127473721000015/ex1046-executivecicseveran.htm" TargetMode="External"/><Relationship Id="rId148" Type="http://schemas.openxmlformats.org/officeDocument/2006/relationships/hyperlink" Target="https://www.sec.gov/Archives/edgar/data/1274737/000127473722000067/johnaballiceoemploymentagr.htm" TargetMode="External"/><Relationship Id="rId149" Type="http://schemas.openxmlformats.org/officeDocument/2006/relationships/hyperlink" Target="https://www.sec.gov/Archives/edgar/data/1274737/000127473724000071/exagencfoemploymentagreeme.htm" TargetMode="External"/><Relationship Id="rId150" Type="http://schemas.openxmlformats.org/officeDocument/2006/relationships/hyperlink" Target="https://www.sec.gov/Archives/edgar/data/1274737/000127473722000064/ex11-xgnxsalesagreement.htm" TargetMode="External"/><Relationship Id="rId151" Type="http://schemas.openxmlformats.org/officeDocument/2006/relationships/hyperlink" Target="https://www.sec.gov/Archives/edgar/data/1274737/000127473723000105/amendmentno1toatmsalesagre.htm" TargetMode="External"/><Relationship Id="rId152" Type="http://schemas.openxmlformats.org/officeDocument/2006/relationships/hyperlink" Target="https://www.sec.gov/Archives/edgar/data/1274737/000119312525100447/d811854dex101.htm" TargetMode="External"/><Relationship Id="rId153" Type="http://schemas.openxmlformats.org/officeDocument/2006/relationships/hyperlink" Target="https://www.sec.gov/Archives/edgar/data/1274737/000119312525100447/d811854dex102.htm" TargetMode="External"/><Relationship Id="rId154" Type="http://schemas.openxmlformats.org/officeDocument/2006/relationships/hyperlink" Target="https://www.sec.gov/Archives/edgar/data/1274737/000127473725000019/exagen-boardbookxtab18xins.htm" TargetMode="External"/><Relationship Id="rId156" Type="http://schemas.openxmlformats.org/officeDocument/2006/relationships/hyperlink" Target="https://www.sec.gov/Archives/edgar/data/1274737/000127473723000103/exagen-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2026-03-10T08:28:55Z</dcterms:created>
  <dcterms:modified xsi:type="dcterms:W3CDTF">2026-03-10T08:28:55Z</dcterms:modified>
</cp:coreProperties>
</file>