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30068X103</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319" w:hanging="620"/>
        <w:spacing w:after="0" w:line="308"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Tullis-Dickerson Capital Focus III, L.P.</w:t>
      </w:r>
    </w:p>
    <w:p>
      <w:pPr>
        <w:spacing w:after="0" w:line="362" w:lineRule="exact"/>
        <w:rPr>
          <w:rFonts w:ascii="Arial" w:cs="Arial" w:eastAsia="Arial" w:hAnsi="Arial"/>
          <w:sz w:val="17"/>
          <w:szCs w:val="17"/>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1,222,670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1,222,670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9.7%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Tullis Dickerson Partners III, L.L.C.</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1,222,670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1,222,670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9.7%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7099" w:hanging="620"/>
        <w:spacing w:after="0" w:line="342"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Tullis Growth Fund, L.P.</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751,443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751,443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751,443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6%</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939" w:hanging="620"/>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Tullis-Growth Partners, L.L.C.</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751,443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751,443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751,443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6%</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7099" w:hanging="620"/>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Tullis Growth Fund II, L.P.</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105,453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105,453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0.8%</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779" w:hanging="620"/>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Names of Reporting Persons Tullis-Growth Partners II, L.L.C.</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186690</wp:posOffset>
            </wp:positionV>
            <wp:extent cx="55314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105,453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105,453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0.8%</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7099" w:hanging="620"/>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Names of Reporting Persons James L.L. Tullis</w:t>
      </w:r>
    </w:p>
    <w:p>
      <w:pPr>
        <w:spacing w:after="0" w:line="362" w:lineRule="exact"/>
        <w:rPr>
          <w:rFonts w:ascii="Arial" w:cs="Arial" w:eastAsia="Arial" w:hAnsi="Arial"/>
          <w:sz w:val="17"/>
          <w:szCs w:val="17"/>
          <w:color w:val="auto"/>
        </w:rPr>
      </w:pPr>
    </w:p>
    <w:p>
      <w:pPr>
        <w:ind w:left="1000" w:hanging="620"/>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2,079,566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2,079,566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2,134,106</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17.0%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00" w:right="8860" w:hanging="493"/>
        <w:spacing w:after="0" w:line="342" w:lineRule="auto"/>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of Issuer Exagen, Inc.</w:t>
      </w:r>
    </w:p>
    <w:p>
      <w:pPr>
        <w:spacing w:after="0" w:line="29" w:lineRule="exact"/>
        <w:rPr>
          <w:rFonts w:ascii="Arial" w:cs="Arial" w:eastAsia="Arial" w:hAnsi="Arial"/>
          <w:sz w:val="16"/>
          <w:szCs w:val="16"/>
          <w:color w:val="auto"/>
        </w:rPr>
      </w:pPr>
    </w:p>
    <w:p>
      <w:pPr>
        <w:ind w:left="1500" w:right="6540" w:hanging="493"/>
        <w:spacing w:after="0" w:line="342" w:lineRule="auto"/>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Address of Issuer’s Principal Executive Offices 1261 Liberty Way, Suite C, Vista, CA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63290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-366395</wp:posOffset>
            </wp:positionV>
            <wp:extent cx="63290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00" w:hanging="493"/>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00" w:right="420"/>
        <w:spacing w:after="0" w:line="250" w:lineRule="auto"/>
        <w:rPr>
          <w:rFonts w:ascii="Arial" w:cs="Arial" w:eastAsia="Arial" w:hAnsi="Arial"/>
          <w:sz w:val="18"/>
          <w:szCs w:val="18"/>
          <w:color w:val="auto"/>
        </w:rPr>
      </w:pPr>
      <w:r>
        <w:rPr>
          <w:rFonts w:ascii="Arial" w:cs="Arial" w:eastAsia="Arial" w:hAnsi="Arial"/>
          <w:sz w:val="18"/>
          <w:szCs w:val="18"/>
          <w:color w:val="auto"/>
        </w:rPr>
        <w:t>This statement is being filed on behalf of each of the following persons (each, a “Reporting Person” and collectively, the “Reporting Persons”):</w:t>
      </w:r>
    </w:p>
    <w:p>
      <w:pPr>
        <w:ind w:left="2160" w:hanging="329"/>
        <w:spacing w:after="0"/>
        <w:tabs>
          <w:tab w:leader="none" w:pos="2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Tullis-Dickerson Capital Focus III, L.P. (“</w:t>
      </w:r>
      <w:r>
        <w:rPr>
          <w:rFonts w:ascii="Arial" w:cs="Arial" w:eastAsia="Arial" w:hAnsi="Arial"/>
          <w:sz w:val="18"/>
          <w:szCs w:val="18"/>
          <w:b w:val="1"/>
          <w:bCs w:val="1"/>
          <w:u w:val="single" w:color="auto"/>
          <w:color w:val="auto"/>
        </w:rPr>
        <w:t>TD Capital Focus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180" w:hanging="349"/>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Tullis-Dickerson Partners III, L.L.C., the general partner of TD Capital Focus</w:t>
      </w:r>
    </w:p>
    <w:p>
      <w:pPr>
        <w:spacing w:after="0" w:line="9" w:lineRule="exact"/>
        <w:rPr>
          <w:rFonts w:ascii="Arial" w:cs="Arial" w:eastAsia="Arial" w:hAnsi="Arial"/>
          <w:sz w:val="18"/>
          <w:szCs w:val="18"/>
          <w:color w:val="auto"/>
        </w:rPr>
      </w:pPr>
    </w:p>
    <w:p>
      <w:pPr>
        <w:ind w:left="2180" w:hanging="349"/>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Tullis Growth Fund, L.P. (“</w:t>
      </w:r>
      <w:r>
        <w:rPr>
          <w:rFonts w:ascii="Arial" w:cs="Arial" w:eastAsia="Arial" w:hAnsi="Arial"/>
          <w:sz w:val="18"/>
          <w:szCs w:val="18"/>
          <w:b w:val="1"/>
          <w:bCs w:val="1"/>
          <w:u w:val="single" w:color="auto"/>
          <w:color w:val="auto"/>
        </w:rPr>
        <w:t>Tullis Growth Fund</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160" w:hanging="329"/>
        <w:spacing w:after="0"/>
        <w:tabs>
          <w:tab w:leader="none" w:pos="2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Tullis-Growth Partners, L.L.C., the general partner of Tullis Growth Fund</w:t>
      </w:r>
    </w:p>
    <w:p>
      <w:pPr>
        <w:spacing w:after="0" w:line="9" w:lineRule="exact"/>
        <w:rPr>
          <w:rFonts w:ascii="Arial" w:cs="Arial" w:eastAsia="Arial" w:hAnsi="Arial"/>
          <w:sz w:val="18"/>
          <w:szCs w:val="18"/>
          <w:color w:val="auto"/>
        </w:rPr>
      </w:pPr>
    </w:p>
    <w:p>
      <w:pPr>
        <w:ind w:left="2140" w:hanging="309"/>
        <w:spacing w:after="0"/>
        <w:tabs>
          <w:tab w:leader="none" w:pos="2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Tullis Growth Fund II, L.P. (“</w:t>
      </w:r>
      <w:r>
        <w:rPr>
          <w:rFonts w:ascii="Arial" w:cs="Arial" w:eastAsia="Arial" w:hAnsi="Arial"/>
          <w:sz w:val="18"/>
          <w:szCs w:val="18"/>
          <w:b w:val="1"/>
          <w:bCs w:val="1"/>
          <w:u w:val="single" w:color="auto"/>
          <w:color w:val="auto"/>
        </w:rPr>
        <w:t>Tullis Growth Fund II</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160" w:hanging="329"/>
        <w:spacing w:after="0"/>
        <w:tabs>
          <w:tab w:leader="none" w:pos="2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Tullis-Growth Partners II, L.L.C., the general partner of Tullis Growth Fund II</w:t>
      </w:r>
    </w:p>
    <w:p>
      <w:pPr>
        <w:spacing w:after="0" w:line="9" w:lineRule="exact"/>
        <w:rPr>
          <w:rFonts w:ascii="Arial" w:cs="Arial" w:eastAsia="Arial" w:hAnsi="Arial"/>
          <w:sz w:val="18"/>
          <w:szCs w:val="18"/>
          <w:color w:val="auto"/>
        </w:rPr>
      </w:pPr>
    </w:p>
    <w:p>
      <w:pPr>
        <w:ind w:left="2180" w:hanging="349"/>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James L.L. Tullis as a principal of each of the foregoing entities and in his individual capacity</w:t>
      </w:r>
    </w:p>
    <w:p>
      <w:pPr>
        <w:spacing w:after="0" w:line="116" w:lineRule="exact"/>
        <w:rPr>
          <w:rFonts w:ascii="Arial" w:cs="Arial" w:eastAsia="Arial" w:hAnsi="Arial"/>
          <w:sz w:val="18"/>
          <w:szCs w:val="18"/>
          <w:color w:val="auto"/>
        </w:rPr>
      </w:pPr>
    </w:p>
    <w:p>
      <w:pPr>
        <w:ind w:left="1500" w:hanging="493"/>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500" w:right="720"/>
        <w:spacing w:after="0" w:line="261" w:lineRule="auto"/>
        <w:rPr>
          <w:rFonts w:ascii="Arial" w:cs="Arial" w:eastAsia="Arial" w:hAnsi="Arial"/>
          <w:sz w:val="18"/>
          <w:szCs w:val="18"/>
          <w:color w:val="auto"/>
        </w:rPr>
      </w:pPr>
      <w:r>
        <w:rPr>
          <w:rFonts w:ascii="Arial" w:cs="Arial" w:eastAsia="Arial" w:hAnsi="Arial"/>
          <w:sz w:val="18"/>
          <w:szCs w:val="18"/>
          <w:color w:val="auto"/>
        </w:rPr>
        <w:t>The address of the principal business office of each of the Reporting Persons is 11770 US Highway One, Suite 503, Palm Beach Gardens, FL 33408</w:t>
      </w:r>
    </w:p>
    <w:p>
      <w:pPr>
        <w:spacing w:after="0" w:line="89" w:lineRule="exact"/>
        <w:rPr>
          <w:rFonts w:ascii="Arial" w:cs="Arial" w:eastAsia="Arial" w:hAnsi="Arial"/>
          <w:sz w:val="18"/>
          <w:szCs w:val="18"/>
          <w:color w:val="auto"/>
        </w:rPr>
      </w:pPr>
    </w:p>
    <w:p>
      <w:pPr>
        <w:ind w:left="1500" w:hanging="493"/>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James L. L. Tullis is a citizen of the United States and each of the remaining Reporting Persons were formed in Delaware</w:t>
      </w:r>
    </w:p>
    <w:p>
      <w:pPr>
        <w:spacing w:after="0" w:line="116" w:lineRule="exact"/>
        <w:rPr>
          <w:rFonts w:ascii="Arial" w:cs="Arial" w:eastAsia="Arial" w:hAnsi="Arial"/>
          <w:sz w:val="18"/>
          <w:szCs w:val="18"/>
          <w:color w:val="auto"/>
        </w:rPr>
      </w:pPr>
    </w:p>
    <w:p>
      <w:pPr>
        <w:ind w:left="1500" w:right="8040" w:hanging="493"/>
        <w:spacing w:after="0" w:line="342" w:lineRule="auto"/>
        <w:tabs>
          <w:tab w:leader="none" w:pos="1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00" w:right="8800" w:hanging="493"/>
        <w:spacing w:after="0" w:line="342" w:lineRule="auto"/>
        <w:tabs>
          <w:tab w:leader="none" w:pos="1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CUSIP Number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63290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-366395</wp:posOffset>
            </wp:positionV>
            <wp:extent cx="63290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-717550</wp:posOffset>
            </wp:positionV>
            <wp:extent cx="63290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-1069340</wp:posOffset>
            </wp:positionV>
            <wp:extent cx="63290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-1558290</wp:posOffset>
            </wp:positionV>
            <wp:extent cx="63290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200" w:hanging="1013"/>
        <w:spacing w:after="0" w:line="277" w:lineRule="auto"/>
        <w:tabs>
          <w:tab w:leader="none" w:pos="15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rPr>
              <w:t>Group, in accordance with § 240.13d–1(b)(1)(ii)(K). If filing as a non-U.S. institution in accordance with</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1" w:right="199" w:bottom="1440" w:gutter="0" w:footer="0" w:header="0"/>
        </w:sectPr>
      </w:pPr>
    </w:p>
    <w:bookmarkStart w:id="9" w:name="page10"/>
    <w:bookmarkEnd w:id="9"/>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See row 9 of the cover page of each Reporting Person.</w:t>
      </w:r>
    </w:p>
    <w:p>
      <w:pPr>
        <w:spacing w:after="0" w:line="23" w:lineRule="exact"/>
        <w:rPr>
          <w:rFonts w:ascii="Arial" w:cs="Arial" w:eastAsia="Arial" w:hAnsi="Arial"/>
          <w:sz w:val="18"/>
          <w:szCs w:val="18"/>
          <w:color w:val="auto"/>
        </w:rPr>
      </w:pPr>
    </w:p>
    <w:p>
      <w:pPr>
        <w:ind w:left="1600"/>
        <w:spacing w:after="0" w:line="252" w:lineRule="auto"/>
        <w:rPr>
          <w:rFonts w:ascii="Arial" w:cs="Arial" w:eastAsia="Arial" w:hAnsi="Arial"/>
          <w:sz w:val="18"/>
          <w:szCs w:val="18"/>
          <w:color w:val="auto"/>
        </w:rPr>
      </w:pPr>
      <w:r>
        <w:rPr>
          <w:rFonts w:ascii="Arial" w:cs="Arial" w:eastAsia="Arial" w:hAnsi="Arial"/>
          <w:sz w:val="18"/>
          <w:szCs w:val="18"/>
          <w:color w:val="auto"/>
        </w:rPr>
        <w:t>As of December 31, 2019, the general partner of Tullis-Dickerson Capital Focus III, L.P., Tullis Dickerson Partners III, L.L.C. is deemed to beneficially own 1,222,670 shares of the Issuer’s common stock. As the general partner of Tullis Growth Fund, L.P. , Tullis-Growth Partners, L.L.C. is deemed to beneficially own 751,443 shares of the Issuer’s common stock. As the general partner of Tullis Growth Fund II, L.P., Tullis-Growth Partners II, LLC is deemed to beneficially own 105,453 shares of the Issuer’s common stock. James L.L. Tullis, in his individual capacity, beneficially owns 54,540 shares of the Issuer’s common stock and is a principal of each of the foregoing entities and may be deemed to possess voting and investment control over, and may be deemed to have an indirect beneficial ownership with respect to the shares held by Tullis-Dickerson Capital Focus III, L.P., Tullis Growth Fund, L.P., and Tullis Growth Fund II, L.P.</w:t>
      </w:r>
    </w:p>
    <w:p>
      <w:pPr>
        <w:spacing w:after="0" w:line="245" w:lineRule="exact"/>
        <w:rPr>
          <w:rFonts w:ascii="Arial" w:cs="Arial" w:eastAsia="Arial" w:hAnsi="Arial"/>
          <w:sz w:val="18"/>
          <w:szCs w:val="18"/>
          <w:color w:val="auto"/>
        </w:rPr>
      </w:pPr>
    </w:p>
    <w:p>
      <w:pPr>
        <w:ind w:left="1600" w:right="60"/>
        <w:spacing w:after="0" w:line="257" w:lineRule="auto"/>
        <w:rPr>
          <w:rFonts w:ascii="Arial" w:cs="Arial" w:eastAsia="Arial" w:hAnsi="Arial"/>
          <w:sz w:val="18"/>
          <w:szCs w:val="18"/>
          <w:color w:val="auto"/>
        </w:rPr>
      </w:pPr>
      <w:r>
        <w:rPr>
          <w:rFonts w:ascii="Arial" w:cs="Arial" w:eastAsia="Arial" w:hAnsi="Arial"/>
          <w:sz w:val="18"/>
          <w:szCs w:val="18"/>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Reporting Person.</w:t>
      </w:r>
    </w:p>
    <w:p>
      <w:pPr>
        <w:spacing w:after="0" w:line="201" w:lineRule="exact"/>
        <w:rPr>
          <w:rFonts w:ascii="Arial" w:cs="Arial" w:eastAsia="Arial" w:hAnsi="Arial"/>
          <w:sz w:val="18"/>
          <w:szCs w:val="18"/>
          <w:color w:val="auto"/>
        </w:rPr>
      </w:pPr>
    </w:p>
    <w:p>
      <w:pPr>
        <w:ind w:left="1600" w:hanging="400"/>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2260" w:hanging="664"/>
        <w:spacing w:after="0"/>
        <w:tabs>
          <w:tab w:leader="none" w:pos="2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Tullis-Dickerson Capital Focus III, L.P.: 9.7%</w:t>
      </w:r>
    </w:p>
    <w:p>
      <w:pPr>
        <w:spacing w:after="0" w:line="23" w:lineRule="exact"/>
        <w:rPr>
          <w:rFonts w:ascii="Arial" w:cs="Arial" w:eastAsia="Arial" w:hAnsi="Arial"/>
          <w:sz w:val="18"/>
          <w:szCs w:val="18"/>
          <w:color w:val="auto"/>
        </w:rPr>
      </w:pPr>
    </w:p>
    <w:p>
      <w:pPr>
        <w:ind w:left="2260" w:hanging="664"/>
        <w:spacing w:after="0"/>
        <w:tabs>
          <w:tab w:leader="none" w:pos="2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Tullis-Dickerson Partners III, L.L.C.: 9.7%</w:t>
      </w:r>
    </w:p>
    <w:p>
      <w:pPr>
        <w:spacing w:after="0" w:line="9" w:lineRule="exact"/>
        <w:rPr>
          <w:rFonts w:ascii="Arial" w:cs="Arial" w:eastAsia="Arial" w:hAnsi="Arial"/>
          <w:sz w:val="18"/>
          <w:szCs w:val="18"/>
          <w:color w:val="auto"/>
        </w:rPr>
      </w:pPr>
    </w:p>
    <w:p>
      <w:pPr>
        <w:ind w:left="2280" w:hanging="684"/>
        <w:spacing w:after="0"/>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Tullis Growth Fund, L.P.: 6%</w:t>
      </w:r>
    </w:p>
    <w:p>
      <w:pPr>
        <w:spacing w:after="0" w:line="9" w:lineRule="exact"/>
        <w:rPr>
          <w:rFonts w:ascii="Arial" w:cs="Arial" w:eastAsia="Arial" w:hAnsi="Arial"/>
          <w:sz w:val="18"/>
          <w:szCs w:val="18"/>
          <w:color w:val="auto"/>
        </w:rPr>
      </w:pPr>
    </w:p>
    <w:p>
      <w:pPr>
        <w:ind w:left="2240" w:hanging="644"/>
        <w:spacing w:after="0"/>
        <w:tabs>
          <w:tab w:leader="none" w:pos="22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Tullis-Growth Partners, L.L.C.: 6%</w:t>
      </w:r>
    </w:p>
    <w:p>
      <w:pPr>
        <w:spacing w:after="0" w:line="9" w:lineRule="exact"/>
        <w:rPr>
          <w:rFonts w:ascii="Arial" w:cs="Arial" w:eastAsia="Arial" w:hAnsi="Arial"/>
          <w:sz w:val="18"/>
          <w:szCs w:val="18"/>
          <w:color w:val="auto"/>
        </w:rPr>
      </w:pPr>
    </w:p>
    <w:p>
      <w:pPr>
        <w:ind w:left="2240" w:hanging="644"/>
        <w:spacing w:after="0"/>
        <w:tabs>
          <w:tab w:leader="none" w:pos="22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Tullis Growth Fund II, L.P.: 08%</w:t>
      </w:r>
    </w:p>
    <w:p>
      <w:pPr>
        <w:spacing w:after="0" w:line="9" w:lineRule="exact"/>
        <w:rPr>
          <w:rFonts w:ascii="Arial" w:cs="Arial" w:eastAsia="Arial" w:hAnsi="Arial"/>
          <w:sz w:val="18"/>
          <w:szCs w:val="18"/>
          <w:color w:val="auto"/>
        </w:rPr>
      </w:pPr>
    </w:p>
    <w:p>
      <w:pPr>
        <w:ind w:left="2260" w:hanging="664"/>
        <w:spacing w:after="0"/>
        <w:tabs>
          <w:tab w:leader="none" w:pos="2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Tullis-Growth Partners II, L.L.C., 0.8%</w:t>
      </w:r>
    </w:p>
    <w:p>
      <w:pPr>
        <w:spacing w:after="0" w:line="9" w:lineRule="exact"/>
        <w:rPr>
          <w:rFonts w:ascii="Arial" w:cs="Arial" w:eastAsia="Arial" w:hAnsi="Arial"/>
          <w:sz w:val="18"/>
          <w:szCs w:val="18"/>
          <w:color w:val="auto"/>
        </w:rPr>
      </w:pPr>
    </w:p>
    <w:p>
      <w:pPr>
        <w:ind w:left="2260" w:hanging="664"/>
        <w:spacing w:after="0"/>
        <w:tabs>
          <w:tab w:leader="none" w:pos="2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James L. L. Tullis: 16.6% as a principal of each of the foregoing entities and 0.4%,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-1202690</wp:posOffset>
            </wp:positionV>
            <wp:extent cx="62344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45" w:lineRule="exact"/>
        <w:rPr>
          <w:sz w:val="20"/>
          <w:szCs w:val="20"/>
          <w:color w:val="auto"/>
        </w:rPr>
      </w:pPr>
    </w:p>
    <w:p>
      <w:pPr>
        <w:ind w:left="1600" w:right="40"/>
        <w:spacing w:after="0" w:line="342" w:lineRule="auto"/>
        <w:rPr>
          <w:sz w:val="20"/>
          <w:szCs w:val="20"/>
          <w:color w:val="auto"/>
        </w:rPr>
      </w:pPr>
      <w:r>
        <w:rPr>
          <w:rFonts w:ascii="Arial" w:cs="Arial" w:eastAsia="Arial" w:hAnsi="Arial"/>
          <w:sz w:val="16"/>
          <w:szCs w:val="16"/>
          <w:color w:val="auto"/>
        </w:rPr>
        <w:t>The calculations of beneficial ownership percentages are based on 12,560,990 shares of common stock outstanding as of November 8, 2019, as reported by the Issuer in its Form 10-Q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19050</wp:posOffset>
            </wp:positionV>
            <wp:extent cx="62344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117" w:lineRule="exact"/>
        <w:rPr>
          <w:sz w:val="20"/>
          <w:szCs w:val="20"/>
          <w:color w:val="auto"/>
        </w:rPr>
      </w:pPr>
    </w:p>
    <w:p>
      <w:pPr>
        <w:ind w:left="1600" w:hanging="394"/>
        <w:spacing w:after="0"/>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See row 5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83185</wp:posOffset>
            </wp:positionV>
            <wp:extent cx="62344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19" w:lineRule="exact"/>
        <w:rPr>
          <w:sz w:val="20"/>
          <w:szCs w:val="20"/>
          <w:color w:val="auto"/>
        </w:rPr>
      </w:pPr>
    </w:p>
    <w:p>
      <w:pPr>
        <w:ind w:left="2220" w:hanging="453"/>
        <w:spacing w:after="0"/>
        <w:tabs>
          <w:tab w:leader="none" w:pos="2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See row 6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20" w:hanging="478"/>
        <w:spacing w:after="0"/>
        <w:tabs>
          <w:tab w:leader="none" w:pos="2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See row 7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20" w:right="5160" w:hanging="503"/>
        <w:spacing w:after="0" w:line="412" w:lineRule="auto"/>
        <w:tabs>
          <w:tab w:leader="none" w:pos="2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8 of the cover page of each Reporting Person.</w:t>
      </w:r>
    </w:p>
    <w:p>
      <w:pPr>
        <w:spacing w:after="0" w:line="84" w:lineRule="exact"/>
        <w:rPr>
          <w:rFonts w:ascii="Arial" w:cs="Arial" w:eastAsia="Arial" w:hAnsi="Arial"/>
          <w:sz w:val="16"/>
          <w:szCs w:val="16"/>
          <w:color w:val="auto"/>
        </w:rPr>
      </w:pPr>
    </w:p>
    <w:p>
      <w:pPr>
        <w:ind w:left="2220" w:hanging="498"/>
        <w:spacing w:after="0"/>
        <w:tabs>
          <w:tab w:leader="none" w:pos="2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-198755</wp:posOffset>
            </wp:positionV>
            <wp:extent cx="58400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right="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00"/>
          </w:cols>
          <w:pgMar w:left="300" w:top="391" w:right="299" w:bottom="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1" w:name="page12"/>
    <w:bookmarkEnd w:id="11"/>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14, 2020</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TULLIS-DICKERSON CAPITAL FOCUS III, </w:t>
      </w:r>
      <w:r>
        <w:rPr>
          <w:rFonts w:ascii="Arial" w:cs="Arial" w:eastAsia="Arial" w:hAnsi="Arial"/>
          <w:sz w:val="18"/>
          <w:szCs w:val="18"/>
          <w:color w:val="auto"/>
        </w:rPr>
        <w:t>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Tullis-Dickerson Partners III, L.L.C., its general partner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TULLIS GROWTH FUND, L.P.</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Tullis-Growth Partners, L.L.C., its general partner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TULLIS GROWTH FUND II, L.P.</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Tullis-Growth Partners II, L.L.C., its general partner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TULLIS-DICKERSON PARTNERS III, L.L.C.</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TULLIS-GROWTH PARTNERS,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Manager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TULLIS-GROWTH PARTNERS II,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James L.L. Tullis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JAMES L.L. TULLIS</w:t>
      </w:r>
      <w:r>
        <w:rPr>
          <w:rFonts w:ascii="Arial" w:cs="Arial" w:eastAsia="Arial" w:hAnsi="Arial"/>
          <w:sz w:val="18"/>
          <w:szCs w:val="18"/>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1" w:right="239" w:bottom="1113"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JOINT FILING AGREEMENT PURSUANT TO RULE 13d-1(k)</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February 14, 2020</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TULLIS-DICKERSON CAPITAL FOCUS III, </w:t>
      </w:r>
      <w:r>
        <w:rPr>
          <w:rFonts w:ascii="Arial" w:cs="Arial" w:eastAsia="Arial" w:hAnsi="Arial"/>
          <w:sz w:val="18"/>
          <w:szCs w:val="18"/>
          <w:color w:val="auto"/>
        </w:rPr>
        <w:t>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Tullis-Dickerson Partners III, L.L.C., its general partner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TULLIS-DICKERSON PARTNERS III, L.L.C.</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TULLIS GROWTH FUND, L.P.</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Tullis-Growth Partners, L.L.C., its general partner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TULLIS-GROWTH PARTNERS, L.L.C.</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left="4520"/>
        <w:spacing w:after="0"/>
        <w:rPr>
          <w:sz w:val="20"/>
          <w:szCs w:val="20"/>
          <w:color w:val="auto"/>
        </w:rPr>
      </w:pPr>
      <w:r>
        <w:rPr>
          <w:rFonts w:ascii="Arial" w:cs="Arial" w:eastAsia="Arial" w:hAnsi="Arial"/>
          <w:sz w:val="18"/>
          <w:szCs w:val="18"/>
          <w:b w:val="1"/>
          <w:bCs w:val="1"/>
          <w:color w:val="auto"/>
        </w:rPr>
        <w:t>TULLIS GROWTH FUND II,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Tullis-Growth Partners II, L.L.C., its general partner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Manager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TULLIS-GROWTH PARTNERS II, L.L.C.</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L.L. Tullis</w:t>
            </w:r>
          </w:p>
        </w:tc>
      </w:tr>
      <w:tr>
        <w:trPr>
          <w:trHeight w:val="195"/>
        </w:trPr>
        <w:tc>
          <w:tcPr>
            <w:tcW w:w="5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James L.L. Tullis</w:t>
            </w: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James L.L. Tullis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JAMES L.L. TULLIS</w:t>
      </w:r>
      <w:r>
        <w:rPr>
          <w:rFonts w:ascii="Arial" w:cs="Arial" w:eastAsia="Arial" w:hAnsi="Arial"/>
          <w:sz w:val="18"/>
          <w:szCs w:val="18"/>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abstractNum>
  <w:abstractNum w:abstractNumId="2">
    <w:nsid w:val="3352255A"/>
    <w:multiLevelType w:val="hybridMultilevel"/>
    <w:lvl w:ilvl="0">
      <w:lvlJc w:val="left"/>
      <w:lvlText w:val="%1."/>
      <w:numFmt w:val="decimal"/>
      <w:start w:val="9"/>
    </w:lvl>
  </w:abstractNum>
  <w:abstractNum w:abstractNumId="3">
    <w:nsid w:val="109CF92E"/>
    <w:multiLevelType w:val="hybridMultilevel"/>
    <w:lvl w:ilvl="0">
      <w:lvlJc w:val="left"/>
      <w:lvlText w:val="%1."/>
      <w:numFmt w:val="decimal"/>
      <w:start w:val="1"/>
    </w:lvl>
    <w:lvl w:ilvl="1">
      <w:lvlJc w:val="left"/>
      <w:lvlText w:val="(%2)"/>
      <w:numFmt w:val="lowerLetter"/>
      <w:start w:val="1"/>
    </w:lvl>
  </w:abstractNum>
  <w:abstractNum w:abstractNumId="4">
    <w:nsid w:val="DED7263"/>
    <w:multiLevelType w:val="hybridMultilevel"/>
    <w:lvl w:ilvl="0">
      <w:lvlJc w:val="left"/>
      <w:lvlText w:val="%1."/>
      <w:numFmt w:val="decimal"/>
      <w:start w:val="9"/>
    </w:lvl>
  </w:abstractNum>
  <w:abstractNum w:abstractNumId="5">
    <w:nsid w:val="7FDCC233"/>
    <w:multiLevelType w:val="hybridMultilevel"/>
    <w:lvl w:ilvl="0">
      <w:lvlJc w:val="left"/>
      <w:lvlText w:val="%1."/>
      <w:numFmt w:val="decimal"/>
      <w:start w:val="1"/>
    </w:lvl>
    <w:lvl w:ilvl="1">
      <w:lvlJc w:val="left"/>
      <w:lvlText w:val="(%2)"/>
      <w:numFmt w:val="lowerLetter"/>
      <w:start w:val="1"/>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1"/>
    </w:lvl>
    <w:lvl w:ilvl="1">
      <w:lvlJc w:val="left"/>
      <w:lvlText w:val="(%2)"/>
      <w:numFmt w:val="lowerLetter"/>
      <w:start w:val="1"/>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1."/>
      <w:numFmt w:val="decimal"/>
      <w:start w:val="1"/>
    </w:lvl>
    <w:lvl w:ilvl="1">
      <w:lvlJc w:val="left"/>
      <w:lvlText w:val="(%2)"/>
      <w:numFmt w:val="lowerLetter"/>
      <w:start w:val="1"/>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lvl w:ilvl="1">
      <w:lvlJc w:val="left"/>
      <w:lvlText w:val="(%2)"/>
      <w:numFmt w:val="lowerLetter"/>
      <w:start w:val="1"/>
    </w:lvl>
  </w:abstractNum>
  <w:abstractNum w:abstractNumId="12">
    <w:nsid w:val="431BD7B7"/>
    <w:multiLevelType w:val="hybridMultilevel"/>
    <w:lvl w:ilvl="0">
      <w:lvlJc w:val="left"/>
      <w:lvlText w:val="%1."/>
      <w:numFmt w:val="decimal"/>
      <w:start w:val="9"/>
    </w:lvl>
  </w:abstractNum>
  <w:abstractNum w:abstractNumId="13">
    <w:nsid w:val="3F2DBA31"/>
    <w:multiLevelType w:val="hybridMultilevel"/>
    <w:lvl w:ilvl="0">
      <w:lvlJc w:val="left"/>
      <w:lvlText w:val="%1."/>
      <w:numFmt w:val="decimal"/>
      <w:start w:val="1"/>
    </w:lvl>
    <w:lvl w:ilvl="1">
      <w:lvlJc w:val="left"/>
      <w:lvlText w:val="(%2)"/>
      <w:numFmt w:val="lowerLetter"/>
      <w:start w:val="1"/>
    </w:lvl>
  </w:abstractNum>
  <w:abstractNum w:abstractNumId="14">
    <w:nsid w:val="7C83E458"/>
    <w:multiLevelType w:val="hybridMultilevel"/>
    <w:lvl w:ilvl="0">
      <w:lvlJc w:val="left"/>
      <w:lvlText w:val="%1."/>
      <w:numFmt w:val="decimal"/>
      <w:start w:val="9"/>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1"/>
    </w:lvl>
    <w:lvl w:ilvl="1">
      <w:lvlJc w:val="left"/>
      <w:lvlText w:val="%2."/>
      <w:numFmt w:val="lowerRoman"/>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lvl w:ilvl="1">
      <w:lvlJc w:val="left"/>
      <w:lvlText w:val="%2."/>
      <w:numFmt w:val="lowerRoman"/>
      <w:start w:val="1"/>
    </w:lvl>
  </w:abstractNum>
  <w:abstractNum w:abstractNumId="19">
    <w:nsid w:val="333AB105"/>
    <w:multiLevelType w:val="hybridMultilevel"/>
    <w:lvl w:ilvl="0">
      <w:lvlJc w:val="left"/>
      <w:lvlText w:val="(%1)"/>
      <w:numFmt w:val="lowerLetter"/>
      <w:start w:val="3"/>
    </w:lvl>
  </w:abstractNum>
  <w:abstractNum w:abstractNumId="20">
    <w:nsid w:val="721DA317"/>
    <w:multiLevelType w:val="hybridMultilevel"/>
    <w:lvl w:ilvl="0">
      <w:lvlJc w:val="left"/>
      <w:lvlText w:val="(%1)"/>
      <w:numFmt w:val="lowerRoman"/>
      <w:start w:val="1"/>
    </w:lvl>
  </w:abstractNum>
  <w:abstractNum w:abstractNumId="21">
    <w:nsid w:val="2443A858"/>
    <w:multiLevelType w:val="hybridMultilevel"/>
    <w:lvl w:ilvl="0">
      <w:lvlJc w:val="left"/>
      <w:lvlText w:val="(%1)"/>
      <w:numFmt w:val="lowerRoman"/>
      <w:start w:val="2"/>
    </w:lvl>
  </w:abstractNum>
  <w:abstractNum w:abstractNumId="22">
    <w:nsid w:val="2D1D5A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2020-02-14T15:23:42Z</dcterms:created>
  <dcterms:modified xsi:type="dcterms:W3CDTF">2020-02-14T15:23:42Z</dcterms:modified>
</cp:coreProperties>
</file>