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457835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423545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2"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80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3078480</wp:posOffset>
            </wp:positionH>
            <wp:positionV relativeFrom="paragraph">
              <wp:posOffset>14605</wp:posOffset>
            </wp:positionV>
            <wp:extent cx="977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2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189" w:lineRule="exact"/>
        <w:rPr>
          <w:sz w:val="24"/>
          <w:szCs w:val="24"/>
          <w:color w:val="auto"/>
        </w:rPr>
      </w:pPr>
    </w:p>
    <w:p>
      <w:pPr>
        <w:jc w:val="right"/>
        <w:ind w:right="1059"/>
        <w:spacing w:after="0"/>
        <w:rPr>
          <w:sz w:val="20"/>
          <w:szCs w:val="20"/>
          <w:color w:val="auto"/>
        </w:rPr>
      </w:pPr>
      <w:r>
        <w:rPr>
          <w:rFonts w:ascii="Arial" w:cs="Arial" w:eastAsia="Arial" w:hAnsi="Arial"/>
          <w:sz w:val="14"/>
          <w:szCs w:val="14"/>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3078480</wp:posOffset>
            </wp:positionH>
            <wp:positionV relativeFrom="paragraph">
              <wp:posOffset>111760</wp:posOffset>
            </wp:positionV>
            <wp:extent cx="977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28" w:lineRule="exact"/>
        <w:rPr>
          <w:sz w:val="24"/>
          <w:szCs w:val="2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27"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28" w:lineRule="exact"/>
        <w:rPr>
          <w:rFonts w:ascii="MS PGothic" w:cs="MS PGothic" w:eastAsia="MS PGothic" w:hAnsi="MS PGothic"/>
          <w:sz w:val="14"/>
          <w:szCs w:val="14"/>
          <w:color w:val="auto"/>
        </w:rPr>
      </w:pPr>
    </w:p>
    <w:p>
      <w:pPr>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28"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28"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74"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Exagen Inc.</w:t>
      </w:r>
    </w:p>
    <w:p>
      <w:pPr>
        <w:spacing w:after="0" w:line="45"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26"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3"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8" w:lineRule="exact"/>
        <w:rPr>
          <w:sz w:val="24"/>
          <w:szCs w:val="24"/>
          <w:color w:val="auto"/>
        </w:rPr>
      </w:pPr>
    </w:p>
    <w:p>
      <w:pPr>
        <w:ind w:left="540" w:hanging="53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8" w:lineRule="exact"/>
        <w:rPr>
          <w:sz w:val="24"/>
          <w:szCs w:val="24"/>
          <w:color w:val="auto"/>
        </w:rPr>
      </w:pPr>
    </w:p>
    <w:p>
      <w:pPr>
        <w:ind w:left="540" w:hanging="53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8" w:lineRule="exact"/>
        <w:rPr>
          <w:rFonts w:ascii="MS PGothic" w:cs="MS PGothic" w:eastAsia="MS PGothic" w:hAnsi="MS PGothic"/>
          <w:sz w:val="14"/>
          <w:szCs w:val="14"/>
          <w:color w:val="auto"/>
        </w:rPr>
      </w:pPr>
    </w:p>
    <w:p>
      <w:pPr>
        <w:ind w:left="540" w:hanging="53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417830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383540</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0119"/>
          </w:cols>
          <w:pgMar w:left="340" w:top="89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732155</wp:posOffset>
            </wp:positionV>
            <wp:extent cx="1611630"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43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2022 ANNUAL MEETING OF STOCKHOLDERS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June 16, 2022</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EXAGEN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1261 LIBERTY WAY, VISTA, CALIFORNIA 92081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April 28, 2022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48"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You are cordially invited to attend the annual meeting of stockholders (the "Annual Meeting") of Exagen Inc., a Delaware corporation (the "Company"). The Annual Meeting is expected to be held on June 16, 2022 at 8:00 a.m. Pacific Time in the Encore Meeting Room of the Hard Rock Hotel San Diego, 207 5th Avenue, San Diego, California 92101.</w:t>
      </w:r>
    </w:p>
    <w:p>
      <w:pPr>
        <w:spacing w:after="0" w:line="215"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w:t>
      </w:r>
    </w:p>
    <w:p>
      <w:pPr>
        <w:spacing w:after="0" w:line="23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Notice of Annual Meeting of Stockholders and Proxy Statement on the following pages describe the matters to be presented at the Annual Meeting. Please see the section entitled "Who Can Attend the Annual Meeting of Stockholders?" of the proxy statement for more information about how to attend the meeting in person. However, we are sensitive to the public health and travel concerns our shareholders may have and recommendations that public health officials may issue in light of the COVID-19 pandemic. As a result, we may impose additional procedures or limitations on meeting attendees (beyond those described above and herein) or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Therefore, we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our Notice of Internet Availability of Proxy Materials, the instructions regarding how you can access your proxy materials and vote are contained in that notice. If you have received written proxy materials, the instructions regarding how you can access our proxy materials and vote are contained on the proxy card. If you decide to attend the Annual Meeting, you will be able to vote in person, even if you have previously submitted your proxy. If you hold your shares through a bank or broker, you will need a proxy from your bank or broker to vote your shares in person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Fortunato Ron Rocca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Fortunato Ron Rocca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Vista, California</w:t>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154305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0007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be Held Thursday, June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EXAGEN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1261 LIBERTY WAY, VISTA, CALIFORNIA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Annual Meeting of Stockholders (the "Annual Meeting") of Exagen Inc. will be held in the Encore Meeting Room of the Hard Rock Hotel San Diego, 207 5th Avenue, San Diego, California 92101 on Thursday, June 16, 2022, at 8:00 a.m. Pacific Time, for the following purposes:</w:t>
      </w:r>
    </w:p>
    <w:p>
      <w:pPr>
        <w:spacing w:after="0" w:line="141" w:lineRule="exact"/>
        <w:rPr>
          <w:sz w:val="20"/>
          <w:szCs w:val="20"/>
          <w:color w:val="auto"/>
        </w:rPr>
      </w:pPr>
    </w:p>
    <w:p>
      <w:pPr>
        <w:ind w:left="660" w:right="460" w:hanging="328"/>
        <w:spacing w:after="0" w:line="26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three directors to serve as Class III directors for a three-year term expiring at the 2025 Annual Meeting of Stockholders and until their respective successors shall have been duly elected and qualified;</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BDO USA, LLP as our independent registered public accounting firm for the fiscal year ending December 31, 2022; and</w:t>
      </w:r>
    </w:p>
    <w:p>
      <w:pPr>
        <w:spacing w:after="0" w:line="167" w:lineRule="exact"/>
        <w:rPr>
          <w:rFonts w:ascii="Arial" w:cs="Arial" w:eastAsia="Arial" w:hAnsi="Arial"/>
          <w:sz w:val="16"/>
          <w:szCs w:val="16"/>
          <w:color w:val="auto"/>
        </w:rPr>
      </w:pPr>
    </w:p>
    <w:p>
      <w:pPr>
        <w:ind w:left="660" w:right="40" w:hanging="328"/>
        <w:spacing w:after="0" w:line="26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continuation, postponement or adjournment of the Annual Meeting.</w:t>
      </w:r>
    </w:p>
    <w:p>
      <w:pPr>
        <w:spacing w:after="0" w:line="14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are sensitive to the public health and travel concerns our shareholders may have and recommendations that public health officials may issue in light of the COVID-19 pandemic. As a result, we may impose additional procedures or limitations on meeting attendees (beyond those described above and herein) or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230"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of Proxy Materials that is being sent to you.</w:t>
      </w:r>
    </w:p>
    <w:p>
      <w:pPr>
        <w:spacing w:after="0" w:line="23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foregoing items of business are more fully described in the attached proxy statement, which forms a part of this notice and is incorporated herein by reference. Holders of record of our common stock as of the close of business on April 18, 2022 are entitled to notice of and to vote at the Annual Meeting, or any continuation, postponement or adjournment of the Annual Meeting.</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color w:val="auto"/>
        </w:rPr>
        <w:t>It is important that your shares be represented regardless of the number of shares you may hold. Whether or not you plan to attend the Annual Meeting in person, we urge you to vote your shares as soon as possible via the toll-free telephone number or over the Internet, as described in the enclosed proxy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For specific voting instructions, please refer to the information provided in the accompanying Proxy Statement and in the Notice of Internet Availability of Proxy Materials.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continued support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Fortunato Ron Rocca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Fortunato Ron Rocca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Vista,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28, 2022</w:t>
      </w:r>
    </w:p>
    <w:p>
      <w:pPr>
        <w:sectPr>
          <w:pgSz w:w="11900" w:h="16838" w:orient="portrait"/>
          <w:cols w:equalWidth="0" w:num="1">
            <w:col w:w="11220"/>
          </w:cols>
          <w:pgMar w:left="320" w:top="144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20" w:type="dxa"/>
            <w:vAlign w:val="bottom"/>
            <w:gridSpan w:val="3"/>
          </w:tcPr>
          <w:p>
            <w:pPr>
              <w:ind w:left="2620"/>
              <w:spacing w:after="0"/>
              <w:rPr>
                <w:sz w:val="20"/>
                <w:szCs w:val="20"/>
                <w:color w:val="auto"/>
              </w:rPr>
            </w:pPr>
            <w:r>
              <w:rPr>
                <w:rFonts w:ascii="Arial" w:cs="Arial" w:eastAsia="Arial" w:hAnsi="Arial"/>
                <w:sz w:val="16"/>
                <w:szCs w:val="16"/>
                <w:b w:val="1"/>
                <w:bCs w:val="1"/>
                <w:color w:val="auto"/>
                <w:w w:val="99"/>
              </w:rPr>
              <w:t>Page</w:t>
            </w:r>
          </w:p>
        </w:tc>
      </w:tr>
      <w:tr>
        <w:trPr>
          <w:trHeight w:val="181"/>
        </w:trPr>
        <w:tc>
          <w:tcPr>
            <w:tcW w:w="6460" w:type="dxa"/>
            <w:vAlign w:val="bottom"/>
            <w:gridSpan w:val="36"/>
          </w:tcPr>
          <w:p>
            <w:pPr>
              <w:spacing w:after="0" w:line="181" w:lineRule="exact"/>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General</w:t>
              </w:r>
            </w:hyperlink>
          </w:p>
        </w:tc>
        <w:tc>
          <w:tcPr>
            <w:tcW w:w="2860" w:type="dxa"/>
            <w:vAlign w:val="bottom"/>
            <w:gridSpan w:val="2"/>
          </w:tcPr>
          <w:p>
            <w:pPr>
              <w:jc w:val="center"/>
              <w:ind w:left="2699"/>
              <w:spacing w:after="0" w:line="181"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160" w:type="dxa"/>
            <w:vAlign w:val="bottom"/>
          </w:tcPr>
          <w:p>
            <w:pPr>
              <w:spacing w:after="0"/>
              <w:rPr>
                <w:sz w:val="15"/>
                <w:szCs w:val="15"/>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60" w:type="dxa"/>
            <w:vAlign w:val="bottom"/>
            <w:gridSpan w:val="36"/>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Proposals</w:t>
              </w:r>
            </w:hyperlink>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1</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80" w:type="dxa"/>
            <w:vAlign w:val="bottom"/>
            <w:gridSpan w:val="15"/>
          </w:tcPr>
          <w:p>
            <w:pPr>
              <w:spacing w:after="0"/>
              <w:rPr>
                <w:rFonts w:ascii="Arial" w:cs="Arial" w:eastAsia="Arial" w:hAnsi="Arial"/>
                <w:sz w:val="16"/>
                <w:szCs w:val="16"/>
                <w:color w:val="0000FF"/>
                <w:w w:val="99"/>
              </w:rPr>
            </w:pPr>
            <w:hyperlink w:anchor="page6">
              <w:r>
                <w:rPr>
                  <w:rFonts w:ascii="Arial" w:cs="Arial" w:eastAsia="Arial" w:hAnsi="Arial"/>
                  <w:sz w:val="16"/>
                  <w:szCs w:val="16"/>
                  <w:color w:val="0000FF"/>
                  <w:w w:val="99"/>
                </w:rPr>
                <w:t>Recommendations of the Board</w:t>
              </w:r>
            </w:hyperlink>
          </w:p>
        </w:tc>
        <w:tc>
          <w:tcPr>
            <w:tcW w:w="4180" w:type="dxa"/>
            <w:vAlign w:val="bottom"/>
            <w:gridSpan w:val="21"/>
          </w:tcPr>
          <w:p>
            <w:pPr>
              <w:spacing w:after="0"/>
              <w:rPr>
                <w:sz w:val="17"/>
                <w:szCs w:val="17"/>
                <w:color w:val="auto"/>
              </w:rPr>
            </w:pPr>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2</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860" w:type="dxa"/>
            <w:vAlign w:val="bottom"/>
            <w:gridSpan w:val="18"/>
          </w:tcPr>
          <w:p>
            <w:pPr>
              <w:spacing w:after="0"/>
              <w:rPr>
                <w:rFonts w:ascii="Arial" w:cs="Arial" w:eastAsia="Arial" w:hAnsi="Arial"/>
                <w:sz w:val="16"/>
                <w:szCs w:val="16"/>
                <w:color w:val="0000FF"/>
                <w:w w:val="99"/>
              </w:rPr>
            </w:pPr>
            <w:hyperlink w:anchor="page6">
              <w:r>
                <w:rPr>
                  <w:rFonts w:ascii="Arial" w:cs="Arial" w:eastAsia="Arial" w:hAnsi="Arial"/>
                  <w:sz w:val="16"/>
                  <w:szCs w:val="16"/>
                  <w:color w:val="0000FF"/>
                  <w:w w:val="99"/>
                </w:rPr>
                <w:t>Information About This Proxy Statement</w:t>
              </w:r>
            </w:hyperlink>
          </w:p>
        </w:tc>
        <w:tc>
          <w:tcPr>
            <w:tcW w:w="3600" w:type="dxa"/>
            <w:vAlign w:val="bottom"/>
            <w:gridSpan w:val="18"/>
          </w:tcPr>
          <w:p>
            <w:pPr>
              <w:spacing w:after="0"/>
              <w:rPr>
                <w:sz w:val="17"/>
                <w:szCs w:val="17"/>
                <w:color w:val="auto"/>
              </w:rPr>
            </w:pPr>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2</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880" w:type="dxa"/>
            <w:vAlign w:val="bottom"/>
            <w:gridSpan w:val="33"/>
          </w:tcPr>
          <w:p>
            <w:pPr>
              <w:spacing w:after="0"/>
              <w:rPr>
                <w:rFonts w:ascii="Arial" w:cs="Arial" w:eastAsia="Arial" w:hAnsi="Arial"/>
                <w:sz w:val="16"/>
                <w:szCs w:val="16"/>
                <w:b w:val="1"/>
                <w:bCs w:val="1"/>
                <w:color w:val="0000FF"/>
              </w:rPr>
            </w:pPr>
            <w:hyperlink w:anchor="page7">
              <w:r>
                <w:rPr>
                  <w:rFonts w:ascii="Arial" w:cs="Arial" w:eastAsia="Arial" w:hAnsi="Arial"/>
                  <w:sz w:val="16"/>
                  <w:szCs w:val="16"/>
                  <w:b w:val="1"/>
                  <w:bCs w:val="1"/>
                  <w:color w:val="0000FF"/>
                </w:rPr>
                <w:t>Questions and Answers About Annual Meeting of Stockholders</w:t>
              </w:r>
            </w:hyperlink>
          </w:p>
        </w:tc>
        <w:tc>
          <w:tcPr>
            <w:tcW w:w="1580" w:type="dxa"/>
            <w:vAlign w:val="bottom"/>
            <w:gridSpan w:val="3"/>
          </w:tcPr>
          <w:p>
            <w:pPr>
              <w:spacing w:after="0"/>
              <w:rPr>
                <w:sz w:val="17"/>
                <w:szCs w:val="17"/>
                <w:color w:val="auto"/>
              </w:rPr>
            </w:pPr>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3</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880" w:type="dxa"/>
            <w:vAlign w:val="bottom"/>
            <w:gridSpan w:val="33"/>
          </w:tcPr>
          <w:p>
            <w:pPr>
              <w:spacing w:after="0"/>
              <w:rPr>
                <w:rFonts w:ascii="Arial" w:cs="Arial" w:eastAsia="Arial" w:hAnsi="Arial"/>
                <w:sz w:val="16"/>
                <w:szCs w:val="16"/>
                <w:b w:val="1"/>
                <w:bCs w:val="1"/>
                <w:color w:val="0000FF"/>
              </w:rPr>
            </w:pPr>
            <w:hyperlink w:anchor="page10">
              <w:r>
                <w:rPr>
                  <w:rFonts w:ascii="Arial" w:cs="Arial" w:eastAsia="Arial" w:hAnsi="Arial"/>
                  <w:sz w:val="16"/>
                  <w:szCs w:val="16"/>
                  <w:b w:val="1"/>
                  <w:bCs w:val="1"/>
                  <w:color w:val="0000FF"/>
                </w:rPr>
                <w:t>Proposals to be Voted On</w:t>
              </w:r>
            </w:hyperlink>
          </w:p>
        </w:tc>
        <w:tc>
          <w:tcPr>
            <w:tcW w:w="1580" w:type="dxa"/>
            <w:vAlign w:val="bottom"/>
            <w:gridSpan w:val="3"/>
          </w:tcPr>
          <w:p>
            <w:pPr>
              <w:spacing w:after="0"/>
              <w:rPr>
                <w:sz w:val="17"/>
                <w:szCs w:val="17"/>
                <w:color w:val="auto"/>
              </w:rPr>
            </w:pPr>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10">
              <w:r>
                <w:rPr>
                  <w:rFonts w:ascii="Arial" w:cs="Arial" w:eastAsia="Arial" w:hAnsi="Arial"/>
                  <w:sz w:val="16"/>
                  <w:szCs w:val="16"/>
                  <w:color w:val="0000FF"/>
                  <w:w w:val="89"/>
                </w:rPr>
                <w:t>7</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80" w:type="dxa"/>
            <w:vAlign w:val="bottom"/>
            <w:gridSpan w:val="15"/>
          </w:tcPr>
          <w:p>
            <w:pPr>
              <w:spacing w:after="0"/>
              <w:rPr>
                <w:rFonts w:ascii="Arial" w:cs="Arial" w:eastAsia="Arial" w:hAnsi="Arial"/>
                <w:sz w:val="16"/>
                <w:szCs w:val="16"/>
                <w:color w:val="0000FF"/>
                <w:w w:val="97"/>
              </w:rPr>
            </w:pPr>
            <w:hyperlink w:anchor="page11">
              <w:r>
                <w:rPr>
                  <w:rFonts w:ascii="Arial" w:cs="Arial" w:eastAsia="Arial" w:hAnsi="Arial"/>
                  <w:sz w:val="16"/>
                  <w:szCs w:val="16"/>
                  <w:color w:val="0000FF"/>
                  <w:w w:val="97"/>
                </w:rPr>
                <w:t>Proposal 1: Election of Directors</w:t>
              </w:r>
            </w:hyperlink>
          </w:p>
        </w:tc>
        <w:tc>
          <w:tcPr>
            <w:tcW w:w="4180" w:type="dxa"/>
            <w:vAlign w:val="bottom"/>
            <w:gridSpan w:val="21"/>
          </w:tcPr>
          <w:p>
            <w:pPr>
              <w:spacing w:after="0"/>
              <w:rPr>
                <w:sz w:val="17"/>
                <w:szCs w:val="17"/>
                <w:color w:val="auto"/>
              </w:rPr>
            </w:pPr>
          </w:p>
        </w:tc>
        <w:tc>
          <w:tcPr>
            <w:tcW w:w="2860" w:type="dxa"/>
            <w:vAlign w:val="bottom"/>
            <w:gridSpan w:val="2"/>
          </w:tcPr>
          <w:p>
            <w:pPr>
              <w:jc w:val="center"/>
              <w:ind w:left="2699"/>
              <w:spacing w:after="0"/>
              <w:rPr>
                <w:rFonts w:ascii="Arial" w:cs="Arial" w:eastAsia="Arial" w:hAnsi="Arial"/>
                <w:sz w:val="16"/>
                <w:szCs w:val="16"/>
                <w:color w:val="0000FF"/>
                <w:w w:val="89"/>
              </w:rPr>
            </w:pPr>
            <w:hyperlink w:anchor="page11">
              <w:r>
                <w:rPr>
                  <w:rFonts w:ascii="Arial" w:cs="Arial" w:eastAsia="Arial" w:hAnsi="Arial"/>
                  <w:sz w:val="16"/>
                  <w:szCs w:val="16"/>
                  <w:color w:val="0000FF"/>
                  <w:w w:val="89"/>
                </w:rPr>
                <w:t>7</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60" w:type="dxa"/>
            <w:vAlign w:val="bottom"/>
            <w:tcBorders>
              <w:bottom w:val="single" w:sz="8" w:color="0000FF"/>
            </w:tcBorders>
            <w:gridSpan w:val="36"/>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Proposal 2: Ratification of Appointment of Independent Registered Public Accounting Firm</w:t>
              </w:r>
            </w:hyperlink>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4">
              <w:r>
                <w:rPr>
                  <w:rFonts w:ascii="Arial" w:cs="Arial" w:eastAsia="Arial" w:hAnsi="Arial"/>
                  <w:sz w:val="15"/>
                  <w:szCs w:val="15"/>
                  <w:color w:val="0000FF"/>
                  <w:w w:val="71"/>
                </w:rPr>
                <w:t>11</w:t>
              </w:r>
            </w:hyperlink>
          </w:p>
        </w:tc>
        <w:tc>
          <w:tcPr>
            <w:tcW w:w="160" w:type="dxa"/>
            <w:vAlign w:val="bottom"/>
          </w:tcPr>
          <w:p>
            <w:pPr>
              <w:spacing w:after="0"/>
              <w:rPr>
                <w:sz w:val="17"/>
                <w:szCs w:val="17"/>
                <w:color w:val="auto"/>
              </w:rPr>
            </w:pPr>
          </w:p>
        </w:tc>
      </w:tr>
      <w:tr>
        <w:trPr>
          <w:trHeight w:val="196"/>
        </w:trPr>
        <w:tc>
          <w:tcPr>
            <w:tcW w:w="5560" w:type="dxa"/>
            <w:vAlign w:val="bottom"/>
            <w:tcBorders>
              <w:bottom w:val="single" w:sz="8" w:color="0000FF"/>
            </w:tcBorders>
            <w:gridSpan w:val="35"/>
          </w:tcPr>
          <w:p>
            <w:pPr>
              <w:spacing w:after="0"/>
              <w:rPr>
                <w:rFonts w:ascii="Arial" w:cs="Arial" w:eastAsia="Arial" w:hAnsi="Arial"/>
                <w:sz w:val="16"/>
                <w:szCs w:val="16"/>
                <w:b w:val="1"/>
                <w:bCs w:val="1"/>
                <w:color w:val="0000FF"/>
              </w:rPr>
            </w:pPr>
            <w:hyperlink w:anchor="page15">
              <w:r>
                <w:rPr>
                  <w:rFonts w:ascii="Arial" w:cs="Arial" w:eastAsia="Arial" w:hAnsi="Arial"/>
                  <w:sz w:val="16"/>
                  <w:szCs w:val="16"/>
                  <w:b w:val="1"/>
                  <w:bCs w:val="1"/>
                  <w:color w:val="0000FF"/>
                </w:rPr>
                <w:t>Independent Registered Public Accounting Firm Fees and Other Matters</w:t>
              </w:r>
            </w:hyperlink>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5">
              <w:r>
                <w:rPr>
                  <w:rFonts w:ascii="Arial" w:cs="Arial" w:eastAsia="Arial" w:hAnsi="Arial"/>
                  <w:sz w:val="15"/>
                  <w:szCs w:val="15"/>
                  <w:color w:val="0000FF"/>
                  <w:w w:val="71"/>
                </w:rPr>
                <w:t>11</w:t>
              </w:r>
            </w:hyperlink>
          </w:p>
        </w:tc>
        <w:tc>
          <w:tcPr>
            <w:tcW w:w="160" w:type="dxa"/>
            <w:vAlign w:val="bottom"/>
          </w:tcPr>
          <w:p>
            <w:pPr>
              <w:spacing w:after="0"/>
              <w:rPr>
                <w:sz w:val="17"/>
                <w:szCs w:val="17"/>
                <w:color w:val="auto"/>
              </w:rPr>
            </w:pPr>
          </w:p>
        </w:tc>
      </w:tr>
      <w:tr>
        <w:trPr>
          <w:trHeight w:val="196"/>
        </w:trPr>
        <w:tc>
          <w:tcPr>
            <w:tcW w:w="780" w:type="dxa"/>
            <w:vAlign w:val="bottom"/>
            <w:tcBorders>
              <w:bottom w:val="single" w:sz="8" w:color="0000FF"/>
            </w:tcBorders>
            <w:gridSpan w:val="3"/>
          </w:tcPr>
          <w:p>
            <w:pPr>
              <w:spacing w:after="0"/>
              <w:rPr>
                <w:rFonts w:ascii="Arial" w:cs="Arial" w:eastAsia="Arial" w:hAnsi="Arial"/>
                <w:sz w:val="16"/>
                <w:szCs w:val="16"/>
                <w:color w:val="0000FF"/>
                <w:w w:val="99"/>
              </w:rPr>
            </w:pPr>
            <w:hyperlink w:anchor="page15">
              <w:r>
                <w:rPr>
                  <w:rFonts w:ascii="Arial" w:cs="Arial" w:eastAsia="Arial" w:hAnsi="Arial"/>
                  <w:sz w:val="16"/>
                  <w:szCs w:val="16"/>
                  <w:color w:val="0000FF"/>
                  <w:w w:val="99"/>
                </w:rPr>
                <w:t>Audit Fees</w:t>
              </w:r>
            </w:hyperlink>
          </w:p>
        </w:tc>
        <w:tc>
          <w:tcPr>
            <w:tcW w:w="5680" w:type="dxa"/>
            <w:vAlign w:val="bottom"/>
            <w:gridSpan w:val="33"/>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5">
              <w:r>
                <w:rPr>
                  <w:rFonts w:ascii="Arial" w:cs="Arial" w:eastAsia="Arial" w:hAnsi="Arial"/>
                  <w:sz w:val="15"/>
                  <w:szCs w:val="15"/>
                  <w:color w:val="0000FF"/>
                  <w:w w:val="71"/>
                </w:rPr>
                <w:t>11</w:t>
              </w:r>
            </w:hyperlink>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Audit Committee Pre-Approval of Audit and Non-Audit Services</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15">
              <w:r>
                <w:rPr>
                  <w:rFonts w:ascii="Arial" w:cs="Arial" w:eastAsia="Arial" w:hAnsi="Arial"/>
                  <w:sz w:val="16"/>
                  <w:szCs w:val="16"/>
                  <w:color w:val="0000FF"/>
                </w:rPr>
                <w:t>12</w:t>
              </w:r>
            </w:hyperlink>
          </w:p>
        </w:tc>
        <w:tc>
          <w:tcPr>
            <w:tcW w:w="160" w:type="dxa"/>
            <w:vAlign w:val="bottom"/>
          </w:tcPr>
          <w:p>
            <w:pPr>
              <w:spacing w:after="0"/>
              <w:rPr>
                <w:sz w:val="17"/>
                <w:szCs w:val="17"/>
                <w:color w:val="auto"/>
              </w:rPr>
            </w:pPr>
          </w:p>
        </w:tc>
      </w:tr>
      <w:tr>
        <w:trPr>
          <w:trHeight w:val="196"/>
        </w:trPr>
        <w:tc>
          <w:tcPr>
            <w:tcW w:w="4520" w:type="dxa"/>
            <w:vAlign w:val="bottom"/>
            <w:tcBorders>
              <w:top w:val="single" w:sz="8" w:color="0000FF"/>
            </w:tcBorders>
            <w:gridSpan w:val="32"/>
          </w:tcPr>
          <w:p>
            <w:pPr>
              <w:spacing w:after="0"/>
              <w:rPr>
                <w:rFonts w:ascii="Arial" w:cs="Arial" w:eastAsia="Arial" w:hAnsi="Arial"/>
                <w:sz w:val="16"/>
                <w:szCs w:val="16"/>
                <w:b w:val="1"/>
                <w:bCs w:val="1"/>
                <w:color w:val="0000FF"/>
              </w:rPr>
            </w:pPr>
            <w:hyperlink w:anchor="page16">
              <w:r>
                <w:rPr>
                  <w:rFonts w:ascii="Arial" w:cs="Arial" w:eastAsia="Arial" w:hAnsi="Arial"/>
                  <w:sz w:val="16"/>
                  <w:szCs w:val="16"/>
                  <w:b w:val="1"/>
                  <w:bCs w:val="1"/>
                  <w:color w:val="0000FF"/>
                </w:rPr>
                <w:t>Report of the Audit Committee of the Board</w:t>
              </w:r>
            </w:hyperlink>
          </w:p>
        </w:tc>
        <w:tc>
          <w:tcPr>
            <w:tcW w:w="1940" w:type="dxa"/>
            <w:vAlign w:val="bottom"/>
            <w:gridSpan w:val="4"/>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16">
              <w:r>
                <w:rPr>
                  <w:rFonts w:ascii="Arial" w:cs="Arial" w:eastAsia="Arial" w:hAnsi="Arial"/>
                  <w:sz w:val="15"/>
                  <w:szCs w:val="15"/>
                  <w:color w:val="0000FF"/>
                  <w:w w:val="71"/>
                </w:rPr>
                <w:t>13</w:t>
              </w:r>
            </w:hyperlink>
          </w:p>
        </w:tc>
        <w:tc>
          <w:tcPr>
            <w:tcW w:w="160" w:type="dxa"/>
            <w:vAlign w:val="bottom"/>
          </w:tcPr>
          <w:p>
            <w:pPr>
              <w:spacing w:after="0"/>
              <w:rPr>
                <w:sz w:val="17"/>
                <w:szCs w:val="17"/>
                <w:color w:val="auto"/>
              </w:rPr>
            </w:pPr>
          </w:p>
        </w:tc>
      </w:tr>
      <w:tr>
        <w:trPr>
          <w:trHeight w:val="196"/>
        </w:trPr>
        <w:tc>
          <w:tcPr>
            <w:tcW w:w="1420" w:type="dxa"/>
            <w:vAlign w:val="bottom"/>
            <w:tcBorders>
              <w:top w:val="single" w:sz="8" w:color="0000FF"/>
              <w:bottom w:val="single" w:sz="8" w:color="0000FF"/>
            </w:tcBorders>
            <w:gridSpan w:val="7"/>
          </w:tcPr>
          <w:p>
            <w:pPr>
              <w:spacing w:after="0"/>
              <w:rPr>
                <w:rFonts w:ascii="Arial" w:cs="Arial" w:eastAsia="Arial" w:hAnsi="Arial"/>
                <w:sz w:val="16"/>
                <w:szCs w:val="16"/>
                <w:b w:val="1"/>
                <w:bCs w:val="1"/>
                <w:color w:val="0000FF"/>
              </w:rPr>
            </w:pPr>
            <w:hyperlink w:anchor="page17">
              <w:r>
                <w:rPr>
                  <w:rFonts w:ascii="Arial" w:cs="Arial" w:eastAsia="Arial" w:hAnsi="Arial"/>
                  <w:sz w:val="16"/>
                  <w:szCs w:val="16"/>
                  <w:b w:val="1"/>
                  <w:bCs w:val="1"/>
                  <w:color w:val="0000FF"/>
                </w:rPr>
                <w:t>Executive Officers</w:t>
              </w:r>
            </w:hyperlink>
          </w:p>
        </w:tc>
        <w:tc>
          <w:tcPr>
            <w:tcW w:w="1920" w:type="dxa"/>
            <w:vAlign w:val="bottom"/>
            <w:tcBorders>
              <w:top w:val="single" w:sz="8" w:color="0000FF"/>
            </w:tcBorders>
            <w:gridSpan w:val="14"/>
          </w:tcPr>
          <w:p>
            <w:pPr>
              <w:spacing w:after="0"/>
              <w:rPr>
                <w:sz w:val="17"/>
                <w:szCs w:val="17"/>
                <w:color w:val="auto"/>
              </w:rPr>
            </w:pPr>
          </w:p>
        </w:tc>
        <w:tc>
          <w:tcPr>
            <w:tcW w:w="3120" w:type="dxa"/>
            <w:vAlign w:val="bottom"/>
            <w:gridSpan w:val="1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17">
              <w:r>
                <w:rPr>
                  <w:rFonts w:ascii="Arial" w:cs="Arial" w:eastAsia="Arial" w:hAnsi="Arial"/>
                  <w:sz w:val="15"/>
                  <w:szCs w:val="15"/>
                  <w:color w:val="0000FF"/>
                  <w:w w:val="71"/>
                </w:rPr>
                <w:t>14</w:t>
              </w:r>
            </w:hyperlink>
          </w:p>
        </w:tc>
        <w:tc>
          <w:tcPr>
            <w:tcW w:w="160" w:type="dxa"/>
            <w:vAlign w:val="bottom"/>
          </w:tcPr>
          <w:p>
            <w:pPr>
              <w:spacing w:after="0"/>
              <w:rPr>
                <w:sz w:val="17"/>
                <w:szCs w:val="17"/>
                <w:color w:val="auto"/>
              </w:rPr>
            </w:pPr>
          </w:p>
        </w:tc>
      </w:tr>
      <w:tr>
        <w:trPr>
          <w:trHeight w:val="196"/>
        </w:trPr>
        <w:tc>
          <w:tcPr>
            <w:tcW w:w="1760" w:type="dxa"/>
            <w:vAlign w:val="bottom"/>
            <w:tcBorders>
              <w:bottom w:val="single" w:sz="8" w:color="0000FF"/>
            </w:tcBorders>
            <w:gridSpan w:val="11"/>
          </w:tcPr>
          <w:p>
            <w:pPr>
              <w:spacing w:after="0"/>
              <w:rPr>
                <w:rFonts w:ascii="Arial" w:cs="Arial" w:eastAsia="Arial" w:hAnsi="Arial"/>
                <w:sz w:val="16"/>
                <w:szCs w:val="16"/>
                <w:b w:val="1"/>
                <w:bCs w:val="1"/>
                <w:color w:val="0000FF"/>
              </w:rPr>
            </w:pPr>
            <w:hyperlink w:anchor="page18">
              <w:r>
                <w:rPr>
                  <w:rFonts w:ascii="Arial" w:cs="Arial" w:eastAsia="Arial" w:hAnsi="Arial"/>
                  <w:sz w:val="16"/>
                  <w:szCs w:val="16"/>
                  <w:b w:val="1"/>
                  <w:bCs w:val="1"/>
                  <w:color w:val="0000FF"/>
                </w:rPr>
                <w:t>Corporate Governance</w:t>
              </w:r>
            </w:hyperlink>
          </w:p>
        </w:tc>
        <w:tc>
          <w:tcPr>
            <w:tcW w:w="4700" w:type="dxa"/>
            <w:vAlign w:val="bottom"/>
            <w:gridSpan w:val="2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8">
              <w:r>
                <w:rPr>
                  <w:rFonts w:ascii="Arial" w:cs="Arial" w:eastAsia="Arial" w:hAnsi="Arial"/>
                  <w:sz w:val="15"/>
                  <w:szCs w:val="15"/>
                  <w:color w:val="0000FF"/>
                  <w:w w:val="71"/>
                </w:rPr>
                <w:t>14</w:t>
              </w:r>
            </w:hyperlink>
          </w:p>
        </w:tc>
        <w:tc>
          <w:tcPr>
            <w:tcW w:w="160" w:type="dxa"/>
            <w:vAlign w:val="bottom"/>
          </w:tcPr>
          <w:p>
            <w:pPr>
              <w:spacing w:after="0"/>
              <w:rPr>
                <w:sz w:val="17"/>
                <w:szCs w:val="17"/>
                <w:color w:val="auto"/>
              </w:rPr>
            </w:pPr>
          </w:p>
        </w:tc>
      </w:tr>
      <w:tr>
        <w:trPr>
          <w:trHeight w:val="196"/>
        </w:trPr>
        <w:tc>
          <w:tcPr>
            <w:tcW w:w="600" w:type="dxa"/>
            <w:vAlign w:val="bottom"/>
            <w:tcBorders>
              <w:bottom w:val="single" w:sz="8" w:color="0000FF"/>
            </w:tcBorders>
          </w:tcPr>
          <w:p>
            <w:pPr>
              <w:spacing w:after="0"/>
              <w:rPr>
                <w:rFonts w:ascii="Arial" w:cs="Arial" w:eastAsia="Arial" w:hAnsi="Arial"/>
                <w:sz w:val="16"/>
                <w:szCs w:val="16"/>
                <w:color w:val="0000FF"/>
                <w:w w:val="98"/>
              </w:rPr>
            </w:pPr>
            <w:hyperlink w:anchor="page18">
              <w:r>
                <w:rPr>
                  <w:rFonts w:ascii="Arial" w:cs="Arial" w:eastAsia="Arial" w:hAnsi="Arial"/>
                  <w:sz w:val="16"/>
                  <w:szCs w:val="16"/>
                  <w:color w:val="0000FF"/>
                  <w:w w:val="98"/>
                </w:rPr>
                <w:t>General</w:t>
              </w:r>
            </w:hyperlink>
          </w:p>
        </w:tc>
        <w:tc>
          <w:tcPr>
            <w:tcW w:w="5860" w:type="dxa"/>
            <w:vAlign w:val="bottom"/>
            <w:gridSpan w:val="3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8">
              <w:r>
                <w:rPr>
                  <w:rFonts w:ascii="Arial" w:cs="Arial" w:eastAsia="Arial" w:hAnsi="Arial"/>
                  <w:sz w:val="15"/>
                  <w:szCs w:val="15"/>
                  <w:color w:val="0000FF"/>
                  <w:w w:val="71"/>
                </w:rPr>
                <w:t>14</w:t>
              </w:r>
            </w:hyperlink>
          </w:p>
        </w:tc>
        <w:tc>
          <w:tcPr>
            <w:tcW w:w="160" w:type="dxa"/>
            <w:vAlign w:val="bottom"/>
          </w:tcPr>
          <w:p>
            <w:pPr>
              <w:spacing w:after="0"/>
              <w:rPr>
                <w:sz w:val="17"/>
                <w:szCs w:val="17"/>
                <w:color w:val="auto"/>
              </w:rPr>
            </w:pPr>
          </w:p>
        </w:tc>
      </w:tr>
      <w:tr>
        <w:trPr>
          <w:trHeight w:val="196"/>
        </w:trPr>
        <w:tc>
          <w:tcPr>
            <w:tcW w:w="1640" w:type="dxa"/>
            <w:vAlign w:val="bottom"/>
            <w:tcBorders>
              <w:bottom w:val="single" w:sz="8" w:color="0000FF"/>
            </w:tcBorders>
            <w:gridSpan w:val="8"/>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Director Independence</w:t>
              </w:r>
            </w:hyperlink>
          </w:p>
        </w:tc>
        <w:tc>
          <w:tcPr>
            <w:tcW w:w="4820" w:type="dxa"/>
            <w:vAlign w:val="bottom"/>
            <w:gridSpan w:val="28"/>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9">
              <w:r>
                <w:rPr>
                  <w:rFonts w:ascii="Arial" w:cs="Arial" w:eastAsia="Arial" w:hAnsi="Arial"/>
                  <w:sz w:val="15"/>
                  <w:szCs w:val="15"/>
                  <w:color w:val="0000FF"/>
                  <w:w w:val="71"/>
                </w:rPr>
                <w:t>15</w:t>
              </w:r>
            </w:hyperlink>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Board Diversity and Director Nomination Process</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19">
              <w:r>
                <w:rPr>
                  <w:rFonts w:ascii="Arial" w:cs="Arial" w:eastAsia="Arial" w:hAnsi="Arial"/>
                  <w:sz w:val="16"/>
                  <w:szCs w:val="16"/>
                  <w:color w:val="0000FF"/>
                </w:rPr>
                <w:t>15</w:t>
              </w:r>
            </w:hyperlink>
          </w:p>
        </w:tc>
        <w:tc>
          <w:tcPr>
            <w:tcW w:w="160" w:type="dxa"/>
            <w:vAlign w:val="bottom"/>
          </w:tcPr>
          <w:p>
            <w:pPr>
              <w:spacing w:after="0"/>
              <w:rPr>
                <w:sz w:val="17"/>
                <w:szCs w:val="17"/>
                <w:color w:val="auto"/>
              </w:rPr>
            </w:pPr>
          </w:p>
        </w:tc>
      </w:tr>
      <w:tr>
        <w:trPr>
          <w:trHeight w:val="20"/>
        </w:trPr>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3920" w:type="dxa"/>
            <w:vAlign w:val="bottom"/>
            <w:tcBorders>
              <w:bottom w:val="single" w:sz="8" w:color="0000FF"/>
            </w:tcBorders>
            <w:gridSpan w:val="28"/>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Identification and Evaluation of Nominees for Directors</w:t>
              </w:r>
            </w:hyperlink>
          </w:p>
        </w:tc>
        <w:tc>
          <w:tcPr>
            <w:tcW w:w="2540" w:type="dxa"/>
            <w:vAlign w:val="bottom"/>
            <w:gridSpan w:val="8"/>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0">
              <w:r>
                <w:rPr>
                  <w:rFonts w:ascii="Arial" w:cs="Arial" w:eastAsia="Arial" w:hAnsi="Arial"/>
                  <w:sz w:val="15"/>
                  <w:szCs w:val="15"/>
                  <w:color w:val="0000FF"/>
                  <w:w w:val="71"/>
                </w:rPr>
                <w:t>16</w:t>
              </w:r>
            </w:hyperlink>
          </w:p>
        </w:tc>
        <w:tc>
          <w:tcPr>
            <w:tcW w:w="160" w:type="dxa"/>
            <w:vAlign w:val="bottom"/>
          </w:tcPr>
          <w:p>
            <w:pPr>
              <w:spacing w:after="0"/>
              <w:rPr>
                <w:sz w:val="17"/>
                <w:szCs w:val="17"/>
                <w:color w:val="auto"/>
              </w:rPr>
            </w:pPr>
          </w:p>
        </w:tc>
      </w:tr>
      <w:tr>
        <w:trPr>
          <w:trHeight w:val="196"/>
        </w:trPr>
        <w:tc>
          <w:tcPr>
            <w:tcW w:w="2560" w:type="dxa"/>
            <w:vAlign w:val="bottom"/>
            <w:tcBorders>
              <w:bottom w:val="single" w:sz="8" w:color="0000FF"/>
            </w:tcBorders>
            <w:gridSpan w:val="17"/>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Communications from Stockholders</w:t>
              </w:r>
            </w:hyperlink>
          </w:p>
        </w:tc>
        <w:tc>
          <w:tcPr>
            <w:tcW w:w="3900" w:type="dxa"/>
            <w:vAlign w:val="bottom"/>
            <w:gridSpan w:val="19"/>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1">
              <w:r>
                <w:rPr>
                  <w:rFonts w:ascii="Arial" w:cs="Arial" w:eastAsia="Arial" w:hAnsi="Arial"/>
                  <w:sz w:val="15"/>
                  <w:szCs w:val="15"/>
                  <w:color w:val="0000FF"/>
                  <w:w w:val="71"/>
                </w:rPr>
                <w:t>17</w:t>
              </w:r>
            </w:hyperlink>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Director Attendance at Annual Meetings</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21">
              <w:r>
                <w:rPr>
                  <w:rFonts w:ascii="Arial" w:cs="Arial" w:eastAsia="Arial" w:hAnsi="Arial"/>
                  <w:sz w:val="16"/>
                  <w:szCs w:val="16"/>
                  <w:color w:val="0000FF"/>
                </w:rPr>
                <w:t>17</w:t>
              </w:r>
            </w:hyperlink>
          </w:p>
        </w:tc>
        <w:tc>
          <w:tcPr>
            <w:tcW w:w="160" w:type="dxa"/>
            <w:vAlign w:val="bottom"/>
          </w:tcPr>
          <w:p>
            <w:pPr>
              <w:spacing w:after="0"/>
              <w:rPr>
                <w:sz w:val="17"/>
                <w:szCs w:val="17"/>
                <w:color w:val="auto"/>
              </w:rPr>
            </w:pPr>
          </w:p>
        </w:tc>
      </w:tr>
      <w:tr>
        <w:trPr>
          <w:trHeight w:val="20"/>
        </w:trPr>
        <w:tc>
          <w:tcPr>
            <w:tcW w:w="1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6460" w:type="dxa"/>
            <w:vAlign w:val="bottom"/>
            <w:gridSpan w:val="36"/>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Board Leadership Structure and Role in Risk Oversight</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21">
              <w:r>
                <w:rPr>
                  <w:rFonts w:ascii="Arial" w:cs="Arial" w:eastAsia="Arial" w:hAnsi="Arial"/>
                  <w:sz w:val="16"/>
                  <w:szCs w:val="16"/>
                  <w:color w:val="0000FF"/>
                </w:rPr>
                <w:t>17</w:t>
              </w:r>
            </w:hyperlink>
          </w:p>
        </w:tc>
        <w:tc>
          <w:tcPr>
            <w:tcW w:w="160" w:type="dxa"/>
            <w:vAlign w:val="bottom"/>
          </w:tcPr>
          <w:p>
            <w:pPr>
              <w:spacing w:after="0"/>
              <w:rPr>
                <w:sz w:val="17"/>
                <w:szCs w:val="17"/>
                <w:color w:val="auto"/>
              </w:rPr>
            </w:pPr>
          </w:p>
        </w:tc>
      </w:tr>
      <w:tr>
        <w:trPr>
          <w:trHeight w:val="196"/>
        </w:trPr>
        <w:tc>
          <w:tcPr>
            <w:tcW w:w="3940" w:type="dxa"/>
            <w:vAlign w:val="bottom"/>
            <w:tcBorders>
              <w:top w:val="single" w:sz="8" w:color="0000FF"/>
            </w:tcBorders>
            <w:gridSpan w:val="29"/>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Annual Board Evaluation</w:t>
              </w:r>
            </w:hyperlink>
          </w:p>
        </w:tc>
        <w:tc>
          <w:tcPr>
            <w:tcW w:w="2520" w:type="dxa"/>
            <w:vAlign w:val="bottom"/>
            <w:gridSpan w:val="7"/>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18</w:t>
              </w:r>
            </w:hyperlink>
          </w:p>
        </w:tc>
        <w:tc>
          <w:tcPr>
            <w:tcW w:w="160" w:type="dxa"/>
            <w:vAlign w:val="bottom"/>
          </w:tcPr>
          <w:p>
            <w:pPr>
              <w:spacing w:after="0"/>
              <w:rPr>
                <w:sz w:val="17"/>
                <w:szCs w:val="17"/>
                <w:color w:val="auto"/>
              </w:rPr>
            </w:pPr>
          </w:p>
        </w:tc>
      </w:tr>
      <w:tr>
        <w:trPr>
          <w:trHeight w:val="196"/>
        </w:trPr>
        <w:tc>
          <w:tcPr>
            <w:tcW w:w="1080" w:type="dxa"/>
            <w:vAlign w:val="bottom"/>
            <w:tcBorders>
              <w:top w:val="single" w:sz="8" w:color="0000FF"/>
              <w:bottom w:val="single" w:sz="8" w:color="0000FF"/>
            </w:tcBorders>
            <w:gridSpan w:val="5"/>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Code of Ethics</w:t>
              </w:r>
            </w:hyperlink>
          </w:p>
        </w:tc>
        <w:tc>
          <w:tcPr>
            <w:tcW w:w="700" w:type="dxa"/>
            <w:vAlign w:val="bottom"/>
            <w:tcBorders>
              <w:top w:val="single" w:sz="8" w:color="0000FF"/>
            </w:tcBorders>
            <w:gridSpan w:val="7"/>
          </w:tcPr>
          <w:p>
            <w:pPr>
              <w:spacing w:after="0"/>
              <w:rPr>
                <w:sz w:val="17"/>
                <w:szCs w:val="17"/>
                <w:color w:val="auto"/>
              </w:rPr>
            </w:pPr>
          </w:p>
        </w:tc>
        <w:tc>
          <w:tcPr>
            <w:tcW w:w="4680" w:type="dxa"/>
            <w:vAlign w:val="bottom"/>
            <w:gridSpan w:val="24"/>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18</w:t>
              </w:r>
            </w:hyperlink>
          </w:p>
        </w:tc>
        <w:tc>
          <w:tcPr>
            <w:tcW w:w="160" w:type="dxa"/>
            <w:vAlign w:val="bottom"/>
          </w:tcPr>
          <w:p>
            <w:pPr>
              <w:spacing w:after="0"/>
              <w:rPr>
                <w:sz w:val="17"/>
                <w:szCs w:val="17"/>
                <w:color w:val="auto"/>
              </w:rPr>
            </w:pPr>
          </w:p>
        </w:tc>
      </w:tr>
      <w:tr>
        <w:trPr>
          <w:trHeight w:val="196"/>
        </w:trPr>
        <w:tc>
          <w:tcPr>
            <w:tcW w:w="1960" w:type="dxa"/>
            <w:vAlign w:val="bottom"/>
            <w:tcBorders>
              <w:bottom w:val="single" w:sz="8" w:color="0000FF"/>
            </w:tcBorders>
            <w:gridSpan w:val="14"/>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Policy Prohibiting Hedging</w:t>
              </w:r>
            </w:hyperlink>
          </w:p>
        </w:tc>
        <w:tc>
          <w:tcPr>
            <w:tcW w:w="4500" w:type="dxa"/>
            <w:vAlign w:val="bottom"/>
            <w:gridSpan w:val="22"/>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18</w:t>
              </w:r>
            </w:hyperlink>
          </w:p>
        </w:tc>
        <w:tc>
          <w:tcPr>
            <w:tcW w:w="160" w:type="dxa"/>
            <w:vAlign w:val="bottom"/>
          </w:tcPr>
          <w:p>
            <w:pPr>
              <w:spacing w:after="0"/>
              <w:rPr>
                <w:sz w:val="17"/>
                <w:szCs w:val="17"/>
                <w:color w:val="auto"/>
              </w:rPr>
            </w:pPr>
          </w:p>
        </w:tc>
      </w:tr>
      <w:tr>
        <w:trPr>
          <w:trHeight w:val="196"/>
        </w:trPr>
        <w:tc>
          <w:tcPr>
            <w:tcW w:w="4440" w:type="dxa"/>
            <w:vAlign w:val="bottom"/>
            <w:tcBorders>
              <w:bottom w:val="single" w:sz="8" w:color="0000FF"/>
            </w:tcBorders>
            <w:gridSpan w:val="31"/>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Attendance by Members of the Board of Directors at Meetings</w:t>
              </w:r>
            </w:hyperlink>
          </w:p>
        </w:tc>
        <w:tc>
          <w:tcPr>
            <w:tcW w:w="2020" w:type="dxa"/>
            <w:vAlign w:val="bottom"/>
            <w:gridSpan w:val="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18</w:t>
              </w:r>
            </w:hyperlink>
          </w:p>
        </w:tc>
        <w:tc>
          <w:tcPr>
            <w:tcW w:w="160" w:type="dxa"/>
            <w:vAlign w:val="bottom"/>
          </w:tcPr>
          <w:p>
            <w:pPr>
              <w:spacing w:after="0"/>
              <w:rPr>
                <w:sz w:val="17"/>
                <w:szCs w:val="17"/>
                <w:color w:val="auto"/>
              </w:rPr>
            </w:pPr>
          </w:p>
        </w:tc>
      </w:tr>
      <w:tr>
        <w:trPr>
          <w:trHeight w:val="196"/>
        </w:trPr>
        <w:tc>
          <w:tcPr>
            <w:tcW w:w="3400" w:type="dxa"/>
            <w:vAlign w:val="bottom"/>
            <w:tcBorders>
              <w:bottom w:val="single" w:sz="8" w:color="0000FF"/>
            </w:tcBorders>
            <w:gridSpan w:val="22"/>
          </w:tcPr>
          <w:p>
            <w:pPr>
              <w:spacing w:after="0"/>
              <w:rPr>
                <w:rFonts w:ascii="Arial" w:cs="Arial" w:eastAsia="Arial" w:hAnsi="Arial"/>
                <w:sz w:val="16"/>
                <w:szCs w:val="16"/>
                <w:b w:val="1"/>
                <w:bCs w:val="1"/>
                <w:color w:val="0000FF"/>
              </w:rPr>
            </w:pPr>
            <w:hyperlink w:anchor="page22">
              <w:r>
                <w:rPr>
                  <w:rFonts w:ascii="Arial" w:cs="Arial" w:eastAsia="Arial" w:hAnsi="Arial"/>
                  <w:sz w:val="16"/>
                  <w:szCs w:val="16"/>
                  <w:b w:val="1"/>
                  <w:bCs w:val="1"/>
                  <w:color w:val="0000FF"/>
                </w:rPr>
                <w:t>Committees of the Board and Independence</w:t>
              </w:r>
            </w:hyperlink>
          </w:p>
        </w:tc>
        <w:tc>
          <w:tcPr>
            <w:tcW w:w="3060" w:type="dxa"/>
            <w:vAlign w:val="bottom"/>
            <w:gridSpan w:val="14"/>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18</w:t>
              </w:r>
            </w:hyperlink>
          </w:p>
        </w:tc>
        <w:tc>
          <w:tcPr>
            <w:tcW w:w="160" w:type="dxa"/>
            <w:vAlign w:val="bottom"/>
          </w:tcPr>
          <w:p>
            <w:pPr>
              <w:spacing w:after="0"/>
              <w:rPr>
                <w:sz w:val="17"/>
                <w:szCs w:val="17"/>
                <w:color w:val="auto"/>
              </w:rPr>
            </w:pPr>
          </w:p>
        </w:tc>
      </w:tr>
      <w:tr>
        <w:trPr>
          <w:trHeight w:val="196"/>
        </w:trPr>
        <w:tc>
          <w:tcPr>
            <w:tcW w:w="1200" w:type="dxa"/>
            <w:vAlign w:val="bottom"/>
            <w:tcBorders>
              <w:bottom w:val="single" w:sz="8" w:color="0000FF"/>
            </w:tcBorders>
            <w:gridSpan w:val="6"/>
          </w:tcPr>
          <w:p>
            <w:pPr>
              <w:spacing w:after="0"/>
              <w:rPr>
                <w:rFonts w:ascii="Arial" w:cs="Arial" w:eastAsia="Arial" w:hAnsi="Arial"/>
                <w:sz w:val="16"/>
                <w:szCs w:val="16"/>
                <w:color w:val="0000FF"/>
                <w:w w:val="99"/>
              </w:rPr>
            </w:pPr>
            <w:hyperlink w:anchor="page23">
              <w:r>
                <w:rPr>
                  <w:rFonts w:ascii="Arial" w:cs="Arial" w:eastAsia="Arial" w:hAnsi="Arial"/>
                  <w:sz w:val="16"/>
                  <w:szCs w:val="16"/>
                  <w:color w:val="0000FF"/>
                  <w:w w:val="99"/>
                </w:rPr>
                <w:t>Audit Committee</w:t>
              </w:r>
            </w:hyperlink>
          </w:p>
        </w:tc>
        <w:tc>
          <w:tcPr>
            <w:tcW w:w="5260" w:type="dxa"/>
            <w:vAlign w:val="bottom"/>
            <w:gridSpan w:val="30"/>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19</w:t>
              </w:r>
            </w:hyperlink>
          </w:p>
        </w:tc>
        <w:tc>
          <w:tcPr>
            <w:tcW w:w="160" w:type="dxa"/>
            <w:vAlign w:val="bottom"/>
          </w:tcPr>
          <w:p>
            <w:pPr>
              <w:spacing w:after="0"/>
              <w:rPr>
                <w:sz w:val="17"/>
                <w:szCs w:val="17"/>
                <w:color w:val="auto"/>
              </w:rPr>
            </w:pPr>
          </w:p>
        </w:tc>
      </w:tr>
      <w:tr>
        <w:trPr>
          <w:trHeight w:val="196"/>
        </w:trPr>
        <w:tc>
          <w:tcPr>
            <w:tcW w:w="1880" w:type="dxa"/>
            <w:vAlign w:val="bottom"/>
            <w:tcBorders>
              <w:bottom w:val="single" w:sz="8" w:color="0000FF"/>
            </w:tcBorders>
            <w:gridSpan w:val="13"/>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Compensation Committee</w:t>
              </w:r>
            </w:hyperlink>
          </w:p>
        </w:tc>
        <w:tc>
          <w:tcPr>
            <w:tcW w:w="4580" w:type="dxa"/>
            <w:vAlign w:val="bottom"/>
            <w:gridSpan w:val="23"/>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4">
              <w:r>
                <w:rPr>
                  <w:rFonts w:ascii="Arial" w:cs="Arial" w:eastAsia="Arial" w:hAnsi="Arial"/>
                  <w:sz w:val="15"/>
                  <w:szCs w:val="15"/>
                  <w:color w:val="0000FF"/>
                  <w:w w:val="71"/>
                </w:rPr>
                <w:t>20</w:t>
              </w:r>
            </w:hyperlink>
          </w:p>
        </w:tc>
        <w:tc>
          <w:tcPr>
            <w:tcW w:w="160" w:type="dxa"/>
            <w:vAlign w:val="bottom"/>
          </w:tcPr>
          <w:p>
            <w:pPr>
              <w:spacing w:after="0"/>
              <w:rPr>
                <w:sz w:val="17"/>
                <w:szCs w:val="17"/>
                <w:color w:val="auto"/>
              </w:rPr>
            </w:pPr>
          </w:p>
        </w:tc>
      </w:tr>
      <w:tr>
        <w:trPr>
          <w:trHeight w:val="196"/>
        </w:trPr>
        <w:tc>
          <w:tcPr>
            <w:tcW w:w="3660" w:type="dxa"/>
            <w:vAlign w:val="bottom"/>
            <w:tcBorders>
              <w:bottom w:val="single" w:sz="8" w:color="0000FF"/>
            </w:tcBorders>
            <w:gridSpan w:val="25"/>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Nominating and Corporate Governance Committee</w:t>
              </w:r>
            </w:hyperlink>
          </w:p>
        </w:tc>
        <w:tc>
          <w:tcPr>
            <w:tcW w:w="2800" w:type="dxa"/>
            <w:vAlign w:val="bottom"/>
            <w:gridSpan w:val="11"/>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4">
              <w:r>
                <w:rPr>
                  <w:rFonts w:ascii="Arial" w:cs="Arial" w:eastAsia="Arial" w:hAnsi="Arial"/>
                  <w:sz w:val="15"/>
                  <w:szCs w:val="15"/>
                  <w:color w:val="0000FF"/>
                  <w:w w:val="71"/>
                </w:rPr>
                <w:t>20</w:t>
              </w:r>
            </w:hyperlink>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rFonts w:ascii="Arial" w:cs="Arial" w:eastAsia="Arial" w:hAnsi="Arial"/>
                <w:sz w:val="16"/>
                <w:szCs w:val="16"/>
                <w:b w:val="1"/>
                <w:bCs w:val="1"/>
                <w:color w:val="0000FF"/>
              </w:rPr>
            </w:pPr>
            <w:hyperlink w:anchor="page25">
              <w:r>
                <w:rPr>
                  <w:rFonts w:ascii="Arial" w:cs="Arial" w:eastAsia="Arial" w:hAnsi="Arial"/>
                  <w:sz w:val="16"/>
                  <w:szCs w:val="16"/>
                  <w:b w:val="1"/>
                  <w:bCs w:val="1"/>
                  <w:color w:val="0000FF"/>
                </w:rPr>
                <w:t>Environmental, Social and Governance Matters</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25">
              <w:r>
                <w:rPr>
                  <w:rFonts w:ascii="Arial" w:cs="Arial" w:eastAsia="Arial" w:hAnsi="Arial"/>
                  <w:sz w:val="16"/>
                  <w:szCs w:val="16"/>
                  <w:color w:val="0000FF"/>
                </w:rPr>
                <w:t>21</w:t>
              </w:r>
            </w:hyperlink>
          </w:p>
        </w:tc>
        <w:tc>
          <w:tcPr>
            <w:tcW w:w="160" w:type="dxa"/>
            <w:vAlign w:val="bottom"/>
          </w:tcPr>
          <w:p>
            <w:pPr>
              <w:spacing w:after="0"/>
              <w:rPr>
                <w:sz w:val="17"/>
                <w:szCs w:val="17"/>
                <w:color w:val="auto"/>
              </w:rPr>
            </w:pPr>
          </w:p>
        </w:tc>
      </w:tr>
      <w:tr>
        <w:trPr>
          <w:trHeight w:val="196"/>
        </w:trPr>
        <w:tc>
          <w:tcPr>
            <w:tcW w:w="3620" w:type="dxa"/>
            <w:vAlign w:val="bottom"/>
            <w:tcBorders>
              <w:top w:val="single" w:sz="8" w:color="0000FF"/>
            </w:tcBorders>
            <w:gridSpan w:val="24"/>
          </w:tcPr>
          <w:p>
            <w:pPr>
              <w:spacing w:after="0"/>
              <w:rPr>
                <w:rFonts w:ascii="Arial" w:cs="Arial" w:eastAsia="Arial" w:hAnsi="Arial"/>
                <w:sz w:val="16"/>
                <w:szCs w:val="16"/>
                <w:b w:val="1"/>
                <w:bCs w:val="1"/>
                <w:color w:val="0000FF"/>
              </w:rPr>
            </w:pPr>
            <w:hyperlink w:anchor="page26">
              <w:r>
                <w:rPr>
                  <w:rFonts w:ascii="Arial" w:cs="Arial" w:eastAsia="Arial" w:hAnsi="Arial"/>
                  <w:sz w:val="16"/>
                  <w:szCs w:val="16"/>
                  <w:b w:val="1"/>
                  <w:bCs w:val="1"/>
                  <w:color w:val="0000FF"/>
                </w:rPr>
                <w:t>Executive and Director Compensation</w:t>
              </w:r>
            </w:hyperlink>
          </w:p>
        </w:tc>
        <w:tc>
          <w:tcPr>
            <w:tcW w:w="2840" w:type="dxa"/>
            <w:vAlign w:val="bottom"/>
            <w:gridSpan w:val="12"/>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26">
              <w:r>
                <w:rPr>
                  <w:rFonts w:ascii="Arial" w:cs="Arial" w:eastAsia="Arial" w:hAnsi="Arial"/>
                  <w:sz w:val="15"/>
                  <w:szCs w:val="15"/>
                  <w:color w:val="0000FF"/>
                  <w:w w:val="71"/>
                </w:rPr>
                <w:t>23</w:t>
              </w:r>
            </w:hyperlink>
          </w:p>
        </w:tc>
        <w:tc>
          <w:tcPr>
            <w:tcW w:w="160" w:type="dxa"/>
            <w:vAlign w:val="bottom"/>
          </w:tcPr>
          <w:p>
            <w:pPr>
              <w:spacing w:after="0"/>
              <w:rPr>
                <w:sz w:val="17"/>
                <w:szCs w:val="17"/>
                <w:color w:val="auto"/>
              </w:rPr>
            </w:pPr>
          </w:p>
        </w:tc>
      </w:tr>
      <w:tr>
        <w:trPr>
          <w:trHeight w:val="196"/>
        </w:trPr>
        <w:tc>
          <w:tcPr>
            <w:tcW w:w="2280" w:type="dxa"/>
            <w:vAlign w:val="bottom"/>
            <w:tcBorders>
              <w:top w:val="single" w:sz="8" w:color="0000FF"/>
              <w:bottom w:val="single" w:sz="8" w:color="0000FF"/>
            </w:tcBorders>
            <w:gridSpan w:val="15"/>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Summary Compensation Table</w:t>
              </w:r>
            </w:hyperlink>
          </w:p>
        </w:tc>
        <w:tc>
          <w:tcPr>
            <w:tcW w:w="640" w:type="dxa"/>
            <w:vAlign w:val="bottom"/>
            <w:tcBorders>
              <w:top w:val="single" w:sz="8" w:color="0000FF"/>
            </w:tcBorders>
            <w:gridSpan w:val="4"/>
          </w:tcPr>
          <w:p>
            <w:pPr>
              <w:spacing w:after="0"/>
              <w:rPr>
                <w:sz w:val="17"/>
                <w:szCs w:val="17"/>
                <w:color w:val="auto"/>
              </w:rPr>
            </w:pPr>
          </w:p>
        </w:tc>
        <w:tc>
          <w:tcPr>
            <w:tcW w:w="3540" w:type="dxa"/>
            <w:vAlign w:val="bottom"/>
            <w:gridSpan w:val="17"/>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7">
              <w:r>
                <w:rPr>
                  <w:rFonts w:ascii="Arial" w:cs="Arial" w:eastAsia="Arial" w:hAnsi="Arial"/>
                  <w:sz w:val="15"/>
                  <w:szCs w:val="15"/>
                  <w:color w:val="0000FF"/>
                  <w:w w:val="71"/>
                </w:rPr>
                <w:t>23</w:t>
              </w:r>
            </w:hyperlink>
          </w:p>
        </w:tc>
        <w:tc>
          <w:tcPr>
            <w:tcW w:w="160" w:type="dxa"/>
            <w:vAlign w:val="bottom"/>
          </w:tcPr>
          <w:p>
            <w:pPr>
              <w:spacing w:after="0"/>
              <w:rPr>
                <w:sz w:val="17"/>
                <w:szCs w:val="17"/>
                <w:color w:val="auto"/>
              </w:rPr>
            </w:pPr>
          </w:p>
        </w:tc>
      </w:tr>
      <w:tr>
        <w:trPr>
          <w:trHeight w:val="196"/>
        </w:trPr>
        <w:tc>
          <w:tcPr>
            <w:tcW w:w="3900" w:type="dxa"/>
            <w:vAlign w:val="bottom"/>
            <w:tcBorders>
              <w:bottom w:val="single" w:sz="8" w:color="0000FF"/>
            </w:tcBorders>
            <w:gridSpan w:val="27"/>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Narrative Disclosure to Summary Compensation Table</w:t>
              </w:r>
            </w:hyperlink>
          </w:p>
        </w:tc>
        <w:tc>
          <w:tcPr>
            <w:tcW w:w="2560" w:type="dxa"/>
            <w:vAlign w:val="bottom"/>
            <w:gridSpan w:val="9"/>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7">
              <w:r>
                <w:rPr>
                  <w:rFonts w:ascii="Arial" w:cs="Arial" w:eastAsia="Arial" w:hAnsi="Arial"/>
                  <w:sz w:val="15"/>
                  <w:szCs w:val="15"/>
                  <w:color w:val="0000FF"/>
                  <w:w w:val="71"/>
                </w:rPr>
                <w:t>23</w:t>
              </w:r>
            </w:hyperlink>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Outstanding Equity Awards at Fiscal Year-End Table</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31">
              <w:r>
                <w:rPr>
                  <w:rFonts w:ascii="Arial" w:cs="Arial" w:eastAsia="Arial" w:hAnsi="Arial"/>
                  <w:sz w:val="16"/>
                  <w:szCs w:val="16"/>
                  <w:color w:val="0000FF"/>
                </w:rPr>
                <w:t>28</w:t>
              </w:r>
            </w:hyperlink>
          </w:p>
        </w:tc>
        <w:tc>
          <w:tcPr>
            <w:tcW w:w="160" w:type="dxa"/>
            <w:vAlign w:val="bottom"/>
          </w:tcPr>
          <w:p>
            <w:pPr>
              <w:spacing w:after="0"/>
              <w:rPr>
                <w:sz w:val="17"/>
                <w:szCs w:val="17"/>
                <w:color w:val="auto"/>
              </w:rPr>
            </w:pPr>
          </w:p>
        </w:tc>
      </w:tr>
      <w:tr>
        <w:trPr>
          <w:trHeight w:val="196"/>
        </w:trPr>
        <w:tc>
          <w:tcPr>
            <w:tcW w:w="1660" w:type="dxa"/>
            <w:vAlign w:val="bottom"/>
            <w:tcBorders>
              <w:top w:val="single" w:sz="8" w:color="0000FF"/>
              <w:bottom w:val="single" w:sz="8" w:color="0000FF"/>
            </w:tcBorders>
            <w:gridSpan w:val="9"/>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Director Compensation</w:t>
              </w:r>
            </w:hyperlink>
          </w:p>
        </w:tc>
        <w:tc>
          <w:tcPr>
            <w:tcW w:w="2080" w:type="dxa"/>
            <w:vAlign w:val="bottom"/>
            <w:tcBorders>
              <w:top w:val="single" w:sz="8" w:color="0000FF"/>
            </w:tcBorders>
            <w:gridSpan w:val="17"/>
          </w:tcPr>
          <w:p>
            <w:pPr>
              <w:spacing w:after="0"/>
              <w:rPr>
                <w:sz w:val="17"/>
                <w:szCs w:val="17"/>
                <w:color w:val="auto"/>
              </w:rPr>
            </w:pPr>
          </w:p>
        </w:tc>
        <w:tc>
          <w:tcPr>
            <w:tcW w:w="2720" w:type="dxa"/>
            <w:vAlign w:val="bottom"/>
            <w:gridSpan w:val="10"/>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28</w:t>
              </w:r>
            </w:hyperlink>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rFonts w:ascii="Arial" w:cs="Arial" w:eastAsia="Arial" w:hAnsi="Arial"/>
                <w:sz w:val="16"/>
                <w:szCs w:val="16"/>
                <w:b w:val="1"/>
                <w:bCs w:val="1"/>
                <w:color w:val="0000FF"/>
              </w:rPr>
            </w:pPr>
            <w:hyperlink w:anchor="page34">
              <w:r>
                <w:rPr>
                  <w:rFonts w:ascii="Arial" w:cs="Arial" w:eastAsia="Arial" w:hAnsi="Arial"/>
                  <w:sz w:val="16"/>
                  <w:szCs w:val="16"/>
                  <w:b w:val="1"/>
                  <w:bCs w:val="1"/>
                  <w:color w:val="0000FF"/>
                </w:rPr>
                <w:t>Equity Compensation Plan Information</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34">
              <w:r>
                <w:rPr>
                  <w:rFonts w:ascii="Arial" w:cs="Arial" w:eastAsia="Arial" w:hAnsi="Arial"/>
                  <w:sz w:val="16"/>
                  <w:szCs w:val="16"/>
                  <w:color w:val="0000FF"/>
                </w:rPr>
                <w:t>30</w:t>
              </w:r>
            </w:hyperlink>
          </w:p>
        </w:tc>
        <w:tc>
          <w:tcPr>
            <w:tcW w:w="160" w:type="dxa"/>
            <w:vAlign w:val="bottom"/>
          </w:tcPr>
          <w:p>
            <w:pPr>
              <w:spacing w:after="0"/>
              <w:rPr>
                <w:sz w:val="17"/>
                <w:szCs w:val="17"/>
                <w:color w:val="auto"/>
              </w:rPr>
            </w:pPr>
          </w:p>
        </w:tc>
      </w:tr>
      <w:tr>
        <w:trPr>
          <w:trHeight w:val="20"/>
        </w:trPr>
        <w:tc>
          <w:tcPr>
            <w:tcW w:w="1060" w:type="dxa"/>
            <w:vAlign w:val="bottom"/>
            <w:gridSpan w:val="4"/>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6460" w:type="dxa"/>
            <w:vAlign w:val="bottom"/>
            <w:gridSpan w:val="36"/>
          </w:tcPr>
          <w:p>
            <w:pPr>
              <w:spacing w:after="0"/>
              <w:rPr>
                <w:rFonts w:ascii="Arial" w:cs="Arial" w:eastAsia="Arial" w:hAnsi="Arial"/>
                <w:sz w:val="16"/>
                <w:szCs w:val="16"/>
                <w:b w:val="1"/>
                <w:bCs w:val="1"/>
                <w:color w:val="0000FF"/>
              </w:rPr>
            </w:pPr>
            <w:hyperlink w:anchor="page34">
              <w:r>
                <w:rPr>
                  <w:rFonts w:ascii="Arial" w:cs="Arial" w:eastAsia="Arial" w:hAnsi="Arial"/>
                  <w:sz w:val="16"/>
                  <w:szCs w:val="16"/>
                  <w:b w:val="1"/>
                  <w:bCs w:val="1"/>
                  <w:color w:val="0000FF"/>
                </w:rPr>
                <w:t>Security Ownership of Certain Beneficial Owners and Management</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34">
              <w:r>
                <w:rPr>
                  <w:rFonts w:ascii="Arial" w:cs="Arial" w:eastAsia="Arial" w:hAnsi="Arial"/>
                  <w:sz w:val="16"/>
                  <w:szCs w:val="16"/>
                  <w:color w:val="0000FF"/>
                </w:rPr>
                <w:t>31</w:t>
              </w:r>
            </w:hyperlink>
          </w:p>
        </w:tc>
        <w:tc>
          <w:tcPr>
            <w:tcW w:w="160" w:type="dxa"/>
            <w:vAlign w:val="bottom"/>
          </w:tcPr>
          <w:p>
            <w:pPr>
              <w:spacing w:after="0"/>
              <w:rPr>
                <w:sz w:val="17"/>
                <w:szCs w:val="17"/>
                <w:color w:val="auto"/>
              </w:rPr>
            </w:pPr>
          </w:p>
        </w:tc>
      </w:tr>
      <w:tr>
        <w:trPr>
          <w:trHeight w:val="196"/>
        </w:trPr>
        <w:tc>
          <w:tcPr>
            <w:tcW w:w="5140" w:type="dxa"/>
            <w:vAlign w:val="bottom"/>
            <w:tcBorders>
              <w:top w:val="single" w:sz="8" w:color="0000FF"/>
            </w:tcBorders>
            <w:gridSpan w:val="34"/>
          </w:tcPr>
          <w:p>
            <w:pPr>
              <w:spacing w:after="0"/>
              <w:rPr>
                <w:rFonts w:ascii="Arial" w:cs="Arial" w:eastAsia="Arial" w:hAnsi="Arial"/>
                <w:sz w:val="16"/>
                <w:szCs w:val="16"/>
                <w:b w:val="1"/>
                <w:bCs w:val="1"/>
                <w:color w:val="0000FF"/>
              </w:rPr>
            </w:pPr>
            <w:hyperlink w:anchor="page37">
              <w:r>
                <w:rPr>
                  <w:rFonts w:ascii="Arial" w:cs="Arial" w:eastAsia="Arial" w:hAnsi="Arial"/>
                  <w:sz w:val="16"/>
                  <w:szCs w:val="16"/>
                  <w:b w:val="1"/>
                  <w:bCs w:val="1"/>
                  <w:color w:val="0000FF"/>
                </w:rPr>
                <w:t>Certain Relationships and Related Party Transactions</w:t>
              </w:r>
            </w:hyperlink>
          </w:p>
        </w:tc>
        <w:tc>
          <w:tcPr>
            <w:tcW w:w="1320" w:type="dxa"/>
            <w:vAlign w:val="bottom"/>
            <w:gridSpan w:val="2"/>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34</w:t>
              </w:r>
            </w:hyperlink>
          </w:p>
        </w:tc>
        <w:tc>
          <w:tcPr>
            <w:tcW w:w="160" w:type="dxa"/>
            <w:vAlign w:val="bottom"/>
          </w:tcPr>
          <w:p>
            <w:pPr>
              <w:spacing w:after="0"/>
              <w:rPr>
                <w:sz w:val="17"/>
                <w:szCs w:val="17"/>
                <w:color w:val="auto"/>
              </w:rPr>
            </w:pPr>
          </w:p>
        </w:tc>
      </w:tr>
      <w:tr>
        <w:trPr>
          <w:trHeight w:val="196"/>
        </w:trPr>
        <w:tc>
          <w:tcPr>
            <w:tcW w:w="4120" w:type="dxa"/>
            <w:vAlign w:val="bottom"/>
            <w:tcBorders>
              <w:top w:val="single" w:sz="8" w:color="0000FF"/>
            </w:tcBorders>
            <w:gridSpan w:val="30"/>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Stockholder Proposals</w:t>
              </w:r>
            </w:hyperlink>
          </w:p>
        </w:tc>
        <w:tc>
          <w:tcPr>
            <w:tcW w:w="2340" w:type="dxa"/>
            <w:vAlign w:val="bottom"/>
            <w:gridSpan w:val="6"/>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8">
              <w:r>
                <w:rPr>
                  <w:rFonts w:ascii="Arial" w:cs="Arial" w:eastAsia="Arial" w:hAnsi="Arial"/>
                  <w:sz w:val="15"/>
                  <w:szCs w:val="15"/>
                  <w:color w:val="0000FF"/>
                  <w:w w:val="71"/>
                </w:rPr>
                <w:t>34</w:t>
              </w:r>
            </w:hyperlink>
          </w:p>
        </w:tc>
        <w:tc>
          <w:tcPr>
            <w:tcW w:w="160" w:type="dxa"/>
            <w:vAlign w:val="bottom"/>
          </w:tcPr>
          <w:p>
            <w:pPr>
              <w:spacing w:after="0"/>
              <w:rPr>
                <w:sz w:val="17"/>
                <w:szCs w:val="17"/>
                <w:color w:val="auto"/>
              </w:rPr>
            </w:pPr>
          </w:p>
        </w:tc>
      </w:tr>
      <w:tr>
        <w:trPr>
          <w:trHeight w:val="196"/>
        </w:trPr>
        <w:tc>
          <w:tcPr>
            <w:tcW w:w="1060" w:type="dxa"/>
            <w:vAlign w:val="bottom"/>
            <w:tcBorders>
              <w:top w:val="single" w:sz="8" w:color="0000FF"/>
              <w:bottom w:val="single" w:sz="8" w:color="0000FF"/>
            </w:tcBorders>
            <w:gridSpan w:val="4"/>
          </w:tcPr>
          <w:p>
            <w:pPr>
              <w:spacing w:after="0"/>
              <w:rPr>
                <w:rFonts w:ascii="Arial" w:cs="Arial" w:eastAsia="Arial" w:hAnsi="Arial"/>
                <w:sz w:val="16"/>
                <w:szCs w:val="16"/>
                <w:b w:val="1"/>
                <w:bCs w:val="1"/>
                <w:color w:val="0000FF"/>
                <w:w w:val="99"/>
              </w:rPr>
            </w:pPr>
            <w:hyperlink w:anchor="page39">
              <w:r>
                <w:rPr>
                  <w:rFonts w:ascii="Arial" w:cs="Arial" w:eastAsia="Arial" w:hAnsi="Arial"/>
                  <w:sz w:val="16"/>
                  <w:szCs w:val="16"/>
                  <w:b w:val="1"/>
                  <w:bCs w:val="1"/>
                  <w:color w:val="0000FF"/>
                  <w:w w:val="99"/>
                </w:rPr>
                <w:t>Other Matters</w:t>
              </w:r>
            </w:hyperlink>
          </w:p>
        </w:tc>
        <w:tc>
          <w:tcPr>
            <w:tcW w:w="700" w:type="dxa"/>
            <w:vAlign w:val="bottom"/>
            <w:tcBorders>
              <w:top w:val="single" w:sz="8" w:color="0000FF"/>
            </w:tcBorders>
            <w:gridSpan w:val="7"/>
          </w:tcPr>
          <w:p>
            <w:pPr>
              <w:spacing w:after="0"/>
              <w:rPr>
                <w:sz w:val="17"/>
                <w:szCs w:val="17"/>
                <w:color w:val="auto"/>
              </w:rPr>
            </w:pPr>
          </w:p>
        </w:tc>
        <w:tc>
          <w:tcPr>
            <w:tcW w:w="4700" w:type="dxa"/>
            <w:vAlign w:val="bottom"/>
            <w:gridSpan w:val="25"/>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35</w:t>
              </w:r>
            </w:hyperlink>
          </w:p>
        </w:tc>
        <w:tc>
          <w:tcPr>
            <w:tcW w:w="160" w:type="dxa"/>
            <w:vAlign w:val="bottom"/>
          </w:tcPr>
          <w:p>
            <w:pPr>
              <w:spacing w:after="0"/>
              <w:rPr>
                <w:sz w:val="17"/>
                <w:szCs w:val="17"/>
                <w:color w:val="auto"/>
              </w:rPr>
            </w:pPr>
          </w:p>
        </w:tc>
      </w:tr>
      <w:tr>
        <w:trPr>
          <w:trHeight w:val="196"/>
        </w:trPr>
        <w:tc>
          <w:tcPr>
            <w:tcW w:w="6460" w:type="dxa"/>
            <w:vAlign w:val="bottom"/>
            <w:gridSpan w:val="36"/>
          </w:tcPr>
          <w:p>
            <w:pPr>
              <w:spacing w:after="0"/>
              <w:rPr>
                <w:rFonts w:ascii="Arial" w:cs="Arial" w:eastAsia="Arial" w:hAnsi="Arial"/>
                <w:sz w:val="16"/>
                <w:szCs w:val="16"/>
                <w:b w:val="1"/>
                <w:bCs w:val="1"/>
                <w:color w:val="0000FF"/>
              </w:rPr>
            </w:pPr>
            <w:hyperlink w:anchor="page39">
              <w:r>
                <w:rPr>
                  <w:rFonts w:ascii="Arial" w:cs="Arial" w:eastAsia="Arial" w:hAnsi="Arial"/>
                  <w:sz w:val="16"/>
                  <w:szCs w:val="16"/>
                  <w:b w:val="1"/>
                  <w:bCs w:val="1"/>
                  <w:color w:val="0000FF"/>
                </w:rPr>
                <w:t>No Incorporation by Reference</w:t>
              </w:r>
            </w:hyperlink>
          </w:p>
        </w:tc>
        <w:tc>
          <w:tcPr>
            <w:tcW w:w="2860" w:type="dxa"/>
            <w:vAlign w:val="bottom"/>
            <w:gridSpan w:val="2"/>
          </w:tcPr>
          <w:p>
            <w:pPr>
              <w:jc w:val="center"/>
              <w:ind w:left="2599"/>
              <w:spacing w:after="0"/>
              <w:rPr>
                <w:rFonts w:ascii="Arial" w:cs="Arial" w:eastAsia="Arial" w:hAnsi="Arial"/>
                <w:sz w:val="16"/>
                <w:szCs w:val="16"/>
                <w:color w:val="0000FF"/>
              </w:rPr>
            </w:pPr>
            <w:hyperlink w:anchor="page39">
              <w:r>
                <w:rPr>
                  <w:rFonts w:ascii="Arial" w:cs="Arial" w:eastAsia="Arial" w:hAnsi="Arial"/>
                  <w:sz w:val="16"/>
                  <w:szCs w:val="16"/>
                  <w:color w:val="0000FF"/>
                </w:rPr>
                <w:t>35</w:t>
              </w:r>
            </w:hyperlink>
          </w:p>
        </w:tc>
        <w:tc>
          <w:tcPr>
            <w:tcW w:w="160" w:type="dxa"/>
            <w:vAlign w:val="bottom"/>
          </w:tcPr>
          <w:p>
            <w:pPr>
              <w:spacing w:after="0"/>
              <w:rPr>
                <w:sz w:val="17"/>
                <w:szCs w:val="17"/>
                <w:color w:val="auto"/>
              </w:rPr>
            </w:pPr>
          </w:p>
        </w:tc>
      </w:tr>
      <w:tr>
        <w:trPr>
          <w:trHeight w:val="196"/>
        </w:trPr>
        <w:tc>
          <w:tcPr>
            <w:tcW w:w="2360" w:type="dxa"/>
            <w:vAlign w:val="bottom"/>
            <w:tcBorders>
              <w:top w:val="single" w:sz="8" w:color="0000FF"/>
            </w:tcBorders>
            <w:gridSpan w:val="16"/>
          </w:tcPr>
          <w:p>
            <w:pPr>
              <w:spacing w:after="0"/>
              <w:rPr>
                <w:rFonts w:ascii="Arial" w:cs="Arial" w:eastAsia="Arial" w:hAnsi="Arial"/>
                <w:sz w:val="16"/>
                <w:szCs w:val="16"/>
                <w:b w:val="1"/>
                <w:bCs w:val="1"/>
                <w:color w:val="0000FF"/>
              </w:rPr>
            </w:pPr>
            <w:hyperlink w:anchor="page39">
              <w:r>
                <w:rPr>
                  <w:rFonts w:ascii="Arial" w:cs="Arial" w:eastAsia="Arial" w:hAnsi="Arial"/>
                  <w:sz w:val="16"/>
                  <w:szCs w:val="16"/>
                  <w:b w:val="1"/>
                  <w:bCs w:val="1"/>
                  <w:color w:val="0000FF"/>
                </w:rPr>
                <w:t>Solicitation of Proxies</w:t>
              </w:r>
            </w:hyperlink>
          </w:p>
        </w:tc>
        <w:tc>
          <w:tcPr>
            <w:tcW w:w="4100" w:type="dxa"/>
            <w:vAlign w:val="bottom"/>
            <w:gridSpan w:val="20"/>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36</w:t>
              </w:r>
            </w:hyperlink>
          </w:p>
        </w:tc>
        <w:tc>
          <w:tcPr>
            <w:tcW w:w="160" w:type="dxa"/>
            <w:vAlign w:val="bottom"/>
          </w:tcPr>
          <w:p>
            <w:pPr>
              <w:spacing w:after="0"/>
              <w:rPr>
                <w:sz w:val="17"/>
                <w:szCs w:val="17"/>
                <w:color w:val="auto"/>
              </w:rPr>
            </w:pPr>
          </w:p>
        </w:tc>
      </w:tr>
      <w:tr>
        <w:trPr>
          <w:trHeight w:val="20"/>
        </w:trPr>
        <w:tc>
          <w:tcPr>
            <w:tcW w:w="1700" w:type="dxa"/>
            <w:vAlign w:val="bottom"/>
            <w:gridSpan w:val="10"/>
            <w:shd w:val="clear" w:color="auto" w:fill="0000FF"/>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3480" w:type="dxa"/>
            <w:vAlign w:val="bottom"/>
            <w:gridSpan w:val="16"/>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196"/>
        </w:trPr>
        <w:tc>
          <w:tcPr>
            <w:tcW w:w="2980" w:type="dxa"/>
            <w:vAlign w:val="bottom"/>
            <w:tcBorders>
              <w:bottom w:val="single" w:sz="8" w:color="0000FF"/>
            </w:tcBorders>
            <w:gridSpan w:val="20"/>
          </w:tcPr>
          <w:p>
            <w:pPr>
              <w:spacing w:after="0"/>
              <w:rPr>
                <w:rFonts w:ascii="Arial" w:cs="Arial" w:eastAsia="Arial" w:hAnsi="Arial"/>
                <w:sz w:val="16"/>
                <w:szCs w:val="16"/>
                <w:b w:val="1"/>
                <w:bCs w:val="1"/>
                <w:color w:val="0000FF"/>
              </w:rPr>
            </w:pPr>
            <w:hyperlink w:anchor="page40">
              <w:r>
                <w:rPr>
                  <w:rFonts w:ascii="Arial" w:cs="Arial" w:eastAsia="Arial" w:hAnsi="Arial"/>
                  <w:sz w:val="16"/>
                  <w:szCs w:val="16"/>
                  <w:b w:val="1"/>
                  <w:bCs w:val="1"/>
                  <w:color w:val="0000FF"/>
                </w:rPr>
                <w:t>Exagen's Annual Report on Form 10-K</w:t>
              </w:r>
            </w:hyperlink>
          </w:p>
        </w:tc>
        <w:tc>
          <w:tcPr>
            <w:tcW w:w="3480" w:type="dxa"/>
            <w:vAlign w:val="bottom"/>
            <w:gridSpan w:val="16"/>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40">
              <w:r>
                <w:rPr>
                  <w:rFonts w:ascii="Arial" w:cs="Arial" w:eastAsia="Arial" w:hAnsi="Arial"/>
                  <w:sz w:val="15"/>
                  <w:szCs w:val="15"/>
                  <w:color w:val="0000FF"/>
                  <w:w w:val="71"/>
                </w:rPr>
                <w:t>36</w:t>
              </w:r>
            </w:hyperlink>
          </w:p>
        </w:tc>
        <w:tc>
          <w:tcPr>
            <w:tcW w:w="160" w:type="dxa"/>
            <w:vAlign w:val="bottom"/>
          </w:tcPr>
          <w:p>
            <w:pPr>
              <w:spacing w:after="0"/>
              <w:rPr>
                <w:sz w:val="17"/>
                <w:szCs w:val="17"/>
                <w:color w:val="auto"/>
              </w:rPr>
            </w:pPr>
          </w:p>
        </w:tc>
      </w:tr>
    </w:tbl>
    <w:p>
      <w:pPr>
        <w:sectPr>
          <w:pgSz w:w="11900" w:h="16838" w:orient="portrait"/>
          <w:cols w:equalWidth="0" w:num="1">
            <w:col w:w="9480"/>
          </w:cols>
          <w:pgMar w:left="1020" w:top="886" w:right="1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9"/>
          <w:szCs w:val="2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45085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1261 LIBERTY WAY, VISTA, CALIFORNIA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proxy statement is furnished in connection with the solicitation by the Board of Directors (the "Board") of Exagen Inc. of proxies to be voted at our Annual Meeting of Stockholders to be held on Thursday, June 16, 2022 (the "Annual Meeting"), in the Encore Meeting Room of the Hard Rock Hotel San Diego, 207 5th Avenue, San Diego, California 92101 at 8:00 a.m., Pacific Time, and at any continuation, postponement or adjournment thereof. However, we are sensitive to the public health and travel concerns our shareholders may have and recommendations that public health officials may issue in light of the COVID-19 pandemic. As a result, we may impose additional procedures or limitations on meeting attendees (beyond those described above and herein) or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 Holders of record of shares of common stock, $0.001 par value per share ("Common Stock"), as of the close of business on April 18, 2022 (the "Record Date"), will be entitled to notice of and to vote at the Annual Meeting and any continuation, postponement or adjournment thereof. As of the Record Date, there were 16,255,488 shares of our Common Stock outstanding and entitled to vote at the Annual Meeting. Each share of Common Stock is entitled to one vote on any matter presented to stockholders at the Annual Meeting.</w:t>
      </w:r>
    </w:p>
    <w:p>
      <w:pPr>
        <w:spacing w:after="0" w:line="23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proxy statement and the Company's Annual Report to Stockholders for the year ended December 31, 2021 (the "2021 Annual Report"), or Notice of Internet Availability of Proxy Materials, as applicable, will be sent on or about May 6, 2022 to our stockholders on the Record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"Exagen," the "Company," "we," "us" and "our" refer to Exagen Inc.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FOR THE STOCKHOLDER MEETING TO BE HELD ON THURSDAY, JUNE 16,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and our 2021 Annual Report to Stockholders are available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http://www.proxydocs.com/XGN/.</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this website, you will find a complete set of the following proxy materials: notice of 2022 Annual Meeting of Stockholders; proxy statement (with sample proxy card); and 2021 Annual Report. You are encouraged to access and review all of the important information contained in the proxy materials before submitting a proxy or voting at the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may review directions to attend the meeting in person on our proxy website (www.proxydocs.com/XGN).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there are two proposals scheduled for a vote:</w:t>
      </w:r>
    </w:p>
    <w:p>
      <w:pPr>
        <w:spacing w:after="0" w:line="117" w:lineRule="exact"/>
        <w:rPr>
          <w:sz w:val="20"/>
          <w:szCs w:val="20"/>
          <w:color w:val="auto"/>
        </w:rPr>
      </w:pPr>
    </w:p>
    <w:p>
      <w:pPr>
        <w:ind w:left="660" w:right="80" w:hanging="328"/>
        <w:spacing w:after="0" w:line="256"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Bruce Robertson, Ph.D., Wendy Johnson and Fortunato Ron Rocca, as Class III directors for a three-year term that expires at the 2025 Annual Meeting of Stockholders and until their respective successors shall have been duly elected and qualified; and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12" w:right="339" w:bottom="1440" w:gutter="0" w:footer="0" w:header="0"/>
        </w:sectPr>
      </w:pPr>
    </w:p>
    <w:bookmarkStart w:id="5" w:name="page6"/>
    <w:bookmarkEnd w:id="5"/>
    <w:p>
      <w:pPr>
        <w:ind w:left="34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To ratify the appointment of BDO USA, LLP as our independent public accounting firm for the fiscal year ending December 31, 2022.</w:t>
      </w:r>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currently know of no other business that will be presented at the Annual Meeting. If any other matter properly comes before the stockholders for a vote at the Annual Meeting, however, the proxy holders named on the proxy card will vote your shares in accordance with their best judgment.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 as follows:</w:t>
      </w:r>
    </w:p>
    <w:p>
      <w:pPr>
        <w:spacing w:after="0" w:line="94"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of the nominees for election as a Class III director as set forth in this proxy statement; and</w:t>
      </w:r>
    </w:p>
    <w:p>
      <w:pPr>
        <w:spacing w:after="0" w:line="117" w:lineRule="exact"/>
        <w:rPr>
          <w:rFonts w:ascii="Arial" w:cs="Arial" w:eastAsia="Arial" w:hAnsi="Arial"/>
          <w:sz w:val="18"/>
          <w:szCs w:val="18"/>
          <w:color w:val="auto"/>
        </w:rPr>
      </w:pPr>
    </w:p>
    <w:p>
      <w:pPr>
        <w:ind w:left="660" w:right="380" w:hanging="328"/>
        <w:spacing w:after="0" w:line="261"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BDO USA, LLP as our independent registered public accounting firm for the fiscal year ending December 31, 2022.</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proxy card will vote your shares in accordance with their best judgment.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the Board is soliciting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we are making this proxy statement and 2021 Annual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our stockholders electronically via the Internet. On or about May 6, 2022, we will mail to most of our stockholders a Notice of Internet Availability of Proxy Materials (the "Internet Notice") containing instructions on how to access this proxy statement and our 2021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2021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We encourage our stockholders to take advantage of the availability of the proxy materials on the Internet to help reduce the environmental impact of its annual meetings and reduce the cost to us associated with the printing and mailing of materials.</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contained on the proxy card included in the materials.</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Internet Notice or set of proxy materials to one address shared by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we will provide copies of these documents, free of charge, upon written request to Exagen Inc., 1261 Liberty Way, Vista, California 92081. Such requests by street name holders should be made through their bank, broker or other holder of record.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16" w:right="339" w:bottom="1440" w:gutter="0" w:footer="0" w:header="0"/>
        </w:sectPr>
      </w:pPr>
    </w:p>
    <w:bookmarkStart w:id="6" w:name="page7"/>
    <w:bookmarkEnd w:id="6"/>
    <w:p>
      <w:pPr>
        <w:jc w:val="both"/>
        <w:ind w:right="280"/>
        <w:spacing w:after="0" w:line="256" w:lineRule="auto"/>
        <w:rPr>
          <w:sz w:val="20"/>
          <w:szCs w:val="20"/>
          <w:color w:val="auto"/>
        </w:rPr>
      </w:pPr>
      <w:r>
        <w:rPr>
          <w:rFonts w:ascii="Arial" w:cs="Arial" w:eastAsia="Arial" w:hAnsi="Arial"/>
          <w:sz w:val="18"/>
          <w:szCs w:val="18"/>
          <w:color w:val="auto"/>
        </w:rPr>
        <w:t>Stockholders sharing an address that are receiving multiple copies of the Internet Notice can request delivery of a single copy of the proxy statement or annual report or Internet Notice by contacting their broker, bank or other intermediary or sending a written request to Exagen Inc. at the above address or by calling (760) 560-1501.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on matters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Record Date for the Annual Meeting is April 18, 2022. You are entitled to vote on the matters presented at the Annual Meeting if you were a record holder at the close of business on the Record Date. Each outstanding share of Common Stock is entitled to one vote for all matters before the Annual Meeting. At the close of business on the Record Date, there were 16,255,488 shares of Common Stock outstanding and entitled to vote at the Annual Meeting. Common Stock is our only class of stock entitled to vote.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If, on the Record Date, your shares were registered directly in your name then you are a stockholder of record.</w:t>
      </w:r>
    </w:p>
    <w:p>
      <w:pPr>
        <w:spacing w:after="0" w:line="25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Yes. If your shares are held by a brokerage firm, bank, dealer or other similar organization, you are considered the “beneficial owner” of those shares held in “street name.” If your shares are held in street name, these proxy materials, along with instructions on how to vote your shares, are being provided to you by your brokerage firm, bank, dealer or other similar organization. As the beneficial owner, you have the right to direct your brokerage firm, bank, dealer or other similar organization how to vote your shares, and such organizations are required to vote your shares in accordance with your instructions. If your shares are held in street name, you may not vote your shares in person at the Annual Meeting, unless you obtain, and present at the Annual Meeting, a legal proxy from your brokerage firm, bank, dealer or other similar organization.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6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 quorum must be present at the Annual Meeting for any business to be conducted. Under Delaware law and our Amended and Restated Bylaws (the "Bylaws"), the presence at the Annual Meeting of the holders of a majority in voting power of the Common Stock issued and outstanding and entitled to vote, present in person, or by remote communication, if applicable, or represented by proxy, on the Record Date will constitute a quorum for the transaction of business at the Annual Meeting. The inspector of election will determine whether a quorum is present and will tabulate the votes cast at the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You may attend the Annual Meeting only if you are a record holder or beneficial owner of our Common Stock as of the Record Date. If you are a record holder you are entitled to vote at the Annual Meeting. If you hold your shares in street name you must obtain a valid proxy from your brokerage firm, bank, dealer or other similar organization to vote at the Annual Meeting. We currently intend to hold the Annual Meeting in person. However, we are sensitive to the public health and travel concerns our shareholders may have and recommendations that public health officials may issue in light of the COVID-19 pandemic. As a result, we may impose additional procedures or limitations on meeting attendees (beyond those described above and herein) or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 We encourage you to check this website prior to the meeting if you plan to attend.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08" w:right="339" w:bottom="1440" w:gutter="0" w:footer="0" w:header="0"/>
        </w:sectPr>
      </w:pPr>
    </w:p>
    <w:bookmarkStart w:id="7" w:name="page8"/>
    <w:bookmarkEnd w:id="7"/>
    <w:p>
      <w:pPr>
        <w:spacing w:after="0" w:line="253" w:lineRule="auto"/>
        <w:rPr>
          <w:sz w:val="20"/>
          <w:szCs w:val="20"/>
          <w:color w:val="auto"/>
        </w:rPr>
      </w:pPr>
      <w:r>
        <w:rPr>
          <w:rFonts w:ascii="Arial" w:cs="Arial" w:eastAsia="Arial" w:hAnsi="Arial"/>
          <w:sz w:val="18"/>
          <w:szCs w:val="18"/>
          <w:color w:val="auto"/>
        </w:rPr>
        <w:t>In order to be admitted into the Annual Meeting, your name must appear on the attendance list and you must present government-issued photo identification (such as a driver’s license). If your bank or broker holds your shares in street name, to attend the Annual Meeting you will also be required to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8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(ii) the holders of a majority of the shares entitled to vote, present in person, or by remote communication, if applicable, or represented by proxy, at the Annual Meeting may adjourn the Annual Meeting until a quorum is present or represented.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respect to the election of directors, you may either vote "For" all the nominees to the Board or you may "Withhold" your vote for any one or more of the nominees. With respect to the ratification of the appointment of BDO USA, LLP as our independent registered public accounting firm, you may vote "For," "Against" or "Abstain" from voting.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recommend that stockholders vote by proxy even if they plan to attend the Annual Meeting and vote in person.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record holder, there are several ways for you to vote your shares:</w:t>
      </w:r>
    </w:p>
    <w:p>
      <w:pPr>
        <w:spacing w:after="0" w:line="63" w:lineRule="exact"/>
        <w:rPr>
          <w:sz w:val="20"/>
          <w:szCs w:val="20"/>
          <w:color w:val="auto"/>
        </w:rPr>
      </w:pPr>
    </w:p>
    <w:p>
      <w:pPr>
        <w:ind w:left="660" w:right="10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You can vote by telephone by calling 1-866-475-8889 and following the instructions provided in the Internet Notice or on the proxy card. Telephone voting facilities for stockholders of record will be available 24 hours a day, seven days a week. Votes can be made up until the start of the Annual Meeting at 7:59 a.m., Pacific Time, on June 16, 2022.</w:t>
      </w:r>
    </w:p>
    <w:p>
      <w:pPr>
        <w:spacing w:after="0" w:line="39"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 You can vote over the Internet at www.proxypush.com/XGN by following the instructions provided in the Internet Notice or on the proxy card. Internet voting facilities for stockholders of record will be available 24 hours a day, seven days a week. Votes can be made up until the start of the Annual Meeting at 7:59 a.m., Pacific Time, on June 16, 2022.</w:t>
      </w:r>
    </w:p>
    <w:p>
      <w:pPr>
        <w:spacing w:after="0" w:line="39" w:lineRule="exact"/>
        <w:rPr>
          <w:rFonts w:ascii="Arial" w:cs="Arial" w:eastAsia="Arial" w:hAnsi="Arial"/>
          <w:sz w:val="18"/>
          <w:szCs w:val="18"/>
          <w:color w:val="auto"/>
        </w:rPr>
      </w:pPr>
    </w:p>
    <w:p>
      <w:pPr>
        <w:jc w:val="both"/>
        <w:ind w:left="660" w:right="4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 If you received a printed copy of the proxy materials, you can vote by mail by signing, dating and mailing the proxy card that accompanied the printed proxy materials and returning the proxy card in the self-addressed, postage-paid envelope provided. If you properly complete your proxy card and send it to us in time to vote, your proxy (one of the individuals named on your proxy card) will vote your shares as you have directed.</w:t>
      </w:r>
    </w:p>
    <w:p>
      <w:pPr>
        <w:spacing w:after="0" w:line="4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Person: You may still attend the meeting and vote in person even if you have already voted by proxy. We will provide you with a ballot at the Annual Meeting.</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If you are a beneficial owner of shares that are held in street name through a brokerage firm, bank, dealer or other similar organization, you will receive instructions on how to vote from that organization rather than from us. You must follow their instructions in order for your shares to be voted. Generally, you will have three options for returning your proxy and voting your shares.</w:t>
      </w:r>
    </w:p>
    <w:p>
      <w:pPr>
        <w:spacing w:after="0" w:line="40" w:lineRule="exact"/>
        <w:rPr>
          <w:sz w:val="20"/>
          <w:szCs w:val="20"/>
          <w:color w:val="auto"/>
        </w:rPr>
      </w:pPr>
    </w:p>
    <w:p>
      <w:pPr>
        <w:ind w:left="660" w:right="2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the Method Listed on your Voting Instruction Card: Please refer to your voting instruction card or other information provided by your bank, broker or other agent to determine whether you may vote by telephone or electronically on the Internet, and follow the instructions on the voting instruction card or other information provided by your broker, bank or other agent. A large number of banks and brokerage firms offer</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151" w:right="379" w:bottom="1440" w:gutter="0" w:footer="0" w:header="0"/>
        </w:sectPr>
      </w:pPr>
    </w:p>
    <w:bookmarkStart w:id="8" w:name="page9"/>
    <w:bookmarkEnd w:id="8"/>
    <w:p>
      <w:pPr>
        <w:ind w:left="660" w:right="460"/>
        <w:spacing w:after="0" w:line="261" w:lineRule="auto"/>
        <w:rPr>
          <w:sz w:val="20"/>
          <w:szCs w:val="20"/>
          <w:color w:val="auto"/>
        </w:rPr>
      </w:pPr>
      <w:r>
        <w:rPr>
          <w:rFonts w:ascii="Arial" w:cs="Arial" w:eastAsia="Arial" w:hAnsi="Arial"/>
          <w:sz w:val="18"/>
          <w:szCs w:val="18"/>
          <w:color w:val="auto"/>
        </w:rPr>
        <w:t>Internet and telephone voting. If your bank, broker or other agent does not offer Internet or telephone voting information, please follow the other voting instructions they provide to vote your shares.</w:t>
      </w:r>
    </w:p>
    <w:p>
      <w:pPr>
        <w:spacing w:after="0" w:line="36" w:lineRule="exact"/>
        <w:rPr>
          <w:sz w:val="20"/>
          <w:szCs w:val="20"/>
          <w:color w:val="auto"/>
        </w:rPr>
      </w:pPr>
    </w:p>
    <w:p>
      <w:pPr>
        <w:ind w:left="660" w:right="18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Mail: You may vote by signing, dating and returning your voting instruction card in the pre-addressed envelope provided by your broker, bank or other agent.</w:t>
      </w:r>
    </w:p>
    <w:p>
      <w:pPr>
        <w:spacing w:after="0" w:line="35"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Person: If you would like to vote your shares in person at the Annual Meeting, you will need to contact your brokerage firm, bank, dealer or other similar organization to obtain a legal proxy and bring it to the Annual Meeting in order to vote.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Yes. If you are a record holder, you may revoke your proxy and change your vote any time before the proxy is voted at the Annual Meeting:</w:t>
      </w:r>
    </w:p>
    <w:p>
      <w:pPr>
        <w:spacing w:after="0" w:line="6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 than your prior proxy;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giving written notice of revocation to the Corporate Secretary of the Company prior to or at the Annual Meeting;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2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sensitive to the public health and travel concerns our shareholders may have and recommendations that public health officials may issue in light of the COVID-19 pandemic. As a result, we may impose additional procedures or limitations on meeting attendees (beyond those described above and herein) or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2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Your most recent proxy card or telephone or Internet proxy is the one that is counted. Your attendance at the Annual Meeting by itself will not revoke your proxy.</w:t>
      </w:r>
    </w:p>
    <w:p>
      <w:pPr>
        <w:spacing w:after="0" w:line="22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Mediant Communications, Inc. is expected to tabulate the votes and an employee of the Company is expected to be our inspector of election and will certify the votes.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are a record holder and you indicate when voting on the Internet or by telephone that you wish to vote as recommended by the Board, then your shares will be voted at the Annual Meeting in accordance with the Board’s recommendation on all matters presented for a vote at the Annual Meeting. Similarly, if you are a record holder and submit a proxy but do not indicate any voting instructions, the persons named as proxies will vote in accordance with the recommendations of the Board. The Board’s recommendations are indicated on page 2 of this proxy statement, along with the description of each proposal in this proxy statement.</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are a beneficial owner of shares held in street name and do not provide the organization that holds your shares with specific voting instructions, then, the organization that holds your shares may generally vote your shares in their discretion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8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Shares represented by proxies that reflect a broker non-vote will be counted as present for purposes of determining the presence of a quorum exists. As discussed above, broker non-votes occur when shares held by a broker in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962" w:right="359" w:bottom="1440" w:gutter="0" w:footer="0" w:header="0"/>
        </w:sectPr>
      </w:pPr>
    </w:p>
    <w:bookmarkStart w:id="9" w:name="page10"/>
    <w:bookmarkEnd w:id="9"/>
    <w:p>
      <w:pPr>
        <w:ind w:right="40"/>
        <w:spacing w:after="0" w:line="252" w:lineRule="auto"/>
        <w:rPr>
          <w:sz w:val="20"/>
          <w:szCs w:val="20"/>
          <w:color w:val="auto"/>
        </w:rPr>
      </w:pPr>
      <w:r>
        <w:rPr>
          <w:rFonts w:ascii="Arial" w:cs="Arial" w:eastAsia="Arial" w:hAnsi="Arial"/>
          <w:sz w:val="18"/>
          <w:szCs w:val="18"/>
          <w:color w:val="auto"/>
        </w:rPr>
        <w:t>“street name” for a beneficial owner are not voted with respect to a particular proposal because (1) the broker has not received voting instructions from the beneficial owner and (2) the broker lacks discretionary voting power to vote those shares on a particular matter. A broker has discretionary power to vote shares without instruction from the beneficial owner on routine matters, such as the ratification of the appointment of BDO USA, LLP as our independent registered public accounting firm. Thus, broker non-votes are not expected on that proposal. On the other hand, absent instructions from the beneficial owner of such shares, a broker is not entitled to vote shares held for a beneficial owner on non-routine matters. Broker non-votes on the election of directors, a non-routine matter, will have no effect because they are not considered a vote cast, and the three directors that receive the highest number of votes will be elected.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8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Shares of common stock held by persons attending the Annual Meeting but not voting, and shares represented by proxies that reflect withheld votes or abstentions as to a particular proposal, will be counted as present for purposes of determining the presence of a quorum. A “vote withheld,” in the case of the proposal regarding the election of directors, or an “abstention,” in the case of the ratification of the appointment of BDO USA, LLP, represents a stockholder's affirmative choice to decline to vote on a proposal. Votes withheld have no effect on the election of directors, as the three directors that receive the highest number of votes will be elected, and abstentions are not considered to be votes cast and will have no effect on the ratification of the appointment of BDO USA, LLP.</w:t>
      </w:r>
    </w:p>
    <w:p>
      <w:pPr>
        <w:spacing w:after="0" w:line="21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89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Proposal</w:t>
            </w:r>
          </w:p>
        </w:tc>
        <w:tc>
          <w:tcPr>
            <w:tcW w:w="406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Votes Required</w:t>
            </w:r>
          </w:p>
        </w:tc>
        <w:tc>
          <w:tcPr>
            <w:tcW w:w="4500" w:type="dxa"/>
            <w:vAlign w:val="bottom"/>
          </w:tcPr>
          <w:p>
            <w:pPr>
              <w:ind w:left="1260"/>
              <w:spacing w:after="0"/>
              <w:rPr>
                <w:sz w:val="20"/>
                <w:szCs w:val="20"/>
                <w:color w:val="auto"/>
              </w:rPr>
            </w:pPr>
            <w:r>
              <w:rPr>
                <w:rFonts w:ascii="Arial" w:cs="Arial" w:eastAsia="Arial" w:hAnsi="Arial"/>
                <w:sz w:val="18"/>
                <w:szCs w:val="18"/>
                <w:b w:val="1"/>
                <w:bCs w:val="1"/>
                <w:color w:val="auto"/>
                <w:w w:val="98"/>
              </w:rPr>
              <w:t>Effect of Votes Withheld / Abstentions</w:t>
            </w:r>
          </w:p>
        </w:tc>
        <w:tc>
          <w:tcPr>
            <w:tcW w:w="0" w:type="dxa"/>
            <w:vAlign w:val="bottom"/>
          </w:tcPr>
          <w:p>
            <w:pPr>
              <w:spacing w:after="0"/>
              <w:rPr>
                <w:sz w:val="1"/>
                <w:szCs w:val="1"/>
                <w:color w:val="auto"/>
              </w:rPr>
            </w:pPr>
          </w:p>
        </w:tc>
      </w:tr>
      <w:tr>
        <w:trPr>
          <w:trHeight w:val="239"/>
        </w:trPr>
        <w:tc>
          <w:tcPr>
            <w:tcW w:w="2280" w:type="dxa"/>
            <w:vAlign w:val="bottom"/>
            <w:vMerge w:val="continue"/>
          </w:tcPr>
          <w:p>
            <w:pPr>
              <w:spacing w:after="0"/>
              <w:rPr>
                <w:sz w:val="20"/>
                <w:szCs w:val="20"/>
                <w:color w:val="auto"/>
              </w:rPr>
            </w:pPr>
          </w:p>
        </w:tc>
        <w:tc>
          <w:tcPr>
            <w:tcW w:w="4060" w:type="dxa"/>
            <w:vAlign w:val="bottom"/>
            <w:vMerge w:val="continue"/>
          </w:tcPr>
          <w:p>
            <w:pPr>
              <w:spacing w:after="0"/>
              <w:rPr>
                <w:sz w:val="20"/>
                <w:szCs w:val="20"/>
                <w:color w:val="auto"/>
              </w:rPr>
            </w:pPr>
          </w:p>
        </w:tc>
        <w:tc>
          <w:tcPr>
            <w:tcW w:w="4500" w:type="dxa"/>
            <w:vAlign w:val="bottom"/>
          </w:tcPr>
          <w:p>
            <w:pPr>
              <w:ind w:left="1260"/>
              <w:spacing w:after="0"/>
              <w:rPr>
                <w:sz w:val="20"/>
                <w:szCs w:val="20"/>
                <w:color w:val="auto"/>
              </w:rPr>
            </w:pPr>
            <w:r>
              <w:rPr>
                <w:rFonts w:ascii="Arial" w:cs="Arial" w:eastAsia="Arial" w:hAnsi="Arial"/>
                <w:sz w:val="18"/>
                <w:szCs w:val="18"/>
                <w:b w:val="1"/>
                <w:bCs w:val="1"/>
                <w:color w:val="auto"/>
              </w:rPr>
              <w:t>and 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488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p>
      <w:pPr>
        <w:ind w:left="20"/>
        <w:spacing w:after="0" w:line="236" w:lineRule="auto"/>
        <w:tabs>
          <w:tab w:leader="none" w:pos="3800" w:val="left"/>
        </w:tabs>
        <w:rPr>
          <w:sz w:val="20"/>
          <w:szCs w:val="20"/>
          <w:color w:val="auto"/>
        </w:rPr>
      </w:pPr>
      <w:r>
        <w:rPr>
          <w:rFonts w:ascii="Arial" w:cs="Arial" w:eastAsia="Arial" w:hAnsi="Arial"/>
          <w:sz w:val="18"/>
          <w:szCs w:val="18"/>
          <w:color w:val="auto"/>
        </w:rPr>
        <w:t>Proposal 1: Election of Directors</w:t>
      </w:r>
      <w:r>
        <w:rPr>
          <w:sz w:val="20"/>
          <w:szCs w:val="20"/>
          <w:color w:val="auto"/>
        </w:rPr>
        <w:tab/>
      </w:r>
      <w:r>
        <w:rPr>
          <w:rFonts w:ascii="Arial" w:cs="Arial" w:eastAsia="Arial" w:hAnsi="Arial"/>
          <w:sz w:val="17"/>
          <w:szCs w:val="17"/>
          <w:color w:val="auto"/>
        </w:rPr>
        <w:t>The plurality of the votes cast. This means that</w:t>
      </w:r>
    </w:p>
    <w:p>
      <w:pPr>
        <w:ind w:left="3820"/>
        <w:spacing w:after="0" w:line="203" w:lineRule="auto"/>
        <w:rPr>
          <w:sz w:val="20"/>
          <w:szCs w:val="20"/>
          <w:color w:val="auto"/>
        </w:rPr>
      </w:pPr>
      <w:r>
        <w:rPr>
          <w:rFonts w:ascii="Arial" w:cs="Arial" w:eastAsia="Arial" w:hAnsi="Arial"/>
          <w:sz w:val="18"/>
          <w:szCs w:val="18"/>
          <w:color w:val="auto"/>
        </w:rPr>
        <w:t>the three nominees receiving the highest</w:t>
      </w:r>
    </w:p>
    <w:p>
      <w:pPr>
        <w:ind w:left="3820"/>
        <w:spacing w:after="0" w:line="204" w:lineRule="auto"/>
        <w:rPr>
          <w:sz w:val="20"/>
          <w:szCs w:val="20"/>
          <w:color w:val="auto"/>
        </w:rPr>
      </w:pPr>
      <w:r>
        <w:rPr>
          <w:rFonts w:ascii="Arial" w:cs="Arial" w:eastAsia="Arial" w:hAnsi="Arial"/>
          <w:sz w:val="18"/>
          <w:szCs w:val="18"/>
          <w:color w:val="auto"/>
        </w:rPr>
        <w:t>number of affirmative "FOR" votes will be</w:t>
      </w:r>
    </w:p>
    <w:p>
      <w:pPr>
        <w:ind w:left="3820"/>
        <w:spacing w:after="0"/>
        <w:rPr>
          <w:sz w:val="20"/>
          <w:szCs w:val="20"/>
          <w:color w:val="auto"/>
        </w:rPr>
      </w:pPr>
      <w:r>
        <w:rPr>
          <w:rFonts w:ascii="Arial" w:cs="Arial" w:eastAsia="Arial" w:hAnsi="Arial"/>
          <w:sz w:val="18"/>
          <w:szCs w:val="18"/>
          <w:color w:val="auto"/>
        </w:rPr>
        <w:t>elected as Class III directors.</w:t>
      </w:r>
    </w:p>
    <w:p>
      <w:pPr>
        <w:ind w:left="20"/>
        <w:spacing w:after="0"/>
        <w:tabs>
          <w:tab w:leader="none" w:pos="3800" w:val="left"/>
        </w:tabs>
        <w:rPr>
          <w:sz w:val="20"/>
          <w:szCs w:val="20"/>
          <w:color w:val="auto"/>
        </w:rPr>
      </w:pPr>
      <w:r>
        <w:rPr>
          <w:rFonts w:ascii="Arial" w:cs="Arial" w:eastAsia="Arial" w:hAnsi="Arial"/>
          <w:sz w:val="18"/>
          <w:szCs w:val="18"/>
          <w:color w:val="auto"/>
        </w:rPr>
        <w:t>Proposal 2: Ratification of Appointment of</w:t>
      </w:r>
      <w:r>
        <w:rPr>
          <w:sz w:val="20"/>
          <w:szCs w:val="20"/>
          <w:color w:val="auto"/>
        </w:rPr>
        <w:tab/>
      </w:r>
      <w:r>
        <w:rPr>
          <w:rFonts w:ascii="Arial" w:cs="Arial" w:eastAsia="Arial" w:hAnsi="Arial"/>
          <w:sz w:val="17"/>
          <w:szCs w:val="17"/>
          <w:color w:val="auto"/>
        </w:rPr>
        <w:t>The affirmative vote of a majority of the votes</w:t>
      </w:r>
    </w:p>
    <w:p>
      <w:pPr>
        <w:ind w:left="20"/>
        <w:spacing w:after="0" w:line="215" w:lineRule="auto"/>
        <w:tabs>
          <w:tab w:leader="none" w:pos="3800" w:val="left"/>
        </w:tabs>
        <w:rPr>
          <w:sz w:val="20"/>
          <w:szCs w:val="20"/>
          <w:color w:val="auto"/>
        </w:rPr>
      </w:pPr>
      <w:r>
        <w:rPr>
          <w:rFonts w:ascii="Arial" w:cs="Arial" w:eastAsia="Arial" w:hAnsi="Arial"/>
          <w:sz w:val="18"/>
          <w:szCs w:val="18"/>
          <w:color w:val="auto"/>
        </w:rPr>
        <w:t>Independent Registered Public Accounting</w:t>
      </w:r>
      <w:r>
        <w:rPr>
          <w:sz w:val="20"/>
          <w:szCs w:val="20"/>
          <w:color w:val="auto"/>
        </w:rPr>
        <w:tab/>
      </w:r>
      <w:r>
        <w:rPr>
          <w:rFonts w:ascii="Arial" w:cs="Arial" w:eastAsia="Arial" w:hAnsi="Arial"/>
          <w:sz w:val="17"/>
          <w:szCs w:val="17"/>
          <w:color w:val="auto"/>
        </w:rPr>
        <w:t>cast for or against the matter.</w:t>
      </w:r>
    </w:p>
    <w:p>
      <w:pPr>
        <w:ind w:left="20"/>
        <w:spacing w:after="0"/>
        <w:rPr>
          <w:sz w:val="20"/>
          <w:szCs w:val="20"/>
          <w:color w:val="auto"/>
        </w:rPr>
      </w:pPr>
      <w:r>
        <w:rPr>
          <w:rFonts w:ascii="Arial" w:cs="Arial" w:eastAsia="Arial" w:hAnsi="Arial"/>
          <w:sz w:val="18"/>
          <w:szCs w:val="18"/>
          <w:color w:val="auto"/>
        </w:rPr>
        <w:t>Firm</w:t>
      </w:r>
    </w:p>
    <w:p>
      <w:pPr>
        <w:spacing w:after="0" w:line="20" w:lineRule="exact"/>
        <w:rPr>
          <w:sz w:val="20"/>
          <w:szCs w:val="20"/>
          <w:color w:val="auto"/>
        </w:rPr>
      </w:pPr>
      <w:r>
        <w:rPr>
          <w:sz w:val="20"/>
          <w:szCs w:val="20"/>
          <w:color w:val="auto"/>
        </w:rPr>
        <w:br w:type="column"/>
      </w:r>
    </w:p>
    <w:p>
      <w:pPr>
        <w:ind w:right="380"/>
        <w:spacing w:after="0" w:line="227" w:lineRule="auto"/>
        <w:rPr>
          <w:sz w:val="20"/>
          <w:szCs w:val="20"/>
          <w:color w:val="auto"/>
        </w:rPr>
      </w:pPr>
      <w:r>
        <w:rPr>
          <w:rFonts w:ascii="Arial" w:cs="Arial" w:eastAsia="Arial" w:hAnsi="Arial"/>
          <w:sz w:val="18"/>
          <w:szCs w:val="18"/>
          <w:color w:val="auto"/>
        </w:rPr>
        <w:t>Votes withheld and broker non-votes will have no effect.</w:t>
      </w:r>
    </w:p>
    <w:p>
      <w:pPr>
        <w:spacing w:after="0" w:line="364"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Abstentions will have no effect. We do not expect any broker non-votes on this proposal.</w:t>
      </w:r>
    </w:p>
    <w:p>
      <w:pPr>
        <w:spacing w:after="0" w:line="200" w:lineRule="exact"/>
        <w:rPr>
          <w:sz w:val="20"/>
          <w:szCs w:val="20"/>
          <w:color w:val="auto"/>
        </w:rPr>
      </w:pPr>
    </w:p>
    <w:p>
      <w:pPr>
        <w:sectPr>
          <w:pgSz w:w="11900" w:h="16838" w:orient="portrait"/>
          <w:cols w:equalWidth="0" w:num="2">
            <w:col w:w="7540" w:space="80"/>
            <w:col w:w="3580"/>
          </w:cols>
          <w:pgMar w:left="320" w:top="908" w:right="37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within four business days after the Annual Meeting. If final voting results are not available to us in time to file a Form 8-K within four business days after the Annual Meeting, we intend to file a Form 8-K to publish the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908"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At the Annual Meeting, three (3) Class III directors are to be elected to hold office for three-year terms expiring at the Annual Meeting of Stockholders to be held in 2025 and until each such director’s successor is elected and qualified or until such director’s earlier death, resignation or removal. Based on the recommendation of the Nominating and Corporate Governance Committee, the Board has nominated Bruce Robertson, Ph.D., Wendy Johnson and Fortunato Ron Rocca for re-election as Class III directors at the Annual Meeting.</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Amended and Restated Certificate of Incorporation (the “Charter”) and Bylaws provide that the authorized number of directors shall be fixed from time to time exclusively by resolution adopted by the Board. We currently have nine (9) authorized directors on our Board.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until such director's successor is elected and qualified or until such director's earlier death, resignation or removal. The following table summarizes the class, independence and committee membership of our current directors and director nominees as of the date of these proxy materials and their respective ages as of April 18,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Name</w:t>
            </w:r>
          </w:p>
        </w:tc>
        <w:tc>
          <w:tcPr>
            <w:tcW w:w="108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w w:val="99"/>
              </w:rPr>
              <w:t>Age</w:t>
            </w:r>
          </w:p>
        </w:tc>
        <w:tc>
          <w:tcPr>
            <w:tcW w:w="280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Position</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Independent</w:t>
            </w:r>
          </w:p>
        </w:tc>
        <w:tc>
          <w:tcPr>
            <w:tcW w:w="386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Committee Membership</w:t>
            </w:r>
          </w:p>
        </w:tc>
      </w:tr>
      <w:tr>
        <w:trPr>
          <w:trHeight w:val="213"/>
        </w:trPr>
        <w:tc>
          <w:tcPr>
            <w:tcW w:w="112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CLASS III DIRECTOR NOMINEES - Nominated for Re-election with a Term to Expire at the 2025 Annual Meeting</w:t>
            </w:r>
          </w:p>
        </w:tc>
      </w:tr>
      <w:tr>
        <w:trPr>
          <w:trHeight w:val="177"/>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60" w:type="dxa"/>
            <w:vAlign w:val="bottom"/>
          </w:tcPr>
          <w:p>
            <w:pPr>
              <w:ind w:left="120"/>
              <w:spacing w:after="0" w:line="178" w:lineRule="exact"/>
              <w:rPr>
                <w:sz w:val="20"/>
                <w:szCs w:val="20"/>
                <w:color w:val="auto"/>
              </w:rPr>
            </w:pPr>
            <w:r>
              <w:rPr>
                <w:rFonts w:ascii="Arial" w:cs="Arial" w:eastAsia="Arial" w:hAnsi="Arial"/>
                <w:sz w:val="16"/>
                <w:szCs w:val="16"/>
                <w:color w:val="auto"/>
              </w:rPr>
              <w:t>Compensation (Chair), Nominating and</w:t>
            </w:r>
          </w:p>
        </w:tc>
      </w:tr>
      <w:tr>
        <w:trPr>
          <w:trHeight w:val="198"/>
        </w:trPr>
        <w:tc>
          <w:tcPr>
            <w:tcW w:w="2320" w:type="dxa"/>
            <w:vAlign w:val="bottom"/>
          </w:tcPr>
          <w:p>
            <w:pPr>
              <w:ind w:left="20"/>
              <w:spacing w:after="0"/>
              <w:rPr>
                <w:sz w:val="20"/>
                <w:szCs w:val="20"/>
                <w:color w:val="auto"/>
              </w:rPr>
            </w:pPr>
            <w:r>
              <w:rPr>
                <w:rFonts w:ascii="Arial" w:cs="Arial" w:eastAsia="Arial" w:hAnsi="Arial"/>
                <w:sz w:val="16"/>
                <w:szCs w:val="16"/>
                <w:color w:val="auto"/>
              </w:rPr>
              <w:t>Bruce Robertson, Ph.D.</w:t>
            </w:r>
          </w:p>
        </w:tc>
        <w:tc>
          <w:tcPr>
            <w:tcW w:w="1080" w:type="dxa"/>
            <w:vAlign w:val="bottom"/>
          </w:tcPr>
          <w:p>
            <w:pPr>
              <w:jc w:val="center"/>
              <w:ind w:left="299"/>
              <w:spacing w:after="0"/>
              <w:rPr>
                <w:sz w:val="20"/>
                <w:szCs w:val="20"/>
                <w:color w:val="auto"/>
              </w:rPr>
            </w:pPr>
            <w:r>
              <w:rPr>
                <w:rFonts w:ascii="Arial" w:cs="Arial" w:eastAsia="Arial" w:hAnsi="Arial"/>
                <w:sz w:val="16"/>
                <w:szCs w:val="16"/>
                <w:color w:val="auto"/>
              </w:rPr>
              <w:t>59</w:t>
            </w:r>
          </w:p>
        </w:tc>
        <w:tc>
          <w:tcPr>
            <w:tcW w:w="2800" w:type="dxa"/>
            <w:vAlign w:val="bottom"/>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Pr>
          <w:p>
            <w:pPr>
              <w:ind w:left="120"/>
              <w:spacing w:after="0"/>
              <w:rPr>
                <w:sz w:val="20"/>
                <w:szCs w:val="20"/>
                <w:color w:val="auto"/>
              </w:rPr>
            </w:pPr>
            <w:r>
              <w:rPr>
                <w:rFonts w:ascii="Arial" w:cs="Arial" w:eastAsia="Arial" w:hAnsi="Arial"/>
                <w:sz w:val="16"/>
                <w:szCs w:val="16"/>
                <w:color w:val="auto"/>
              </w:rPr>
              <w:t>Governance</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Wendy Johnson</w:t>
            </w:r>
          </w:p>
        </w:tc>
        <w:tc>
          <w:tcPr>
            <w:tcW w:w="10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70</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Audit</w:t>
            </w:r>
          </w:p>
        </w:tc>
      </w:tr>
      <w:tr>
        <w:trPr>
          <w:trHeight w:val="177"/>
        </w:trPr>
        <w:tc>
          <w:tcPr>
            <w:tcW w:w="2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0" w:type="dxa"/>
            <w:vAlign w:val="bottom"/>
          </w:tcPr>
          <w:p>
            <w:pPr>
              <w:ind w:left="220"/>
              <w:spacing w:after="0" w:line="178" w:lineRule="exact"/>
              <w:rPr>
                <w:sz w:val="20"/>
                <w:szCs w:val="20"/>
                <w:color w:val="auto"/>
              </w:rPr>
            </w:pPr>
            <w:r>
              <w:rPr>
                <w:rFonts w:ascii="Arial" w:cs="Arial" w:eastAsia="Arial" w:hAnsi="Arial"/>
                <w:sz w:val="16"/>
                <w:szCs w:val="16"/>
                <w:color w:val="auto"/>
              </w:rPr>
              <w:t>President, Chief Executive Officer,</w:t>
            </w:r>
          </w:p>
        </w:tc>
        <w:tc>
          <w:tcPr>
            <w:tcW w:w="118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6"/>
                <w:szCs w:val="16"/>
                <w:color w:val="auto"/>
              </w:rPr>
              <w:t>Fortunato Ron Rocca</w:t>
            </w:r>
          </w:p>
        </w:tc>
        <w:tc>
          <w:tcPr>
            <w:tcW w:w="1080" w:type="dxa"/>
            <w:vAlign w:val="bottom"/>
          </w:tcPr>
          <w:p>
            <w:pPr>
              <w:jc w:val="center"/>
              <w:ind w:left="299"/>
              <w:spacing w:after="0"/>
              <w:rPr>
                <w:sz w:val="20"/>
                <w:szCs w:val="20"/>
                <w:color w:val="auto"/>
              </w:rPr>
            </w:pPr>
            <w:r>
              <w:rPr>
                <w:rFonts w:ascii="Arial" w:cs="Arial" w:eastAsia="Arial" w:hAnsi="Arial"/>
                <w:sz w:val="16"/>
                <w:szCs w:val="16"/>
                <w:color w:val="auto"/>
              </w:rPr>
              <w:t>60</w:t>
            </w:r>
          </w:p>
        </w:tc>
        <w:tc>
          <w:tcPr>
            <w:tcW w:w="2800" w:type="dxa"/>
            <w:vAlign w:val="bottom"/>
          </w:tcPr>
          <w:p>
            <w:pPr>
              <w:ind w:left="220"/>
              <w:spacing w:after="0"/>
              <w:rPr>
                <w:sz w:val="20"/>
                <w:szCs w:val="20"/>
                <w:color w:val="auto"/>
              </w:rPr>
            </w:pPr>
            <w:r>
              <w:rPr>
                <w:rFonts w:ascii="Arial" w:cs="Arial" w:eastAsia="Arial" w:hAnsi="Arial"/>
                <w:sz w:val="16"/>
                <w:szCs w:val="16"/>
                <w:color w:val="auto"/>
              </w:rPr>
              <w:t>and Director</w:t>
            </w:r>
          </w:p>
        </w:tc>
        <w:tc>
          <w:tcPr>
            <w:tcW w:w="11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19"/>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CLASS I DIRECTORS - Terms to Expire at the 2023 Annual Meeting</w:t>
            </w:r>
          </w:p>
        </w:tc>
        <w:tc>
          <w:tcPr>
            <w:tcW w:w="118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Brian Birk</w:t>
            </w:r>
          </w:p>
        </w:tc>
        <w:tc>
          <w:tcPr>
            <w:tcW w:w="1080" w:type="dxa"/>
            <w:vAlign w:val="bottom"/>
          </w:tcPr>
          <w:p>
            <w:pPr>
              <w:jc w:val="center"/>
              <w:ind w:left="299"/>
              <w:spacing w:after="0"/>
              <w:rPr>
                <w:sz w:val="20"/>
                <w:szCs w:val="20"/>
                <w:color w:val="auto"/>
              </w:rPr>
            </w:pPr>
            <w:r>
              <w:rPr>
                <w:rFonts w:ascii="Arial" w:cs="Arial" w:eastAsia="Arial" w:hAnsi="Arial"/>
                <w:sz w:val="16"/>
                <w:szCs w:val="16"/>
                <w:color w:val="auto"/>
              </w:rPr>
              <w:t>62</w:t>
            </w:r>
          </w:p>
        </w:tc>
        <w:tc>
          <w:tcPr>
            <w:tcW w:w="2800" w:type="dxa"/>
            <w:vAlign w:val="bottom"/>
          </w:tcPr>
          <w:p>
            <w:pPr>
              <w:ind w:left="220"/>
              <w:spacing w:after="0"/>
              <w:rPr>
                <w:sz w:val="20"/>
                <w:szCs w:val="20"/>
                <w:color w:val="auto"/>
              </w:rPr>
            </w:pPr>
            <w:r>
              <w:rPr>
                <w:rFonts w:ascii="Arial" w:cs="Arial" w:eastAsia="Arial" w:hAnsi="Arial"/>
                <w:sz w:val="16"/>
                <w:szCs w:val="16"/>
                <w:color w:val="auto"/>
              </w:rPr>
              <w:t>Chairman of the Board</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Pr>
          <w:p>
            <w:pPr>
              <w:ind w:left="120"/>
              <w:spacing w:after="0"/>
              <w:rPr>
                <w:sz w:val="20"/>
                <w:szCs w:val="20"/>
                <w:color w:val="auto"/>
              </w:rPr>
            </w:pPr>
            <w:r>
              <w:rPr>
                <w:rFonts w:ascii="Arial" w:cs="Arial" w:eastAsia="Arial" w:hAnsi="Arial"/>
                <w:sz w:val="16"/>
                <w:szCs w:val="16"/>
                <w:color w:val="auto"/>
              </w:rPr>
              <w:t>Nominating and Governance (Chair)</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Tina S. Nova, Ph.D.</w:t>
            </w:r>
          </w:p>
        </w:tc>
        <w:tc>
          <w:tcPr>
            <w:tcW w:w="10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68</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Audit, Compensation</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Ebetuel Pallares, Ph.D.</w:t>
            </w:r>
          </w:p>
        </w:tc>
        <w:tc>
          <w:tcPr>
            <w:tcW w:w="1080" w:type="dxa"/>
            <w:vAlign w:val="bottom"/>
          </w:tcPr>
          <w:p>
            <w:pPr>
              <w:jc w:val="center"/>
              <w:ind w:left="299"/>
              <w:spacing w:after="0"/>
              <w:rPr>
                <w:sz w:val="20"/>
                <w:szCs w:val="20"/>
                <w:color w:val="auto"/>
              </w:rPr>
            </w:pPr>
            <w:r>
              <w:rPr>
                <w:rFonts w:ascii="Arial" w:cs="Arial" w:eastAsia="Arial" w:hAnsi="Arial"/>
                <w:sz w:val="16"/>
                <w:szCs w:val="16"/>
                <w:color w:val="auto"/>
              </w:rPr>
              <w:t>48</w:t>
            </w:r>
          </w:p>
        </w:tc>
        <w:tc>
          <w:tcPr>
            <w:tcW w:w="2800" w:type="dxa"/>
            <w:vAlign w:val="bottom"/>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Pr>
          <w:p>
            <w:pPr>
              <w:ind w:left="120"/>
              <w:spacing w:after="0"/>
              <w:rPr>
                <w:sz w:val="20"/>
                <w:szCs w:val="20"/>
                <w:color w:val="auto"/>
              </w:rPr>
            </w:pPr>
            <w:r>
              <w:rPr>
                <w:rFonts w:ascii="Arial" w:cs="Arial" w:eastAsia="Arial" w:hAnsi="Arial"/>
                <w:sz w:val="16"/>
                <w:szCs w:val="16"/>
                <w:color w:val="auto"/>
              </w:rPr>
              <w:t>Nominating and Governance</w:t>
            </w:r>
          </w:p>
        </w:tc>
      </w:tr>
      <w:tr>
        <w:trPr>
          <w:trHeight w:val="219"/>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CLASS II DIRECTORS - Terms to Expire at the 2024 Annual Meeting</w:t>
            </w:r>
          </w:p>
        </w:tc>
        <w:tc>
          <w:tcPr>
            <w:tcW w:w="118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Ana Hooker</w:t>
            </w:r>
          </w:p>
        </w:tc>
        <w:tc>
          <w:tcPr>
            <w:tcW w:w="1080" w:type="dxa"/>
            <w:vAlign w:val="bottom"/>
          </w:tcPr>
          <w:p>
            <w:pPr>
              <w:jc w:val="center"/>
              <w:ind w:left="299"/>
              <w:spacing w:after="0"/>
              <w:rPr>
                <w:sz w:val="20"/>
                <w:szCs w:val="20"/>
                <w:color w:val="auto"/>
              </w:rPr>
            </w:pPr>
            <w:r>
              <w:rPr>
                <w:rFonts w:ascii="Arial" w:cs="Arial" w:eastAsia="Arial" w:hAnsi="Arial"/>
                <w:sz w:val="16"/>
                <w:szCs w:val="16"/>
                <w:color w:val="auto"/>
              </w:rPr>
              <w:t>56</w:t>
            </w:r>
          </w:p>
        </w:tc>
        <w:tc>
          <w:tcPr>
            <w:tcW w:w="2800" w:type="dxa"/>
            <w:vAlign w:val="bottom"/>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Pr>
          <w:p>
            <w:pPr>
              <w:ind w:left="120"/>
              <w:spacing w:after="0"/>
              <w:rPr>
                <w:sz w:val="20"/>
                <w:szCs w:val="20"/>
                <w:color w:val="auto"/>
              </w:rPr>
            </w:pPr>
            <w:r>
              <w:rPr>
                <w:rFonts w:ascii="Arial" w:cs="Arial" w:eastAsia="Arial" w:hAnsi="Arial"/>
                <w:sz w:val="16"/>
                <w:szCs w:val="16"/>
                <w:color w:val="auto"/>
              </w:rPr>
              <w:t>Compensation</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Frank Stokes</w:t>
            </w:r>
          </w:p>
        </w:tc>
        <w:tc>
          <w:tcPr>
            <w:tcW w:w="10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52</w:t>
            </w:r>
          </w:p>
        </w:tc>
        <w:tc>
          <w:tcPr>
            <w:tcW w:w="2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Audit (Chair)</w:t>
            </w:r>
          </w:p>
        </w:tc>
      </w:tr>
      <w:tr>
        <w:trPr>
          <w:trHeight w:val="210"/>
        </w:trPr>
        <w:tc>
          <w:tcPr>
            <w:tcW w:w="2320" w:type="dxa"/>
            <w:vAlign w:val="bottom"/>
          </w:tcPr>
          <w:p>
            <w:pPr>
              <w:ind w:left="20"/>
              <w:spacing w:after="0"/>
              <w:rPr>
                <w:sz w:val="20"/>
                <w:szCs w:val="20"/>
                <w:color w:val="auto"/>
              </w:rPr>
            </w:pPr>
            <w:r>
              <w:rPr>
                <w:rFonts w:ascii="Arial" w:cs="Arial" w:eastAsia="Arial" w:hAnsi="Arial"/>
                <w:sz w:val="16"/>
                <w:szCs w:val="16"/>
                <w:color w:val="auto"/>
              </w:rPr>
              <w:t>James L.L. Tullis</w:t>
            </w:r>
          </w:p>
        </w:tc>
        <w:tc>
          <w:tcPr>
            <w:tcW w:w="1080" w:type="dxa"/>
            <w:vAlign w:val="bottom"/>
          </w:tcPr>
          <w:p>
            <w:pPr>
              <w:jc w:val="center"/>
              <w:ind w:left="299"/>
              <w:spacing w:after="0"/>
              <w:rPr>
                <w:sz w:val="20"/>
                <w:szCs w:val="20"/>
                <w:color w:val="auto"/>
              </w:rPr>
            </w:pPr>
            <w:r>
              <w:rPr>
                <w:rFonts w:ascii="Arial" w:cs="Arial" w:eastAsia="Arial" w:hAnsi="Arial"/>
                <w:sz w:val="16"/>
                <w:szCs w:val="16"/>
                <w:color w:val="auto"/>
              </w:rPr>
              <w:t>74</w:t>
            </w:r>
          </w:p>
        </w:tc>
        <w:tc>
          <w:tcPr>
            <w:tcW w:w="2800" w:type="dxa"/>
            <w:vAlign w:val="bottom"/>
          </w:tcPr>
          <w:p>
            <w:pPr>
              <w:ind w:left="220"/>
              <w:spacing w:after="0"/>
              <w:rPr>
                <w:sz w:val="20"/>
                <w:szCs w:val="20"/>
                <w:color w:val="auto"/>
              </w:rPr>
            </w:pPr>
            <w:r>
              <w:rPr>
                <w:rFonts w:ascii="Arial" w:cs="Arial" w:eastAsia="Arial" w:hAnsi="Arial"/>
                <w:sz w:val="16"/>
                <w:szCs w:val="16"/>
                <w:color w:val="auto"/>
              </w:rPr>
              <w:t>Director</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3860" w:type="dxa"/>
            <w:vAlign w:val="bottom"/>
          </w:tcPr>
          <w:p>
            <w:pPr>
              <w:ind w:left="120"/>
              <w:spacing w:after="0"/>
              <w:rPr>
                <w:sz w:val="20"/>
                <w:szCs w:val="20"/>
                <w:color w:val="auto"/>
              </w:rPr>
            </w:pPr>
            <w:r>
              <w:rPr>
                <w:rFonts w:ascii="Arial" w:cs="Arial" w:eastAsia="Arial" w:hAnsi="Arial"/>
                <w:sz w:val="16"/>
                <w:szCs w:val="16"/>
                <w:color w:val="auto"/>
              </w:rPr>
              <w:t>Compensation</w:t>
            </w:r>
          </w:p>
        </w:tc>
      </w:tr>
    </w:tbl>
    <w:p>
      <w:pPr>
        <w:spacing w:after="0" w:line="34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division of our Board into three classes with staggered three-year terms may delay or prevent a change of our management or a change in control of our Company. Our directors may be removed only for cause and only by the affirmative vote of the holders of at least two-thirds of the voting power of the then-outstanding shares of capital stock entitled to vote in the election of directors.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event any of the nominees should become unable to serve, or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All of the persons whose names and biographies appear below are currently serving as our directors. Each of our directors and director nominees brings to the board of directors significant leadership experience derived from their professional experience and service as executives or board members of other companies. The process undertaken by the Nominating and Corporate Governance Committee in recommending qualified director candidates is described below under "Board Diversity and Director Nomination Process." Certain individual qualifications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skills of our directors that contribute to the board of directors' effectiveness as a whole are described in the following paragraphs.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Directors</w:t>
      </w:r>
    </w:p>
    <w:p>
      <w:pPr>
        <w:spacing w:after="0" w:line="27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information set forth below as to the directors and nominees for director has been furnished to us by the directors and nominees for director: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(Terms to Expire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Bruce C. Robertson, Ph.D.</w:t>
      </w:r>
      <w:r>
        <w:rPr>
          <w:rFonts w:ascii="Arial" w:cs="Arial" w:eastAsia="Arial" w:hAnsi="Arial"/>
          <w:sz w:val="18"/>
          <w:szCs w:val="18"/>
          <w:color w:val="auto"/>
        </w:rPr>
        <w:t>, has served as a member of the Board since July 2019. Since 2005, Dr. Robertson has served as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H.I.G. Capital, LLC, a global private equity and investment firm. Dr. Robertson previously served as a Managing Director at Toucan Capital, an early-stage venture capital firm. Dr. Robertson serves as a member of the board of directors of Augmedics, Inc., a medical device company, and several other medical device companies. Dr. Robertson holds a B.S.E. in Chemical Engineering and B.A. in Mathematics from the University of Pennsylvania, an M.B.A. from Harvard Business School, and a Ph.D. in Chemical Engineering from the University of Delaware. Dr. Robertson’s medical and research background and his extensive experience as an investor in the medical technologies industry contributed to our Board's conclusion that he should serve as a director of our company.</w:t>
      </w:r>
    </w:p>
    <w:p>
      <w:pPr>
        <w:spacing w:after="0" w:line="216"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Wendy Johnson </w:t>
      </w:r>
      <w:r>
        <w:rPr>
          <w:rFonts w:ascii="Arial" w:cs="Arial" w:eastAsia="Arial" w:hAnsi="Arial"/>
          <w:sz w:val="18"/>
          <w:szCs w:val="18"/>
          <w:color w:val="auto"/>
        </w:rPr>
        <w:t>has served as a member of our board of directors since October 2020. Ms. Johnson has served as Chief Business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Reneo Pharmaceuticals, a pharmaceutical company, since October 2021. From April 2021 to October 2021, Ms. Johnson served as Chief Development Officer of Reneo Pharmaceuticals and from January 2017 to April 2021, Ms. Johnson served as Chief Operating Officer of Reneo Pharmaceuticals. Ms. Johnson was previously the Interim Chief Operating Officer of AmpliPhi Biosciences Corporation from September 2014 to January 2017, and a member of its board of directors from May 2014 until its merger with C3J Therapeutics (Armata Pharmaceuticals) in May 2019. From 2005 to January 2014, Ms. Johnson served as a venture partner at ProQuest Investments, a venture capital firm. From November 2006 to January 2014, Ms. Johnson served as the President and Chief Executive Officer of Aires Pharmaceuticals, a ProQuest portfolio company, until its sale to MAST Therapeutics in 2014. Prior to joining ProQuest, she held senior business and corporate development positions at Salmedix Inc., WomenFirst Healthcare, Prizm Pharmaceuticals (Selective Genetics Inc.), Cytel Corp., Synbiotics Corp., and Murex Corp. (Cambridge U.K.). Additionally, Ms. Johnson served as Assistant Director with the Center for Devices and Radiological Health at the U.S. Food and Drug Administration. Ms. Johnson is also presently on the Board of Directors of MorphoSys AG, a late-stage biopharmaceutical company. Ms. Johnson received an M.B.A. from Loyola University Maryland, her M.S. in Clinical Microbiology from the Hahnemann Medical School (Drexel University), and her B.S. in Microbiology from the University of Maryland. Ms. Johnson’s significant experience in pharmaceutical drug development and business development, as well as her strong background in microbiology contributed to our Board's conclusion that she should serve as a director of our company.</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Fortunato Ron Rocca </w:t>
      </w:r>
      <w:r>
        <w:rPr>
          <w:rFonts w:ascii="Arial" w:cs="Arial" w:eastAsia="Arial" w:hAnsi="Arial"/>
          <w:sz w:val="18"/>
          <w:szCs w:val="18"/>
          <w:color w:val="auto"/>
        </w:rPr>
        <w:t>has served as our President and Chief Executive Officer and as a member of the Board since December 2011.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2005 to October 2011, Mr. Rocca served as Vice President, Sales and Marketing, and as General Manager, at Prometheus, a specialty pharmaceutical and diagnostic company which was acquired by Nestlé SA in 2011, where he was responsible for leading the commercial organization, strategic planning and implementation of projects designed to maximize brand sales. Prior to joining Prometheus, Mr. Rocca served as the General Manager of Alpharma Inc., a specialty pharmaceutical company. Earlier in his career, Mr. Rocca served in senior sales and marketing management positions for Elan Pharmaceuticals, Inc., a neuroscience-focused biotechnology company and Janssen Pharmaceuticals, Inc., a pharmaceutical subsidiary of Johnson &amp; Johnson. Mr. Rocca is currently a member of the board of directors for Interpace Biosciences, Inc. Mr. Rocca received a B.S. in Marketing and Personnel Management from Towson State University. Mr. Rocca’s extensive knowledge of our business, as well as his over 25 years of experience in the diagnostic and pharmaceutical industries, contributed to our Board's conclusion that he should serve as a director of our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(Terms to Expire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908" w:right="359" w:bottom="1440" w:gutter="0" w:footer="0" w:header="0"/>
        </w:sectPr>
      </w:pPr>
    </w:p>
    <w:bookmarkStart w:id="12" w:name="page13"/>
    <w:bookmarkEnd w:id="12"/>
    <w:p>
      <w:pPr>
        <w:ind w:right="80"/>
        <w:spacing w:after="0" w:line="253" w:lineRule="auto"/>
        <w:rPr>
          <w:sz w:val="20"/>
          <w:szCs w:val="20"/>
          <w:color w:val="auto"/>
        </w:rPr>
      </w:pPr>
      <w:r>
        <w:rPr>
          <w:rFonts w:ascii="Arial" w:cs="Arial" w:eastAsia="Arial" w:hAnsi="Arial"/>
          <w:sz w:val="18"/>
          <w:szCs w:val="18"/>
          <w:i w:val="1"/>
          <w:iCs w:val="1"/>
          <w:color w:val="auto"/>
        </w:rPr>
        <w:t xml:space="preserve">Brian Birk </w:t>
      </w:r>
      <w:r>
        <w:rPr>
          <w:rFonts w:ascii="Arial" w:cs="Arial" w:eastAsia="Arial" w:hAnsi="Arial"/>
          <w:sz w:val="18"/>
          <w:szCs w:val="18"/>
          <w:color w:val="auto"/>
        </w:rPr>
        <w:t>has served as a member of the Board since June 2008. In 2006, Mr. Birk co-founded Sun Mountain Capital, a boutique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 focused on the southwest and Rocky Mountain regions which currently manages direct investment funds and funds of funds vehicles and where he serves as Managing Partner. Prior to forming Sun Mountain Capital, Mr. Birk served as a Vice President and Director of Private Equity at Fort Washington Capital Partners, a professional investment management services company. Mr. Birk also served as the Vice President of Technology Commercialization at Applied Minds, LLC, a technology consulting company, and the President of a division at BiosGroup Inc., a company which commercialized complexity science software. Earlier in his career, Mr. Birk held a senior manager position at the Boston Consulting Group, Inc., a global management consulting firm, and finance manager positions at General Electric Company, an American multinational conglomerate, and GE Capital Corporation, its financial services unit. Mr. Birk is currently a member of the board of directors of several private companies, including Agilvax, Inc., Aspen Avionics, Inc., Avisa Pharma, Inc., Green Theme Technologies, Inc. and Respira Therapeutics, Inc. Mr. Birk received a B.A. in Economics from Carleton College and an M.B.A. from Northwestern University’s Kellogg School of Management. Mr. Birk’s experience as a venture capitalist and prior executive experience contributed to our Board's conclusion that he should serve as a director of our company.</w:t>
      </w:r>
    </w:p>
    <w:p>
      <w:pPr>
        <w:spacing w:after="0" w:line="21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Tina S. Nova, Ph.D.</w:t>
      </w:r>
      <w:r>
        <w:rPr>
          <w:rFonts w:ascii="Arial" w:cs="Arial" w:eastAsia="Arial" w:hAnsi="Arial"/>
          <w:sz w:val="18"/>
          <w:szCs w:val="18"/>
          <w:color w:val="auto"/>
        </w:rPr>
        <w:t>, has served as a member of the Board since July 2019. Since March 2021, Dr. Nova has served as President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CLIA U.S. business of Veracyte, Inc., a diagnostics company. Dr. Nova previously served as President and Chief Executive Officer of Decipher Biosciences, Inc. (formerly GenomeDx, Inc.), a molecular diagnostics company, from August 2018 until its acquisition by Veracyte, Inc. in March 2021. Dr. Nova served as President and Chief Executive of Molecular Stethoscope, Inc., a diagnostics company from September 2015 to August 2018. Dr. Nova served as Senior Vice President and General Manager of Illumina Inc.’s oncology business unit from July 2014 to August 2015. Dr. Nova was a co-founder of Genoptix, Inc., a medical laboratory diagnostics company, and served as its President from 2000 to April 2014. Dr. Nova also served as the Chief Executive Officer of Genoptix and as a member of its board of directors from 2000 until Novartis AG acquired Genoptix in March 2011. Dr. Nova was a co-founder of Nanogen, Inc., a provider of molecular diagnostic tests, and she served as its Chief Operating Officer and President from 1994 to 2000. Dr. Nova served as Chief Operating Officer of Selective Genetics, a biotechnology company, from 1992 to 1994, and in various director-level positions, including Executive Director of New Leads Discovery, with Ligand Pharmaceuticals Incorporated, a drug discovery and development company, from 1988 to 1992. Dr. Nova has also held various research and management positions with Hybritech, Inc., a former subsidiary of Eli Lilly &amp; Company, a pharmaceutical company. Dr. Nova formerly served on the board of directors of Arena Pharmaceuticals, Inc., a biopharmaceutical company, OpGen, Inc., an infection prevention and treatment company, and Veracyte, Inc. Dr. Nova holds a B.S. in Biological Sciences from the University of California, Irvine and a Ph.D. in Biochemistry from the University of California, Riverside. Dr. Nova’s extensive leadership, business and scientific expertise in the biopharmaceutical and diagnostics industries, and her experience in successfully developing, launching, and commercializing medical products contributed to our Board's conclusion that she should serve as a director of our company.</w:t>
      </w: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Ebetuel Pallares, Ph.D.</w:t>
      </w:r>
      <w:r>
        <w:rPr>
          <w:rFonts w:ascii="Arial" w:cs="Arial" w:eastAsia="Arial" w:hAnsi="Arial"/>
          <w:sz w:val="18"/>
          <w:szCs w:val="18"/>
          <w:color w:val="auto"/>
        </w:rPr>
        <w:t>, has served as a member of the Board since October 2012. In December 2014, Dr. Pallares founded Proficio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LLC, a seed and early-stage venture fund headquartered in El Paso, Texas ("PCM"), and he has served as its General Partner since that time. Through PCM, Dr. Pallares manages several investments, including PCM/Exagen L.P. In June 2009, he co-founded Cottonwood Capital Partners, the general partner of Cottonwood Technology Fund, a seed and early-stage venture fund with headquarters in El Paso, Texas, and he served as its Managing Partner until December 2014. In 2006, Dr. Pallares founded Joseph Advisory Services, LLC, a strategic consulting firm, and has served as its Manager since that time. He also currently manages investments on behalf of a family office, managing fund commitments and direct investments into private operating companies. His investment sectors span healthcare, medical diagnostics, therapeutics, IT, materials sciences and nanotechnology, education technology, AR/VR and financial technology companies. Dr. Pallares also serves on several corporate and non-profit boards, as an advisor to the UT Horizon Fund, the venture capital investment fund of the University of Texas system, as an Investor in Residence for New Mexico State University’s Arrowhead Center and on the limited partnership advisory committee for several venture funds. He received a B.A. in economics from Brandeis University, an M.B.A. from The University of Texas at El Paso, or UTEP, and a Ph.D. in International Business from UTEP. Dr. Pallares’s extensive venture capital experience and his service as a director for numerous companies contributed to our Board's conclusion that he should serve as a director of our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(Terms to Expire at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33" w:right="339" w:bottom="1440" w:gutter="0" w:footer="0" w:header="0"/>
        </w:sectPr>
      </w:pPr>
    </w:p>
    <w:bookmarkStart w:id="13" w:name="page14"/>
    <w:bookmarkEnd w:id="13"/>
    <w:p>
      <w:pPr>
        <w:spacing w:after="0" w:line="269" w:lineRule="auto"/>
        <w:rPr>
          <w:sz w:val="20"/>
          <w:szCs w:val="20"/>
          <w:color w:val="auto"/>
        </w:rPr>
      </w:pPr>
      <w:r>
        <w:rPr>
          <w:rFonts w:ascii="Arial" w:cs="Arial" w:eastAsia="Arial" w:hAnsi="Arial"/>
          <w:sz w:val="17"/>
          <w:szCs w:val="17"/>
          <w:i w:val="1"/>
          <w:iCs w:val="1"/>
          <w:color w:val="auto"/>
        </w:rPr>
        <w:t xml:space="preserve">Ana Hooker </w:t>
      </w:r>
      <w:r>
        <w:rPr>
          <w:rFonts w:ascii="Arial" w:cs="Arial" w:eastAsia="Arial" w:hAnsi="Arial"/>
          <w:sz w:val="17"/>
          <w:szCs w:val="17"/>
          <w:color w:val="auto"/>
        </w:rPr>
        <w:t>has served as a member of our board of directors since July 2021. Ms. Hooker has served as the Chief Laboratory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Exact Sciences Corporation, a molecular diagnostics company, since February 2022. From July 2015 to February 2022, Ms. Hooker served as Senior Vice President, Operations of Exact Sciences Corporation. Ms. Hooker joined Exact Sciences Corporation in March 2013 with a focus on opening a new clinical laboratory in preparation for the launch of Cologuard. Prior to joining Exact Sciences Corporation, Ms. Hooker was at ARUP Laboratories for 15 years. While at ARUP Laboratories, Ms. Hooker held positions of increasing responsibility, including Group Manager for the Divisions of Oncology and Genetics, Technical Supervisor of the University of Utah Hospital Clinical Laboratories, Vice President, Division Manager for genetics and Senior Vice President, Division Manager for anatomic pathology, oncology and genetics. Ms. Hooker currently serves on the boards of Big Brothers, Big Sisters of Dane County and the Overture Center for the Arts. Ms. Hooker is also a member of the Latino Professional Association (LPA), Clinical Laboratory Management Association (CLMA), Association of Molecular Pathology (AMP), and the American Society of Clinical Laboratory Science (ASCLS). Ms. Hooker earned a Bachelor of Science from Kansas State University, a medical technologist degree from Hays Pathology Laboratories, and an M.B.A. from Westminster College. Ms. Hooker's significant experience in molecular diagnostics contributed to our Board's conclusion that she should serve as a director of our company.</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Frank Stokes </w:t>
      </w:r>
      <w:r>
        <w:rPr>
          <w:rFonts w:ascii="Arial" w:cs="Arial" w:eastAsia="Arial" w:hAnsi="Arial"/>
          <w:sz w:val="18"/>
          <w:szCs w:val="18"/>
          <w:color w:val="auto"/>
        </w:rPr>
        <w:t>has served as a member of our board of directors since June 2021. Mr. Stokes has served as the Chief Financial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Castle Biosciences, Inc., a skin cancer diagnostics company, since December 2017. From January 2017 to December 2017, Mr. Stokes served as Chief Financial Officer of Hammock Pharmaceuticals, a specialty pharmaceutical company focused on the development and commercialization of women's health and urology products. From May 2011 to December 2016, Mr. Stokes served as a Managing Director of Leerink Swann (now SVB Leerink). Mr Stokes also held positions as a Managing Director at Robert W. Baird &amp; Co. Incorporated and Wachovia Securities, LLC. While at SVB Leerink and Robert W. Baird &amp; Co., Mr. Stokes led life sciences, tools and diagnostics sector investment banking efforts, and managed financings and mergers and acquisitions transactions. Mr. Stokes holds a B.S. degree in Business Administration and J.D. and M.B.A. degrees from the University of North Carolina at Chapel Hill. Mr. Stokes' executive experience and experience in the diagnostics and life sciences industries contributed to our Board's conclusion that he should serve as a director of our company.</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James L.L. Tullis </w:t>
      </w:r>
      <w:r>
        <w:rPr>
          <w:rFonts w:ascii="Arial" w:cs="Arial" w:eastAsia="Arial" w:hAnsi="Arial"/>
          <w:sz w:val="18"/>
          <w:szCs w:val="18"/>
          <w:color w:val="auto"/>
        </w:rPr>
        <w:t>has served as a member of the Board since May 2015. In 1986, Mr. Tullis founded Tullis Health Investors, a venture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firm specializing in investments in the healthcare industry and served as its Chief Executive Officer from its inception until December 2018. Since January 2019, Mr. Tullis has served as its chairman. Earlier in his career, Mr. Tullis was a Senior Vice President at E.F. Hutton &amp; Co., a stock brokerage firm, and a principal at Morgan Stanley &amp; Co., where he worked with the healthcare investment research and banking teams. Since 2006, Mr. Tullis has served as a member of the board of directors and since January 2017 as chair of the board of directors of Lord Abbett &amp; Co. Mutual Funds. Since 1998, he has served as a member of the board of directors and, since April 2020 as chair of the board of directors of Crane Co., a manufacturer of highly engineered industrial products. Mr. Tullis has served as a member of the board of directors of Alphatec Spine, Inc., a medical technology company, since 2018. Mr. Tullis holds a B.A. from Stanford University and an M.B.A. from Harvard Business School. Mr. Tullis’s extensive experience serving as a venture capitalist and board member for numerous companies in the health care industry contributed to our Board's conclusion that Mr. Tullis should serve as a director of our company.</w:t>
      </w:r>
    </w:p>
    <w:p>
      <w:pPr>
        <w:spacing w:after="0" w:line="200" w:lineRule="exact"/>
        <w:rPr>
          <w:sz w:val="20"/>
          <w:szCs w:val="20"/>
          <w:color w:val="auto"/>
        </w:rPr>
      </w:pPr>
    </w:p>
    <w:p>
      <w:pPr>
        <w:spacing w:after="0" w:line="251"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THE BOARD UNANIMOUSLY RECOMMENDS A VOTE FOR THE ELECTION OF THE THREE NOMINEES FOR CLASS III DIRECTORS, AND PROXIES SOLICITED BY THE BOARD WILL BE VOTED IN FAVOR THEREOF UNLESS A STOCKHOLDER HAS INDICATED OTHERWISE ON THE PROXY.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Proposal 2 - Ratification of Appointment of Independent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Audit Committee has appointed BDO USA, LLP as our independent registered public accounting firm for the fiscal year ending December 31, 2022. The Board has directed that this appointment be submitted to our stockholders for ratification. Although ratification of our appointment of BDO USA, LLP is not required, we value the opinions of our stockholders and believe that stockholder ratification of our appointment is a good corporate governance practice.</w:t>
      </w: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BDO USA, LLP has served as our independent registered public accounting firm since 2017. Neither the accounting firm nor any of its members has any direct or indirect financial interest in or any connection with us in any capacity other than as our auditors, providing audit and non-audit services. A representative of BDO USA, LLP is expected to attend the Annual Meeting, and to have an opportunity to make a statement if they intend to do so and will be available to respond to appropriate questions from stockholders.</w:t>
      </w:r>
    </w:p>
    <w:p>
      <w:pPr>
        <w:spacing w:after="0" w:line="23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the event that the appointment of BDO USA, LLP is not ratified by the stockholders, the Audit Committee will consider this fact when it appoints the independent registered public accounting firm for the fiscal year ending December 31, 2022. Even if the appointment of BDO USA, LLP is ratified, the Audit Committee retains the discretion to appoint a different independent registered public accounting firm at any time if it determines that such a change is in the interests of the Company.</w:t>
      </w:r>
    </w:p>
    <w:p>
      <w:pPr>
        <w:spacing w:after="0" w:line="200" w:lineRule="exact"/>
        <w:rPr>
          <w:sz w:val="20"/>
          <w:szCs w:val="20"/>
          <w:color w:val="auto"/>
        </w:rPr>
      </w:pPr>
    </w:p>
    <w:p>
      <w:pPr>
        <w:spacing w:after="0" w:line="252" w:lineRule="exact"/>
        <w:rPr>
          <w:sz w:val="20"/>
          <w:szCs w:val="20"/>
          <w:color w:val="auto"/>
        </w:rPr>
      </w:pPr>
    </w:p>
    <w:p>
      <w:pPr>
        <w:jc w:val="center"/>
        <w:ind w:left="340" w:right="60"/>
        <w:spacing w:after="0" w:line="268"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BDO USA, LLP AS OUR INDEPENDENT REGISTERED PUBLIC ACCOUNTING FIRM, AND PROXIES SOLICITED BY THE BOARD WILL BE VOTED IN FAVOR THEREOF UNLESS A STOCKHOLDER HAS INDICATED OTHERWISE ON THE PROXY.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summarizes the fees of BDO USA, LLP, our independent registered public accounting firm, billed to us for each of the last two fiscal years for audit services and billed to us in each of the last two fiscal years for other services: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rPr>
              <w:t>Fiscal Year Ended December 31,</w:t>
            </w:r>
          </w:p>
        </w:tc>
      </w:tr>
      <w:tr>
        <w:trPr>
          <w:trHeight w:val="18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Fee Category</w:t>
            </w: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2020</w:t>
            </w: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Audit Fees(1)</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327,764</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331,819</w:t>
            </w: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Audit-Related Fees</w:t>
            </w:r>
          </w:p>
        </w:tc>
        <w:tc>
          <w:tcPr>
            <w:tcW w:w="5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Fees(2)</w:t>
            </w:r>
          </w:p>
        </w:tc>
        <w:tc>
          <w:tcPr>
            <w:tcW w:w="5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69,987</w:t>
            </w:r>
          </w:p>
        </w:tc>
      </w:tr>
      <w:tr>
        <w:trPr>
          <w:trHeight w:val="18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 Other Fees</w:t>
            </w: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Fees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327,764</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401,806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00" w:firstLine="8"/>
        <w:spacing w:after="0" w:line="261"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consist of fees for the audit of our financial statements, the review of the unaudited interim financial statements included in our quarterly reports on Form 10-Q and the issuance of consents and comfort letters in connection with registration statements.</w:t>
      </w:r>
    </w:p>
    <w:p>
      <w:pPr>
        <w:spacing w:after="0" w:line="89"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fees consist of fees for an Internal Revenue Code Section 382 study.</w:t>
      </w:r>
    </w:p>
    <w:p>
      <w:pPr>
        <w:spacing w:after="0" w:line="25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Audit Committee has considered whether the provision of non-audit services is compatible with maintaining the independence of BDO USA, LLP, and has concluded that the provision of such services is compatible with maintaining the independence of our auditors.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2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Audit Committee Pre-Approval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40"/>
          </w:cols>
          <w:pgMar w:left="320" w:top="1129" w:right="439" w:bottom="1440" w:gutter="0" w:footer="0" w:header="0"/>
        </w:sectPr>
      </w:pPr>
    </w:p>
    <w:p>
      <w:pPr>
        <w:spacing w:after="0" w:line="30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Audit Committee has established a policy that 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229" w:lineRule="exact"/>
        <w:rPr>
          <w:sz w:val="20"/>
          <w:szCs w:val="20"/>
          <w:color w:val="auto"/>
        </w:rPr>
      </w:pPr>
    </w:p>
    <w:p>
      <w:pPr>
        <w:ind w:left="660" w:hanging="328"/>
        <w:spacing w:after="0" w:line="256"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services include audit work performed in the preparation of financial statements, as well as work that generally only an independent registered public accounting firm can reasonably be expected to provide, including comfort letters, statutory audits, and attest services that consultation regarding financial accounting and/or reporting standards.</w:t>
      </w:r>
    </w:p>
    <w:p>
      <w:pPr>
        <w:spacing w:after="0" w:line="201" w:lineRule="exact"/>
        <w:rPr>
          <w:rFonts w:ascii="Arial" w:cs="Arial" w:eastAsia="Arial" w:hAnsi="Arial"/>
          <w:sz w:val="18"/>
          <w:szCs w:val="18"/>
          <w:color w:val="auto"/>
        </w:rPr>
      </w:pPr>
    </w:p>
    <w:p>
      <w:pPr>
        <w:jc w:val="both"/>
        <w:ind w:left="660" w:right="140" w:hanging="328"/>
        <w:spacing w:after="0" w:line="256"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spacing w:after="0" w:line="201" w:lineRule="exact"/>
        <w:rPr>
          <w:rFonts w:ascii="Arial" w:cs="Arial" w:eastAsia="Arial" w:hAnsi="Arial"/>
          <w:sz w:val="18"/>
          <w:szCs w:val="18"/>
          <w:color w:val="auto"/>
        </w:rPr>
      </w:pPr>
    </w:p>
    <w:p>
      <w:pPr>
        <w:ind w:left="660" w:right="160" w:hanging="328"/>
        <w:spacing w:after="0" w:line="256"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services include all services performed by an independent registered public accounting firm's tax personnel except those services specifically related to the audit of the financial statements, and includes fees in the areas of tax compliance, tax planning, and tax advice.</w:t>
      </w:r>
    </w:p>
    <w:p>
      <w:pPr>
        <w:spacing w:after="0" w:line="201" w:lineRule="exact"/>
        <w:rPr>
          <w:rFonts w:ascii="Arial" w:cs="Arial" w:eastAsia="Arial" w:hAnsi="Arial"/>
          <w:sz w:val="18"/>
          <w:szCs w:val="18"/>
          <w:color w:val="auto"/>
        </w:rPr>
      </w:pPr>
    </w:p>
    <w:p>
      <w:pPr>
        <w:ind w:left="660" w:right="100" w:hanging="328"/>
        <w:spacing w:after="0" w:line="261"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Fees are those associated with services not captured in the other categories. The Company generally does not request such services from our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Audit Committee pre-approves the engagement of the independent registered public accounting firm and the provision of audit services and audit-related services on an annual basis and pre-approves the particular tax and all other services on a case-by-case basis and does not delegate approval to management. All of the services of BDO USA, LLP, for fiscal years ended December 31, 2021 and 2020 described above were pre-approved by the Audit Committee in accordance with this policy.</w:t>
      </w:r>
    </w:p>
    <w:p>
      <w:pPr>
        <w:spacing w:after="0" w:line="23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Audit Committee considers whether the provision of each non-audit service is compatible with maintaining the independence of our auditors. Pre -approval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1129" w:right="4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Audit Committee has reviewed the Company’s audited financial statements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(Communications with Audit Committees), as adopted by the Public Company Accounting Oversight Board (“PCAOB”). The Audit Committee is not employed by the company, nor does it provide any expert assurance or professional certification regarding the company’s financial statements. The Audit Committee relies, without independent verification, on the accuracy and integrity of the information provided, and representations made, by management and the Company’s independent registered public accounting firm.</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Exagen Inc. The Audit Committee also considered whether the independent registered public accounting firm’s provision of certain other non-audit related services to the Company is compatible with maintaining such firm’s independence.</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Company’s Annual Report on Form 10-K for the fiscal year ended December 31, 2021. The Audit Committee and the Board also have recommended, subject to stockholder approval, the ratification of the appointment of BDO USA, LLP as the company’s independent registered public accounting firm for 2022.</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report has been furnished by the Audit Committee.</w:t>
      </w:r>
    </w:p>
    <w:p>
      <w:pPr>
        <w:spacing w:after="0" w:line="29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Respectfully submitted,</w:t>
      </w:r>
    </w:p>
    <w:p>
      <w:pPr>
        <w:spacing w:after="0" w:line="200" w:lineRule="exact"/>
        <w:rPr>
          <w:sz w:val="20"/>
          <w:szCs w:val="20"/>
          <w:color w:val="auto"/>
        </w:rPr>
      </w:pPr>
    </w:p>
    <w:p>
      <w:pPr>
        <w:spacing w:after="0" w:line="341"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Audit Committee</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 xml:space="preserve">Frank Stokes, </w:t>
      </w:r>
      <w:r>
        <w:rPr>
          <w:rFonts w:ascii="Arial" w:cs="Arial" w:eastAsia="Arial" w:hAnsi="Arial"/>
          <w:sz w:val="18"/>
          <w:szCs w:val="18"/>
          <w:i w:val="1"/>
          <w:iCs w:val="1"/>
          <w:color w:val="auto"/>
        </w:rPr>
        <w:t>Chair</w:t>
      </w:r>
    </w:p>
    <w:p>
      <w:pPr>
        <w:spacing w:after="0" w:line="3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Tina S. Nova, Ph.D.</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Wendy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1129"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executive officers and their respective ages as of April 18,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w w:val="99"/>
              </w:rPr>
              <w:t>Age</w:t>
            </w:r>
          </w:p>
        </w:tc>
        <w:tc>
          <w:tcPr>
            <w:tcW w:w="340" w:type="dxa"/>
            <w:vAlign w:val="bottom"/>
            <w:tcBorders>
              <w:bottom w:val="single" w:sz="8" w:color="CCEEFF"/>
            </w:tcBorders>
          </w:tcPr>
          <w:p>
            <w:pPr>
              <w:spacing w:after="0"/>
              <w:rPr>
                <w:sz w:val="18"/>
                <w:szCs w:val="18"/>
                <w:color w:val="auto"/>
              </w:rPr>
            </w:pPr>
          </w:p>
        </w:tc>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1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Fortunato Ron Rocca</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340" w:type="dxa"/>
            <w:vAlign w:val="bottom"/>
            <w:shd w:val="clear" w:color="auto" w:fill="CCEEFF"/>
          </w:tcPr>
          <w:p>
            <w:pPr>
              <w:spacing w:after="0"/>
              <w:rPr>
                <w:sz w:val="18"/>
                <w:szCs w:val="18"/>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Director</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Kamal Adawi</w:t>
            </w: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34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Arial" w:cs="Arial" w:eastAsia="Arial" w:hAnsi="Arial"/>
                <w:sz w:val="16"/>
                <w:szCs w:val="16"/>
                <w:color w:val="auto"/>
              </w:rPr>
              <w:t>Chief Financial Officer and Corporate Secretary</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 Hazeltine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340" w:type="dxa"/>
            <w:vAlign w:val="bottom"/>
            <w:shd w:val="clear" w:color="auto" w:fill="CCEEFF"/>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Operating Officer</w:t>
            </w:r>
          </w:p>
        </w:tc>
      </w:tr>
      <w:tr>
        <w:trPr>
          <w:trHeight w:val="210"/>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Debra Zack, M.D., Ph.D.</w:t>
            </w: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34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Arial" w:cs="Arial" w:eastAsia="Arial" w:hAnsi="Arial"/>
                <w:sz w:val="16"/>
                <w:szCs w:val="16"/>
                <w:color w:val="auto"/>
              </w:rPr>
              <w:t>Chief Medical Officer</w:t>
            </w:r>
          </w:p>
        </w:tc>
      </w:tr>
    </w:tbl>
    <w:p>
      <w:pPr>
        <w:spacing w:after="0" w:line="32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is biographical information for our executive officers other than Mr. Rocca, whose biographical information is included under "Nominees for Election to the Board of Directors".</w:t>
      </w:r>
    </w:p>
    <w:p>
      <w:pPr>
        <w:spacing w:after="0" w:line="2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Kamal Adawi </w:t>
      </w:r>
      <w:r>
        <w:rPr>
          <w:rFonts w:ascii="Arial" w:cs="Arial" w:eastAsia="Arial" w:hAnsi="Arial"/>
          <w:sz w:val="18"/>
          <w:szCs w:val="18"/>
          <w:color w:val="auto"/>
        </w:rPr>
        <w:t>has served as our Chief Financial Officer since June 2017 and as our Corporate Secretary since September 2017. From 2014</w:t>
      </w:r>
      <w:r>
        <w:rPr>
          <w:rFonts w:ascii="Arial" w:cs="Arial" w:eastAsia="Arial" w:hAnsi="Arial"/>
          <w:sz w:val="18"/>
          <w:szCs w:val="18"/>
          <w:i w:val="1"/>
          <w:iCs w:val="1"/>
          <w:color w:val="auto"/>
        </w:rPr>
        <w:t xml:space="preserve"> </w:t>
      </w:r>
      <w:r>
        <w:rPr>
          <w:rFonts w:ascii="Arial" w:cs="Arial" w:eastAsia="Arial" w:hAnsi="Arial"/>
          <w:sz w:val="18"/>
          <w:szCs w:val="18"/>
          <w:color w:val="auto"/>
        </w:rPr>
        <w:t>to 2017, Mr. Adawi served as the Chief Financial Officer, Corporate Secretary and Treasurer at Pathway Genomics Corporation, a global genetic testing company. Prior to joining Pathway Genomics, from March 2014 to December 2014, Mr. Adawi served as our Director of Financial Planning and Analysis. Earlier in his career, Mr. Adawi managed the finance departments for GenMark Diagnostics, Inc., serving as its Manager of Financial Planning and Analysis, and Digirad Corporation, serving as its Manager of Financial Planning and Analysis, both publicly traded diagnostic companies. Mr. Adawi also served in various capacities in the finance and accounting departments at Becton, Dickinson and Company, a global medical technology company. Mr. Adawi received a B.A. in Finance from Michigan State University, an M.B.A. from Oakland University with a focus on management, and an M.S. in Finance from San Diego State University.</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Mark Hazeltine </w:t>
      </w:r>
      <w:r>
        <w:rPr>
          <w:rFonts w:ascii="Arial" w:cs="Arial" w:eastAsia="Arial" w:hAnsi="Arial"/>
          <w:sz w:val="18"/>
          <w:szCs w:val="18"/>
          <w:color w:val="auto"/>
        </w:rPr>
        <w:t>has served as our Chief Operating Officer since March 2021 and served in multiple key leadership roles including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Senior Vice President of Finance and Corporate Development, Vice President of Finance, and Senior Director of Financial Planning and Analysis since joining Exagen in March 2015. Prior to joining Exagen, from September 2010 to March 2015, Mr. Hazeltine served as Director of Financial Planning and Analysis and Director of Financial Business Processes at CareFusion, a medical technology corporation. Mr. Hazeltine also worked in multiple management roles at multinational organizations including Kyocera and Qualcomm. Mr. Hazeltine received a B.A. in Business Administration from the University of San Diego and an M.B.A. from the Marshall School of Business at the University of Southern California.</w:t>
      </w:r>
    </w:p>
    <w:p>
      <w:pPr>
        <w:spacing w:after="0" w:line="2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Debra Zack, M.D., Ph.D.</w:t>
      </w:r>
      <w:r>
        <w:rPr>
          <w:rFonts w:ascii="Arial" w:cs="Arial" w:eastAsia="Arial" w:hAnsi="Arial"/>
          <w:sz w:val="18"/>
          <w:szCs w:val="18"/>
          <w:color w:val="auto"/>
        </w:rPr>
        <w:t>, has served as Chief Medical Officer since March 2020. Dr. Zack is a board-certified rheumatologist with broad</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as a strategic biopharmaceutical executive in the development of therapeutics for autoimmune disease and will oversee the overall strategy and execution of the company’s clinical development plans. She has extensive experience leading research, clinical development and medical affairs teams focusing on autoimmune disorders. Prior to joining Exagen, from July 2014 to March 2020, Dr. Zack served as Vice President, Clinical Development at Xencor, Inc.; and from January 2012 to July 2014, Executive Director, Medical Scientific Leader, Biotherapeutics Development Unit at Novartis; and various positions in basic research, clinical development and medical affairs at Amgen. She was an associate professor treating rheumatology patients for 10 years at UCLA prior to joining industry. She received her undergraduate degree from Texas Christian University and her M.D. and Ph.D. from the University of Texas Southwestern in Dallas before completing her residency and rheumatology fellowship at the UCLA School of Medicine.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8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Board has adopted Corporate Governance Guidelines, a Code of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Conduct and Ethics in the “Corporate Governance” section of the “Investors” page of our website located at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29" w:right="339" w:bottom="1440" w:gutter="0" w:footer="0" w:header="0"/>
        </w:sectPr>
      </w:pPr>
    </w:p>
    <w:bookmarkStart w:id="18" w:name="page19"/>
    <w:bookmarkEnd w:id="18"/>
    <w:p>
      <w:pPr>
        <w:ind w:right="240"/>
        <w:spacing w:after="0" w:line="261" w:lineRule="auto"/>
        <w:rPr>
          <w:sz w:val="20"/>
          <w:szCs w:val="20"/>
          <w:color w:val="auto"/>
        </w:rPr>
      </w:pPr>
      <w:r>
        <w:rPr>
          <w:rFonts w:ascii="Arial" w:cs="Arial" w:eastAsia="Arial" w:hAnsi="Arial"/>
          <w:sz w:val="18"/>
          <w:szCs w:val="18"/>
          <w:color w:val="auto"/>
        </w:rPr>
        <w:t>www.exagen.com, or by writing to our Corporate Secretary at our offices at 1261 Liberty Way, Vista, CA 92081. Please note, however, that the information contained on the website is not incorporated by reference in, or considered part of, this proxy statement.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Board currently consists of nine members. The Board has determined that all of our current directors, other than Mr. Rocca, are independent directors in accordance with the listing requirements of the Nasdaq Global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the Board has made a subjective determination as to each independent director and director nominee that no relationships exist, which, in the opinion of the Board, would interfere with the exercise of independent judgment in carrying out the responsibilities of a director. In making these determinations, the Board reviewed and discussed information provided by the directors (and director nominee) and us with regard to each director’s or director nominee's business and personal activities and relationships as they may relate to us and our management. There are no family relationships among any of our directors, director nominees or executive officers.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and 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Nominating and Corporate Governance Committee is responsible for reviewing with the Board,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in recommending candidates for election, and the Board will take into account many factors, including the following:</w:t>
      </w:r>
    </w:p>
    <w:p>
      <w:pPr>
        <w:spacing w:after="0" w:line="8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publicly-held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strong finance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relevant to our business industry and with relevant social policy concerns;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relevant academic expertise or other proficiency in an area of our business operations.</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Currently,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such other factors as it may deem to be in the best interests of our company and our stockholders. The Nominating and Corporate Governance Committee does, however, believe it appropriate for at least one member of our Board to meet the criteria for an “audit committee financial expert” as defined by SEC rules, and that a majority of the members of our Board meet the definition of “independent director” under Nasdaq qualification standards. The Nominating and Corporate Governance Committee also believes it is appropriate for our President and Chief Executive Officer to serve as a member of our Board. Three of our nine directors identify as female and two of our nine directors self-identify as members of an "underrepresented community" as defined in the California Corporations Code or an "underrepresented minority" as defined under Nasdaq board diversity requirements. The Board Diversity Matrix, below, provides the diversity statistics of our Board.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0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9"/>
        </w:trPr>
        <w:tc>
          <w:tcPr>
            <w:tcW w:w="36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b w:val="1"/>
                <w:bCs w:val="1"/>
                <w:color w:val="auto"/>
              </w:rPr>
              <w:t>Board Diversity Matrix (As of April 18, 2022)</w:t>
            </w:r>
          </w:p>
        </w:tc>
        <w:tc>
          <w:tcPr>
            <w:tcW w:w="2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Number of Directors</w:t>
            </w:r>
          </w:p>
        </w:tc>
        <w:tc>
          <w:tcPr>
            <w:tcW w:w="2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9"/>
              </w:rPr>
              <w:t>9</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Did Not</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2380" w:type="dxa"/>
            <w:vAlign w:val="bottom"/>
            <w:vMerge w:val="restart"/>
          </w:tcPr>
          <w:p>
            <w:pPr>
              <w:jc w:val="center"/>
              <w:ind w:left="870"/>
              <w:spacing w:after="0"/>
              <w:rPr>
                <w:sz w:val="20"/>
                <w:szCs w:val="20"/>
                <w:color w:val="auto"/>
              </w:rPr>
            </w:pPr>
            <w:r>
              <w:rPr>
                <w:rFonts w:ascii="Arial" w:cs="Arial" w:eastAsia="Arial" w:hAnsi="Arial"/>
                <w:sz w:val="18"/>
                <w:szCs w:val="18"/>
                <w:b w:val="1"/>
                <w:bCs w:val="1"/>
                <w:color w:val="auto"/>
                <w:w w:val="99"/>
              </w:rPr>
              <w:t>Female</w:t>
            </w:r>
          </w:p>
        </w:tc>
        <w:tc>
          <w:tcPr>
            <w:tcW w:w="1600" w:type="dxa"/>
            <w:vAlign w:val="bottom"/>
            <w:vMerge w:val="restart"/>
          </w:tcPr>
          <w:p>
            <w:pPr>
              <w:jc w:val="center"/>
              <w:ind w:right="310"/>
              <w:spacing w:after="0"/>
              <w:rPr>
                <w:sz w:val="20"/>
                <w:szCs w:val="20"/>
                <w:color w:val="auto"/>
              </w:rPr>
            </w:pPr>
            <w:r>
              <w:rPr>
                <w:rFonts w:ascii="Arial" w:cs="Arial" w:eastAsia="Arial" w:hAnsi="Arial"/>
                <w:sz w:val="18"/>
                <w:szCs w:val="18"/>
                <w:b w:val="1"/>
                <w:bCs w:val="1"/>
                <w:color w:val="auto"/>
                <w:w w:val="99"/>
              </w:rPr>
              <w:t>Male</w:t>
            </w:r>
          </w:p>
        </w:tc>
        <w:tc>
          <w:tcPr>
            <w:tcW w:w="2380" w:type="dxa"/>
            <w:vAlign w:val="bottom"/>
            <w:vMerge w:val="restart"/>
          </w:tcPr>
          <w:p>
            <w:pPr>
              <w:jc w:val="center"/>
              <w:ind w:left="850"/>
              <w:spacing w:after="0"/>
              <w:rPr>
                <w:sz w:val="20"/>
                <w:szCs w:val="20"/>
                <w:color w:val="auto"/>
              </w:rPr>
            </w:pPr>
            <w:r>
              <w:rPr>
                <w:rFonts w:ascii="Arial" w:cs="Arial" w:eastAsia="Arial" w:hAnsi="Arial"/>
                <w:sz w:val="18"/>
                <w:szCs w:val="18"/>
                <w:b w:val="1"/>
                <w:bCs w:val="1"/>
                <w:color w:val="auto"/>
                <w:w w:val="98"/>
              </w:rPr>
              <w:t>Non-Binary</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Disclose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Gender</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2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Directors</w:t>
            </w:r>
          </w:p>
        </w:tc>
        <w:tc>
          <w:tcPr>
            <w:tcW w:w="2380" w:type="dxa"/>
            <w:vAlign w:val="bottom"/>
          </w:tcPr>
          <w:p>
            <w:pPr>
              <w:jc w:val="right"/>
              <w:ind w:right="570"/>
              <w:spacing w:after="0"/>
              <w:rPr>
                <w:sz w:val="20"/>
                <w:szCs w:val="20"/>
                <w:color w:val="auto"/>
              </w:rPr>
            </w:pPr>
            <w:r>
              <w:rPr>
                <w:rFonts w:ascii="Arial" w:cs="Arial" w:eastAsia="Arial" w:hAnsi="Arial"/>
                <w:sz w:val="18"/>
                <w:szCs w:val="18"/>
                <w:color w:val="auto"/>
              </w:rPr>
              <w:t>3</w:t>
            </w:r>
          </w:p>
        </w:tc>
        <w:tc>
          <w:tcPr>
            <w:tcW w:w="160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2380" w:type="dxa"/>
            <w:vAlign w:val="bottom"/>
          </w:tcPr>
          <w:p>
            <w:pPr>
              <w:jc w:val="center"/>
              <w:ind w:left="8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2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African American or Black</w:t>
            </w:r>
          </w:p>
        </w:tc>
        <w:tc>
          <w:tcPr>
            <w:tcW w:w="2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380" w:type="dxa"/>
            <w:vAlign w:val="bottom"/>
          </w:tcPr>
          <w:p>
            <w:pPr>
              <w:jc w:val="center"/>
              <w:ind w:right="163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Alaskan Native or Native American</w:t>
            </w:r>
          </w:p>
        </w:tc>
        <w:tc>
          <w:tcPr>
            <w:tcW w:w="2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Asian</w:t>
            </w:r>
          </w:p>
        </w:tc>
        <w:tc>
          <w:tcPr>
            <w:tcW w:w="2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380" w:type="dxa"/>
            <w:vAlign w:val="bottom"/>
          </w:tcPr>
          <w:p>
            <w:pPr>
              <w:jc w:val="center"/>
              <w:ind w:right="163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Hispanic or Latinx</w:t>
            </w:r>
          </w:p>
        </w:tc>
        <w:tc>
          <w:tcPr>
            <w:tcW w:w="2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9"/>
              </w:rPr>
              <w:t>2</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Native Hawaiian or Pacific Islander</w:t>
            </w:r>
          </w:p>
        </w:tc>
        <w:tc>
          <w:tcPr>
            <w:tcW w:w="2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380" w:type="dxa"/>
            <w:vAlign w:val="bottom"/>
          </w:tcPr>
          <w:p>
            <w:pPr>
              <w:jc w:val="center"/>
              <w:ind w:right="163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White</w:t>
            </w:r>
          </w:p>
        </w:tc>
        <w:tc>
          <w:tcPr>
            <w:tcW w:w="2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9"/>
              </w:rPr>
              <w:t>6</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Two or More Races or Ethnicities</w:t>
            </w:r>
          </w:p>
        </w:tc>
        <w:tc>
          <w:tcPr>
            <w:tcW w:w="2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380" w:type="dxa"/>
            <w:vAlign w:val="bottom"/>
          </w:tcPr>
          <w:p>
            <w:pPr>
              <w:jc w:val="center"/>
              <w:ind w:right="1630"/>
              <w:spacing w:after="0"/>
              <w:rPr>
                <w:sz w:val="20"/>
                <w:szCs w:val="20"/>
                <w:color w:val="auto"/>
              </w:rPr>
            </w:pPr>
            <w:r>
              <w:rPr>
                <w:rFonts w:ascii="Arial" w:cs="Arial" w:eastAsia="Arial" w:hAnsi="Arial"/>
                <w:sz w:val="18"/>
                <w:szCs w:val="18"/>
                <w:color w:val="auto"/>
                <w:w w:val="99"/>
              </w:rPr>
              <w:t>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LGBTQ+</w:t>
            </w:r>
          </w:p>
        </w:tc>
        <w:tc>
          <w:tcPr>
            <w:tcW w:w="2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Did Not Disclose Demographic Background</w:t>
            </w:r>
          </w:p>
        </w:tc>
        <w:tc>
          <w:tcPr>
            <w:tcW w:w="2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and Evaluation of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Nominating and Corporate Governance Committee identifies nominees for director by first evaluating the current members of our Board willing to continue in service. Current members with qualifications and skills that are consistent with the Nominating and Corporate Governance Committee's criteria for board of director service and who are willing to continue in service are considered for re-nomination, balancing the value of continuity of service by existing members of our Board with that of obtaining a new perspective or expertise.</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any member of our Board does not wish to continue in service or if our Board decides not to re-nominate a member for re-election or if the Board decides to expand its size, the Nominating and Corporate Governance Committee identifies the desired skills and experience of a new nominee in light of the criteria above. The Nominating and Corporate Governance Committee generally polls our Board and members of management for their recommendations. The Nominating and Corporate Governance Committee may also review the composition and qualification of the boards of directors of our competitors and may seek input from industry experts or analysts. The Nominating and Corporate Governance Committee reviews the qualifications, experience and background of the candidates. Final candidates are interviewed by the members of the Nominating and Corporate Governance Committee and by certain of our other independent directors and executive management. In making its determinations, the Nominating and Corporate Governance Committee evaluates each individual in the context of our Board as a whole, with the objective of assembling a group that can best contribute to the success of our company and represent stockholder interests through the exercise of sound business judgment. After review and deliberation of all feedback and data, the Nominating and Corporate Governance Committee makes its recommendation to our Board.</w:t>
      </w:r>
    </w:p>
    <w:p>
      <w:pPr>
        <w:spacing w:after="0" w:line="23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Nominating and Corporate Governance Committee evaluates nominees recommended by stockholders in the same manner as it evaluates other nominees. We have not received director candidate recommendations from our stockholders, and we do not have a formal policy regarding consideration of such recommendations. However, any recommendations received from stockholders will be evaluated in the same manner that potential nominees suggested by members of our Board, management or other parties are evaluated.</w:t>
      </w:r>
    </w:p>
    <w:p>
      <w:pPr>
        <w:spacing w:after="0" w:line="23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Under our Bylaws, a stockholder wishing to suggest a candidate for director should write to our Corporate Secretary and provide such information about the stockholder and the proposed candidate as is set forth in our Bylaws and as would be required by SEC rules to be included in a proxy statement. In addition, the stockholder must include the consent of the candidate and describe any arrangements or undertakings between the stockholder and the candidate regarding the nomination. In order to give the Nominating and Corporate Governance Committee sufficient time to evaluate a recommended candidate and include the candidate in our proxy statement for the 2023</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29" w:right="339" w:bottom="1440" w:gutter="0" w:footer="0" w:header="0"/>
        </w:sectPr>
      </w:pPr>
    </w:p>
    <w:bookmarkStart w:id="20" w:name="page21"/>
    <w:bookmarkEnd w:id="20"/>
    <w:p>
      <w:pPr>
        <w:spacing w:after="0" w:line="261" w:lineRule="auto"/>
        <w:rPr>
          <w:sz w:val="20"/>
          <w:szCs w:val="20"/>
          <w:color w:val="auto"/>
        </w:rPr>
      </w:pPr>
      <w:r>
        <w:rPr>
          <w:rFonts w:ascii="Arial" w:cs="Arial" w:eastAsia="Arial" w:hAnsi="Arial"/>
          <w:sz w:val="18"/>
          <w:szCs w:val="18"/>
          <w:color w:val="auto"/>
        </w:rPr>
        <w:t>annual meeting, the recommendation should be received by our Corporate Secretary at our principal executive offices in accordance with our procedures detailed in the section below entitled "Stockholder Proposals."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22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Corporate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Corporate Secretary, Exagen Inc., 1261 Liberty Way, Vista, California 92081.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Although we do not have a formal policy regarding attendance by members of our Board at our Annual Meeting, we strongly encourage, but do not require, our directors to attend. No members of our Board attended our 2021 Annual Meeting of Stockholders.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 Separate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8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Board is currently led by its chairman, Brian Birk. The Board recognizes that it is important to determine an optimal board leadership structure to ensure the independent oversight of management as we continue to grow. We separate the roles of chief executive officer and chairman of the Board in recognition of the differences between the two roles. The chief executive officer is responsible for setting the strategic direction for our company and the day-to-day leadership and performance of our company, while the chairman of the Board provides guidance to the chief executive officer and presides over meetings of the full Board. We believe that this separation of responsibilities provides a balanced approach to managing the Board and overseeing our company.</w:t>
      </w:r>
    </w:p>
    <w:p>
      <w:pPr>
        <w:spacing w:after="0" w:line="2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908" w:right="359" w:bottom="1440" w:gutter="0" w:footer="0" w:header="0"/>
        </w:sectPr>
      </w:pPr>
    </w:p>
    <w:bookmarkStart w:id="21" w:name="page22"/>
    <w:bookmarkEnd w:id="21"/>
    <w:p>
      <w:pPr>
        <w:ind w:right="560"/>
        <w:spacing w:after="0" w:line="261" w:lineRule="auto"/>
        <w:rPr>
          <w:sz w:val="20"/>
          <w:szCs w:val="20"/>
          <w:color w:val="auto"/>
        </w:rPr>
      </w:pPr>
      <w:r>
        <w:rPr>
          <w:rFonts w:ascii="Arial" w:cs="Arial" w:eastAsia="Arial" w:hAnsi="Arial"/>
          <w:sz w:val="18"/>
          <w:szCs w:val="18"/>
          <w:color w:val="auto"/>
        </w:rPr>
        <w:t>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by the Board of the Board’s performance. As provided in our Corporate Governance Guidelines, the Nominating and Corporate Governance Committee is responsible for establishing the evaluation criteria and implementing the process for such evaluation.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in the "Corporate Governance" section of the "Investors" page on our website located at www.exagen.com.</w:t>
      </w:r>
    </w:p>
    <w:p>
      <w:pPr>
        <w:spacing w:after="0" w:line="22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 addition, we intend to post on our website all disclosures that are required by law or the listing standards of Nasdaq concerning any amendments to, or waivers from, any provision of the code.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Prohibiting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Insider Trading Compliance Policy applies to all officers, directors, employees of the Company and certain consultants specified by management, and prohibits all hedging transactions involving the Company's equity securities, such as zero-cost collars and forward sale contracts.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There were eight meetings of the Board (including telephonic meetings) during the fiscal year ended December 31, 2021. During the fiscal year ended December 31, 2021, each director attended at least 75% of the aggregate of all meetings of the Board, and each director attended as least 75% of meetings of the committees on which such director served during the period in which he or she served as a director.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Board has established three standing committees—audit, compensation and nominating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each of the Board committees and committee chairs are set forth in the following chart.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0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Director</w:t>
            </w:r>
          </w:p>
        </w:tc>
        <w:tc>
          <w:tcPr>
            <w:tcW w:w="3000" w:type="dxa"/>
            <w:vAlign w:val="bottom"/>
            <w:vMerge w:val="restart"/>
          </w:tcPr>
          <w:p>
            <w:pPr>
              <w:jc w:val="center"/>
              <w:ind w:left="1008"/>
              <w:spacing w:after="0"/>
              <w:rPr>
                <w:sz w:val="20"/>
                <w:szCs w:val="20"/>
                <w:color w:val="auto"/>
              </w:rPr>
            </w:pPr>
            <w:r>
              <w:rPr>
                <w:rFonts w:ascii="Arial" w:cs="Arial" w:eastAsia="Arial" w:hAnsi="Arial"/>
                <w:sz w:val="14"/>
                <w:szCs w:val="14"/>
                <w:b w:val="1"/>
                <w:bCs w:val="1"/>
                <w:color w:val="auto"/>
              </w:rPr>
              <w:t>Audit</w:t>
            </w:r>
          </w:p>
        </w:tc>
        <w:tc>
          <w:tcPr>
            <w:tcW w:w="22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Compensation</w:t>
            </w:r>
          </w:p>
        </w:tc>
        <w:tc>
          <w:tcPr>
            <w:tcW w:w="2440" w:type="dxa"/>
            <w:vAlign w:val="bottom"/>
          </w:tcPr>
          <w:p>
            <w:pPr>
              <w:jc w:val="center"/>
              <w:ind w:left="128"/>
              <w:spacing w:after="0"/>
              <w:rPr>
                <w:sz w:val="20"/>
                <w:szCs w:val="20"/>
                <w:color w:val="auto"/>
              </w:rPr>
            </w:pPr>
            <w:r>
              <w:rPr>
                <w:rFonts w:ascii="Arial" w:cs="Arial" w:eastAsia="Arial" w:hAnsi="Arial"/>
                <w:sz w:val="14"/>
                <w:szCs w:val="14"/>
                <w:b w:val="1"/>
                <w:bCs w:val="1"/>
                <w:color w:val="auto"/>
              </w:rPr>
              <w:t>Nominating and Corporate</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24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Birk</w:t>
            </w:r>
          </w:p>
        </w:tc>
        <w:tc>
          <w:tcPr>
            <w:tcW w:w="30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4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color w:val="auto"/>
              </w:rPr>
              <w:t>Ana Hooker</w:t>
            </w:r>
          </w:p>
        </w:tc>
        <w:tc>
          <w:tcPr>
            <w:tcW w:w="3000" w:type="dxa"/>
            <w:vAlign w:val="bottom"/>
          </w:tcPr>
          <w:p>
            <w:pPr>
              <w:spacing w:after="0"/>
              <w:rPr>
                <w:sz w:val="16"/>
                <w:szCs w:val="16"/>
                <w:color w:val="auto"/>
              </w:rPr>
            </w:pPr>
          </w:p>
        </w:tc>
        <w:tc>
          <w:tcPr>
            <w:tcW w:w="2200" w:type="dxa"/>
            <w:vAlign w:val="bottom"/>
          </w:tcPr>
          <w:p>
            <w:pPr>
              <w:jc w:val="center"/>
              <w:ind w:left="288"/>
              <w:spacing w:after="0"/>
              <w:rPr>
                <w:sz w:val="20"/>
                <w:szCs w:val="20"/>
                <w:color w:val="auto"/>
              </w:rPr>
            </w:pPr>
            <w:r>
              <w:rPr>
                <w:rFonts w:ascii="Arial" w:cs="Arial" w:eastAsia="Arial" w:hAnsi="Arial"/>
                <w:sz w:val="14"/>
                <w:szCs w:val="14"/>
                <w:color w:val="auto"/>
                <w:w w:val="85"/>
              </w:rPr>
              <w:t>X</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Wendy Johnson</w:t>
            </w:r>
          </w:p>
        </w:tc>
        <w:tc>
          <w:tcPr>
            <w:tcW w:w="3000" w:type="dxa"/>
            <w:vAlign w:val="bottom"/>
            <w:shd w:val="clear" w:color="auto" w:fill="CCEEFF"/>
          </w:tcPr>
          <w:p>
            <w:pPr>
              <w:jc w:val="center"/>
              <w:ind w:left="988"/>
              <w:spacing w:after="0"/>
              <w:rPr>
                <w:sz w:val="20"/>
                <w:szCs w:val="20"/>
                <w:color w:val="auto"/>
              </w:rPr>
            </w:pPr>
            <w:r>
              <w:rPr>
                <w:rFonts w:ascii="Arial" w:cs="Arial" w:eastAsia="Arial" w:hAnsi="Arial"/>
                <w:sz w:val="14"/>
                <w:szCs w:val="14"/>
                <w:color w:val="auto"/>
              </w:rPr>
              <w:t>X</w:t>
            </w:r>
          </w:p>
        </w:tc>
        <w:tc>
          <w:tcPr>
            <w:tcW w:w="220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color w:val="auto"/>
              </w:rPr>
              <w:t>Tina S. Nova, Ph.D.</w:t>
            </w:r>
          </w:p>
        </w:tc>
        <w:tc>
          <w:tcPr>
            <w:tcW w:w="3000" w:type="dxa"/>
            <w:vAlign w:val="bottom"/>
          </w:tcPr>
          <w:p>
            <w:pPr>
              <w:jc w:val="center"/>
              <w:ind w:left="988"/>
              <w:spacing w:after="0"/>
              <w:rPr>
                <w:sz w:val="20"/>
                <w:szCs w:val="20"/>
                <w:color w:val="auto"/>
              </w:rPr>
            </w:pPr>
            <w:r>
              <w:rPr>
                <w:rFonts w:ascii="Arial" w:cs="Arial" w:eastAsia="Arial" w:hAnsi="Arial"/>
                <w:sz w:val="14"/>
                <w:szCs w:val="14"/>
                <w:color w:val="auto"/>
              </w:rPr>
              <w:t>X</w:t>
            </w:r>
          </w:p>
        </w:tc>
        <w:tc>
          <w:tcPr>
            <w:tcW w:w="2200" w:type="dxa"/>
            <w:vAlign w:val="bottom"/>
          </w:tcPr>
          <w:p>
            <w:pPr>
              <w:jc w:val="center"/>
              <w:ind w:left="288"/>
              <w:spacing w:after="0"/>
              <w:rPr>
                <w:sz w:val="20"/>
                <w:szCs w:val="20"/>
                <w:color w:val="auto"/>
              </w:rPr>
            </w:pPr>
            <w:r>
              <w:rPr>
                <w:rFonts w:ascii="Arial" w:cs="Arial" w:eastAsia="Arial" w:hAnsi="Arial"/>
                <w:sz w:val="14"/>
                <w:szCs w:val="14"/>
                <w:color w:val="auto"/>
                <w:w w:val="85"/>
              </w:rPr>
              <w:t>X</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Ebetuel Pallares, Ph.D.</w:t>
            </w:r>
          </w:p>
        </w:tc>
        <w:tc>
          <w:tcPr>
            <w:tcW w:w="30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24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color w:val="auto"/>
              </w:rPr>
              <w:t>Bruce C. Robertson, Ph.D.</w:t>
            </w:r>
          </w:p>
        </w:tc>
        <w:tc>
          <w:tcPr>
            <w:tcW w:w="3000" w:type="dxa"/>
            <w:vAlign w:val="bottom"/>
          </w:tcPr>
          <w:p>
            <w:pPr>
              <w:spacing w:after="0"/>
              <w:rPr>
                <w:sz w:val="16"/>
                <w:szCs w:val="16"/>
                <w:color w:val="auto"/>
              </w:rPr>
            </w:pPr>
          </w:p>
        </w:tc>
        <w:tc>
          <w:tcPr>
            <w:tcW w:w="2200" w:type="dxa"/>
            <w:vAlign w:val="bottom"/>
          </w:tcPr>
          <w:p>
            <w:pPr>
              <w:jc w:val="center"/>
              <w:ind w:left="288"/>
              <w:spacing w:after="0"/>
              <w:rPr>
                <w:sz w:val="20"/>
                <w:szCs w:val="20"/>
                <w:color w:val="auto"/>
              </w:rPr>
            </w:pPr>
            <w:r>
              <w:rPr>
                <w:rFonts w:ascii="Arial" w:cs="Arial" w:eastAsia="Arial" w:hAnsi="Arial"/>
                <w:sz w:val="14"/>
                <w:szCs w:val="14"/>
                <w:color w:val="auto"/>
              </w:rPr>
              <w:t>C</w:t>
            </w:r>
          </w:p>
        </w:tc>
        <w:tc>
          <w:tcPr>
            <w:tcW w:w="2440" w:type="dxa"/>
            <w:vAlign w:val="bottom"/>
          </w:tcPr>
          <w:p>
            <w:pPr>
              <w:jc w:val="center"/>
              <w:ind w:left="128"/>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Frank Stokes </w:t>
            </w:r>
            <w:r>
              <w:rPr>
                <w:rFonts w:ascii="Arial" w:cs="Arial" w:eastAsia="Arial" w:hAnsi="Arial"/>
                <w:sz w:val="18"/>
                <w:szCs w:val="18"/>
                <w:color w:val="auto"/>
                <w:vertAlign w:val="superscript"/>
              </w:rPr>
              <w:t>†</w:t>
            </w:r>
          </w:p>
        </w:tc>
        <w:tc>
          <w:tcPr>
            <w:tcW w:w="3000" w:type="dxa"/>
            <w:vAlign w:val="bottom"/>
            <w:shd w:val="clear" w:color="auto" w:fill="CCEEFF"/>
          </w:tcPr>
          <w:p>
            <w:pPr>
              <w:jc w:val="center"/>
              <w:ind w:left="988"/>
              <w:spacing w:after="0"/>
              <w:rPr>
                <w:sz w:val="20"/>
                <w:szCs w:val="20"/>
                <w:color w:val="auto"/>
              </w:rPr>
            </w:pPr>
            <w:r>
              <w:rPr>
                <w:rFonts w:ascii="Arial" w:cs="Arial" w:eastAsia="Arial" w:hAnsi="Arial"/>
                <w:sz w:val="14"/>
                <w:szCs w:val="14"/>
                <w:color w:val="auto"/>
                <w:w w:val="98"/>
              </w:rPr>
              <w:t>C</w:t>
            </w:r>
          </w:p>
        </w:tc>
        <w:tc>
          <w:tcPr>
            <w:tcW w:w="220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color w:val="auto"/>
              </w:rPr>
              <w:t>James L.L. Tullis</w:t>
            </w:r>
          </w:p>
        </w:tc>
        <w:tc>
          <w:tcPr>
            <w:tcW w:w="3000" w:type="dxa"/>
            <w:vAlign w:val="bottom"/>
          </w:tcPr>
          <w:p>
            <w:pPr>
              <w:spacing w:after="0"/>
              <w:rPr>
                <w:sz w:val="16"/>
                <w:szCs w:val="16"/>
                <w:color w:val="auto"/>
              </w:rPr>
            </w:pPr>
          </w:p>
        </w:tc>
        <w:tc>
          <w:tcPr>
            <w:tcW w:w="2200" w:type="dxa"/>
            <w:vAlign w:val="bottom"/>
          </w:tcPr>
          <w:p>
            <w:pPr>
              <w:jc w:val="center"/>
              <w:ind w:left="288"/>
              <w:spacing w:after="0"/>
              <w:rPr>
                <w:sz w:val="20"/>
                <w:szCs w:val="20"/>
                <w:color w:val="auto"/>
              </w:rPr>
            </w:pPr>
            <w:r>
              <w:rPr>
                <w:rFonts w:ascii="Arial" w:cs="Arial" w:eastAsia="Arial" w:hAnsi="Arial"/>
                <w:sz w:val="14"/>
                <w:szCs w:val="14"/>
                <w:color w:val="auto"/>
                <w:w w:val="85"/>
              </w:rPr>
              <w:t>X</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Committee Chairperson</w:t>
      </w:r>
    </w:p>
    <w:p>
      <w:pPr>
        <w:spacing w:after="0"/>
        <w:rPr>
          <w:rFonts w:ascii="Arial" w:cs="Arial" w:eastAsia="Arial" w:hAnsi="Arial"/>
          <w:sz w:val="12"/>
          <w:szCs w:val="12"/>
          <w:color w:val="auto"/>
        </w:rPr>
      </w:pPr>
      <w:r>
        <w:rPr>
          <w:rFonts w:ascii="Arial" w:cs="Arial" w:eastAsia="Arial" w:hAnsi="Arial"/>
          <w:sz w:val="12"/>
          <w:szCs w:val="12"/>
          <w:color w:val="auto"/>
        </w:rPr>
        <w:t>†  Financial Expert</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14"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financial statements. This committee’s responsibilities include, among other things:</w:t>
      </w:r>
    </w:p>
    <w:p>
      <w:pPr>
        <w:spacing w:after="0" w:line="9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our independent registered public accounting firm;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registered public accounting firm;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registered public accounting firm;</w:t>
      </w:r>
    </w:p>
    <w:p>
      <w:pPr>
        <w:spacing w:after="0" w:line="117"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design, implementation, adequacy and effectiveness of our internal accounting controls and our critical accounting policies;</w:t>
      </w:r>
    </w:p>
    <w:p>
      <w:pPr>
        <w:spacing w:after="0" w:line="8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89" w:lineRule="exact"/>
        <w:rPr>
          <w:rFonts w:ascii="Arial" w:cs="Arial" w:eastAsia="Arial" w:hAnsi="Arial"/>
          <w:sz w:val="18"/>
          <w:szCs w:val="18"/>
          <w:color w:val="auto"/>
        </w:rPr>
      </w:pPr>
    </w:p>
    <w:p>
      <w:pPr>
        <w:ind w:left="660" w:right="8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89"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on a periodic basis, or as appropriate, any investment policy and recommending to the Board any changes to such investment policy;</w:t>
      </w:r>
    </w:p>
    <w:p>
      <w:pPr>
        <w:spacing w:after="0" w:line="89"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117"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transactions and reviewing and monitoring compliance with our code of conduct and ethics;</w:t>
      </w:r>
    </w:p>
    <w:p>
      <w:pPr>
        <w:spacing w:after="0" w:line="89"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evaluating, at least annually, the performance of the Audit Committee and its members including compliance of the Audit Committee with its charter;</w:t>
      </w:r>
    </w:p>
    <w:p>
      <w:pPr>
        <w:spacing w:after="0" w:line="89"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the Company's policies with respect to risk assessment and risk management, including with respect to cybersecurity;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Company's ESG (Environmental, Social and Corporate Governance) strategy, initiatives and policies.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members of our Audit Committee are Mr. Stokes, Ms. Johnson and Dr. Nova. Mr. Stokes currently serves as the Chairperson of the Audit Committee. All members, of our Audit Committee, including Mr. Stokes, meet the requirements for financial literacy under the applicable rules and regulations of the SEC and Nasdaq. The Board has determined that each of Mr. Elliott and Mr. Stokes is an “audit committee financial expert” as defined by applicable SEC rules and has the requisite financial sophistication as defined under the applicable Nasdaq rules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24" w:right="339" w:bottom="1440" w:gutter="0" w:footer="0" w:header="0"/>
        </w:sectPr>
      </w:pPr>
    </w:p>
    <w:bookmarkStart w:id="23" w:name="page24"/>
    <w:bookmarkEnd w:id="23"/>
    <w:p>
      <w:pPr>
        <w:jc w:val="both"/>
        <w:ind w:right="120"/>
        <w:spacing w:after="0" w:line="253" w:lineRule="auto"/>
        <w:rPr>
          <w:sz w:val="20"/>
          <w:szCs w:val="20"/>
          <w:color w:val="auto"/>
        </w:rPr>
      </w:pPr>
      <w:r>
        <w:rPr>
          <w:rFonts w:ascii="Arial" w:cs="Arial" w:eastAsia="Arial" w:hAnsi="Arial"/>
          <w:sz w:val="18"/>
          <w:szCs w:val="18"/>
          <w:color w:val="auto"/>
        </w:rPr>
        <w:t>and regulations. The Board has determined each of Mr. Elliott, Ms. Johnson, Dr. Nova and Mr. Stokes are independent under the applicable rules of the SEC and Nasdaq. The Audit Committee operates under a written charter that satisfies the applicable standards of the SEC and Nasdaq, which the Audit Committee will review and evaluate at least annually. A copy of the charter for our Audit Committee is available on our investor relations website at investors.exagen.com under Investors - Governance— Governance Documents. The Audit Committee met four times during 2021.</w:t>
      </w:r>
    </w:p>
    <w:p>
      <w:pPr>
        <w:spacing w:after="0" w:line="23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Both our external auditor and internal financial personnel meet privately with the Audit Committee and have unrestricted access to this committee.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Compensation Committee reviews, approves and recommends to the Board policies relating to compensation and benefits of our officers, employees and directors.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reviews and approves or makes recommendations to the Board regarding our incentive compensation and equity-based plans, executive severance plans and arrangements, including the authority to administer any such plans and arrangements and to approve grants of cash-based and equity-based awards under such plans. In addition, the Compensation Committee periodically reviews and recommends to the Board compensation for service on the Board and any committees of the Board. The Compensation Committee may delegate its authority under its charter to one or more subcommittees as it deems appropriate from time to time as further described in its charter. The Compensation Committee will review and evaluate, at least annually, its charter, as well as review and evaluate, at least annually, the performance of the Compensation Committee and its members, including compliance by the compensation committee with its charter.</w:t>
      </w:r>
    </w:p>
    <w:p>
      <w:pPr>
        <w:spacing w:after="0" w:line="2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in carrying out its responsibilities. In 2021, the Compensation Committee engaged FW Cook, an independent compensation consultant, to assist in making decisions regarding the amount and types of compensation to provide our executives and non-employee directors. As part of this process, the Compensation Committee reviewed a compensation assessment provided by FW Cook comparing our compensation to that of a group of peer companies within our industry and met with FW Cook to discuss our executive and non-employee director compensation to receive input and advice. FW Cook reported directly to the Compensation Committee.</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members of our compensation committee are Dr. Robertson, Dr. Nova, Ms. Hooker and Mr. Tullis. Dr. Robertson serves as the Chairperson of the committee. Our Board has determined that each member of this committee is independent under the applicable rules and regulations of Nasdaq and is a “non-employee director” as defined in Rule 16b -3 promulgated under the Exchange Act. A copy of the charter for our Compensation Committee is available on our investor relations website at investors.exagen.com under Investors - Governance— Governance Documents. The Compensation Committee met two times during 2021.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Nominating and Corporate Governance Committee is responsible for assisting the Board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the Board and any committees thereof. In addition, the Nominating and Corporate Governance Committee is responsible for overseeing our corporate governance policies, reporting and making recommendations to the Board concerning governance matters and oversight of the evaluation of the Board. The members of our Nominating and Corporate Governance Committee are Mr. Birk, Dr. Pallares and Dr. Robertson. Mr. Birk serves as the Chairperson of the committee. The Board has determined that each member of this committee is independent under the applicable rules and regulations of Nasdaq relating to Nominating and Corporate Governance Committee independence. The Nominating and Corporate Governance Committee operates under a written charter, which the Nominating and Corporate Governance Committee will review and evaluate at least annually. A copy of the charter for our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908" w:right="359" w:bottom="1440" w:gutter="0" w:footer="0" w:header="0"/>
        </w:sectPr>
      </w:pPr>
    </w:p>
    <w:bookmarkStart w:id="24" w:name="page25"/>
    <w:bookmarkEnd w:id="24"/>
    <w:p>
      <w:pPr>
        <w:ind w:right="200"/>
        <w:spacing w:after="0" w:line="261" w:lineRule="auto"/>
        <w:rPr>
          <w:sz w:val="20"/>
          <w:szCs w:val="20"/>
          <w:color w:val="auto"/>
        </w:rPr>
      </w:pPr>
      <w:r>
        <w:rPr>
          <w:rFonts w:ascii="Arial" w:cs="Arial" w:eastAsia="Arial" w:hAnsi="Arial"/>
          <w:sz w:val="18"/>
          <w:szCs w:val="18"/>
          <w:color w:val="auto"/>
        </w:rPr>
        <w:t>Nominating and Corporate Governance Committee is available on our investor relations website at investors.exagen.com under Investors - Governance— Governance Documents. The Nominating and Corporate Governance Committee met two times during 2021.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2020, we undertook a review of our environmental, social and governance, or ESG, matters. In 2021, we released our initial Sustainability Report. In 2022, we created an Environmental, Social and Governance Committee, or the ESG Committee, with the purpose, duties and responsibility of reviewing and recommending our ESG programs, policies and practices relating to ESG issues. The ESG Committee consists of a cross functional leadership team and meets formally at least quarterly and plans to make recommendations to the President and Chief Executive Officer to be presented to the Audit Committee of our Board. For more information regarding our ESG initiatives, including our ESG report, please refer to www.exagen.com/investors.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2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At Exagen, we believe that working safely and being environmentally responsible are fundamental to our success. We are committed to conducting business in a way that considers our environment and our planet's changing climate, and that is also consistent with providing a high state of wellness and success for our employees and stakeholders. To date, we have incorporated environmentally sustainable practices into certain of our facilities and operations, and we plan to invest in more of these practices as we continue to grow. Per our commitment to reduce resource consumption by practicing efficient use of energy, we are looking into various resource-efficient technologies at our facility, including; high efficiency light fixtures, energy recovery from lab ventilation, and energy efficient chillers. Additionally, as part of our ongoing efforts to reduce all types of waste, we have implemented or are in the process of implementing the following initiatives; switching to reusable utensils to avoid single use, recycling styrofoam from trial samples to reduce landfill waste, recycling lab gloves, and using compostable dishware where single use cannot be avoided. In 2021, we disposed of all hazardous and/or medical waste that we produced across our entire business through environmentally sound methods. Our approach is to foster growth and longevity and to create long-term value by considering every dimension of how we operate — ethical, economic, and environmental. Through this plan, we strive to contribute to bettering our world by making a positive impact on people and the planet.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w:t>
      </w:r>
    </w:p>
    <w:p>
      <w:pPr>
        <w:spacing w:after="0" w:line="2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recognize that our employees are critical to our mandate to provide accurate, timely and differential diagnosis for patients suffering from autoimmune and autoimmune-related diseases. That makes our employees both our most valuable asset and our most important investment. The success of our organization is reliant upon each individual's significant contribution to our corporate culture and goals in line with our core company values of:</w:t>
      </w:r>
    </w:p>
    <w:p>
      <w:pPr>
        <w:spacing w:after="0" w:line="4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the right thing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Apply professional and ethical integrity in all that we do, accepting accountability for our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Focus on results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Pursue unequivocal excellence as we contribute and collaborate in order to meet or exceed our goals.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Demonstrate our passion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Embody a bias for action to improve the lives of the patients we serve.</w:t>
      </w: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understand that our future depends upon the attraction, retention, and engagement of a talented, diverse, and committed team that can thrive and innovate in a supportive and safe environment. Our efforts to ensure this occurs across the company including offering competitive compensation and benefits packages, ongoing training and development, commitment to the safety and health of our employees, and support for our employees during the unprecedented global circumstances that began in 2020. To address the safety and health of our workforce due to the COVID-19 pandemic, we created a committee consisting of six members of our management team and implemented the following, among other steps:</w:t>
      </w:r>
    </w:p>
    <w:p>
      <w:pPr>
        <w:spacing w:after="0" w:line="4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new safety protocols and procedures;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08" w:right="339" w:bottom="1440" w:gutter="0" w:footer="0" w:header="0"/>
        </w:sectPr>
      </w:pPr>
    </w:p>
    <w:bookmarkStart w:id="25" w:name="page26"/>
    <w:bookmarkEnd w:id="25"/>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Maintained regular communication regarding the impacts of the pandemic on our employees and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Developed and distributed a playbook to guide the safe return to offices, communities, and work sites;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Provided paid time-off for those directly impacted by COVID-19, and instructed those who were infected to stay home;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sanitation protocols across the entire campus;</w:t>
      </w:r>
    </w:p>
    <w:p>
      <w:pPr>
        <w:spacing w:after="0" w:line="63"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Established physical distancing procedures, modified workspaces, and provided personal protective equipment and cleaning supplies for employees who needed to be onsite; and</w:t>
      </w:r>
    </w:p>
    <w:p>
      <w:pPr>
        <w:spacing w:after="0" w:line="35"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Created and refined protocols to address actual and suspected COVID-19 cases and potential exposures of our employees, customers, and trade partners.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conduct periodic anonymous employee surveys aimed at measuring the overall satisfaction of our team and address issues brought to our attention, such as adherence to social distancing standards and vaccination acceptance. The results consistently show that our employees believe in our mandate and consider their work valuable and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2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organization recognizes the importance of diversity and inclusion in recruiting, developing and retaining the best available talent. We are committed to further understand and build upon our diversity and inclusion strengths and are in the process of identifying opportunities and developing initiatives.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December 31, 2021, our employees were 59.5% female and 40.5% male. Our overall employee population as of December 31, 2021 was 57.6% White, 20.7% Hispanic or Latino, 13.2% Asian, 3.5% Native Hawaiian or other Pacific Islander, 3.0% Black or African -American and 2.0% two or more races (not Hispanic or Latino) and other. In executive positions, which we define as Senior Vice President and above, our employee population as of December 31, 2021 was 85.7% White and 14.3% Asian. Females represented 28.5% of the employees in executive positions.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320" w:top="962"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8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provided to our named executive officers during the year ended December 31, 2021, who were:</w:t>
      </w:r>
    </w:p>
    <w:p>
      <w:pPr>
        <w:spacing w:after="0" w:line="90" w:lineRule="exact"/>
        <w:rPr>
          <w:sz w:val="20"/>
          <w:szCs w:val="20"/>
          <w:color w:val="auto"/>
        </w:rPr>
      </w:pPr>
    </w:p>
    <w:p>
      <w:pPr>
        <w:ind w:left="1300" w:hanging="523"/>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Fortunato Ron Rocca, President and Chief Executive Officer;</w:t>
      </w:r>
    </w:p>
    <w:p>
      <w:pPr>
        <w:spacing w:after="0" w:line="117" w:lineRule="exact"/>
        <w:rPr>
          <w:rFonts w:ascii="Arial" w:cs="Arial" w:eastAsia="Arial" w:hAnsi="Arial"/>
          <w:sz w:val="18"/>
          <w:szCs w:val="18"/>
          <w:color w:val="auto"/>
        </w:rPr>
      </w:pPr>
    </w:p>
    <w:p>
      <w:pPr>
        <w:ind w:left="1300" w:hanging="523"/>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Kamal Adawi, Chief Financial Officer and Corporate Secretary; and</w:t>
      </w:r>
    </w:p>
    <w:p>
      <w:pPr>
        <w:spacing w:after="0" w:line="117" w:lineRule="exact"/>
        <w:rPr>
          <w:rFonts w:ascii="Arial" w:cs="Arial" w:eastAsia="Arial" w:hAnsi="Arial"/>
          <w:sz w:val="18"/>
          <w:szCs w:val="18"/>
          <w:color w:val="auto"/>
        </w:rPr>
      </w:pPr>
    </w:p>
    <w:p>
      <w:pPr>
        <w:ind w:left="1300" w:hanging="523"/>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Debra Zack, M.D., Ph.D., Chief Medical Officer.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6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for services rendered during the years ended December 31,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All Other</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Option</w:t>
            </w:r>
          </w:p>
        </w:tc>
        <w:tc>
          <w:tcPr>
            <w:tcW w:w="15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Incentive Plan</w:t>
            </w:r>
          </w:p>
        </w:tc>
        <w:tc>
          <w:tcPr>
            <w:tcW w:w="152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vMerge w:val="restart"/>
          </w:tcPr>
          <w:p>
            <w:pPr>
              <w:spacing w:after="0"/>
              <w:rPr>
                <w:sz w:val="11"/>
                <w:szCs w:val="11"/>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Year</w:t>
            </w:r>
          </w:p>
        </w:tc>
        <w:tc>
          <w:tcPr>
            <w:tcW w:w="160" w:type="dxa"/>
            <w:vAlign w:val="bottom"/>
            <w:vMerge w:val="restart"/>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160" w:type="dxa"/>
            <w:vAlign w:val="bottom"/>
            <w:vMerge w:val="restart"/>
          </w:tcPr>
          <w:p>
            <w:pPr>
              <w:spacing w:after="0"/>
              <w:rPr>
                <w:sz w:val="11"/>
                <w:szCs w:val="11"/>
                <w:color w:val="auto"/>
              </w:rPr>
            </w:pPr>
          </w:p>
        </w:tc>
        <w:tc>
          <w:tcPr>
            <w:tcW w:w="10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Awards ($)</w:t>
            </w:r>
          </w:p>
        </w:tc>
        <w:tc>
          <w:tcPr>
            <w:tcW w:w="1100" w:type="dxa"/>
            <w:vAlign w:val="bottom"/>
            <w:gridSpan w:val="2"/>
            <w:vMerge w:val="continue"/>
          </w:tcPr>
          <w:p>
            <w:pPr>
              <w:spacing w:after="0"/>
              <w:rPr>
                <w:sz w:val="11"/>
                <w:szCs w:val="11"/>
                <w:color w:val="auto"/>
              </w:rPr>
            </w:pPr>
          </w:p>
        </w:tc>
        <w:tc>
          <w:tcPr>
            <w:tcW w:w="15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Compensation ($)</w:t>
            </w:r>
          </w:p>
        </w:tc>
        <w:tc>
          <w:tcPr>
            <w:tcW w:w="152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Compensation ($)</w:t>
            </w:r>
          </w:p>
        </w:tc>
        <w:tc>
          <w:tcPr>
            <w:tcW w:w="12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26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w:t>
            </w:r>
          </w:p>
        </w:tc>
        <w:tc>
          <w:tcPr>
            <w:tcW w:w="1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6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(5)</w:t>
            </w:r>
          </w:p>
        </w:tc>
        <w:tc>
          <w:tcPr>
            <w:tcW w:w="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Fortunato Ron Rocca</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594,707</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910,000</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388,596</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537,625</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8,700</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2,439,628</w:t>
            </w:r>
          </w:p>
        </w:tc>
        <w:tc>
          <w:tcPr>
            <w:tcW w:w="0" w:type="dxa"/>
            <w:vAlign w:val="bottom"/>
          </w:tcPr>
          <w:p>
            <w:pPr>
              <w:spacing w:after="0"/>
              <w:rPr>
                <w:sz w:val="1"/>
                <w:szCs w:val="1"/>
                <w:color w:val="auto"/>
              </w:rPr>
            </w:pPr>
          </w:p>
        </w:tc>
      </w:tr>
      <w:tr>
        <w:trPr>
          <w:trHeight w:val="189"/>
        </w:trPr>
        <w:tc>
          <w:tcPr>
            <w:tcW w:w="2840" w:type="dxa"/>
            <w:vAlign w:val="bottom"/>
            <w:gridSpan w:val="3"/>
          </w:tcPr>
          <w:p>
            <w:pPr>
              <w:ind w:left="140"/>
              <w:spacing w:after="0"/>
              <w:rPr>
                <w:sz w:val="20"/>
                <w:szCs w:val="20"/>
                <w:color w:val="auto"/>
              </w:rPr>
            </w:pPr>
            <w:r>
              <w:rPr>
                <w:rFonts w:ascii="Arial" w:cs="Arial" w:eastAsia="Arial" w:hAnsi="Arial"/>
                <w:sz w:val="14"/>
                <w:szCs w:val="14"/>
                <w:i w:val="1"/>
                <w:iCs w:val="1"/>
                <w:color w:val="auto"/>
              </w:rPr>
              <w:t>President and Chief Executive Officer</w:t>
            </w:r>
          </w:p>
        </w:tc>
        <w:tc>
          <w:tcPr>
            <w:tcW w:w="700" w:type="dxa"/>
            <w:vAlign w:val="bottom"/>
          </w:tcPr>
          <w:p>
            <w:pPr>
              <w:jc w:val="right"/>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499,733</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1,742,603</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566,799</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8,550</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2,817,685</w:t>
            </w:r>
          </w:p>
        </w:tc>
        <w:tc>
          <w:tcPr>
            <w:tcW w:w="0" w:type="dxa"/>
            <w:vAlign w:val="bottom"/>
          </w:tcPr>
          <w:p>
            <w:pPr>
              <w:spacing w:after="0"/>
              <w:rPr>
                <w:sz w:val="1"/>
                <w:szCs w:val="1"/>
                <w:color w:val="auto"/>
              </w:rPr>
            </w:pPr>
          </w:p>
        </w:tc>
      </w:tr>
      <w:tr>
        <w:trPr>
          <w:trHeight w:val="189"/>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Kamal Adawi</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406,367</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682,500</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121,436</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194,554</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8,700</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1,413,557</w:t>
            </w:r>
          </w:p>
        </w:tc>
        <w:tc>
          <w:tcPr>
            <w:tcW w:w="0" w:type="dxa"/>
            <w:vAlign w:val="bottom"/>
          </w:tcPr>
          <w:p>
            <w:pPr>
              <w:spacing w:after="0"/>
              <w:rPr>
                <w:sz w:val="1"/>
                <w:szCs w:val="1"/>
                <w:color w:val="auto"/>
              </w:rPr>
            </w:pPr>
          </w:p>
        </w:tc>
      </w:tr>
      <w:tr>
        <w:trPr>
          <w:trHeight w:val="149"/>
        </w:trPr>
        <w:tc>
          <w:tcPr>
            <w:tcW w:w="2840" w:type="dxa"/>
            <w:vAlign w:val="bottom"/>
            <w:gridSpan w:val="3"/>
          </w:tcPr>
          <w:p>
            <w:pPr>
              <w:ind w:left="140"/>
              <w:spacing w:after="0" w:line="149" w:lineRule="exact"/>
              <w:rPr>
                <w:sz w:val="20"/>
                <w:szCs w:val="20"/>
                <w:color w:val="auto"/>
              </w:rPr>
            </w:pPr>
            <w:r>
              <w:rPr>
                <w:rFonts w:ascii="Arial" w:cs="Arial" w:eastAsia="Arial" w:hAnsi="Arial"/>
                <w:sz w:val="14"/>
                <w:szCs w:val="14"/>
                <w:i w:val="1"/>
                <w:iCs w:val="1"/>
                <w:color w:val="auto"/>
              </w:rPr>
              <w:t>Chief Financial Officer and Corporate</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381,170</w:t>
            </w:r>
          </w:p>
        </w:tc>
        <w:tc>
          <w:tcPr>
            <w:tcW w:w="160" w:type="dxa"/>
            <w:vAlign w:val="bottom"/>
          </w:tcPr>
          <w:p>
            <w:pPr>
              <w:spacing w:after="0"/>
              <w:rPr>
                <w:sz w:val="12"/>
                <w:szCs w:val="12"/>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590,237</w:t>
            </w:r>
          </w:p>
        </w:tc>
        <w:tc>
          <w:tcPr>
            <w:tcW w:w="16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230,580</w:t>
            </w:r>
          </w:p>
        </w:tc>
        <w:tc>
          <w:tcPr>
            <w:tcW w:w="16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8,550</w:t>
            </w: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1,210,537</w:t>
            </w:r>
          </w:p>
        </w:tc>
        <w:tc>
          <w:tcPr>
            <w:tcW w:w="0" w:type="dxa"/>
            <w:vAlign w:val="bottom"/>
          </w:tcPr>
          <w:p>
            <w:pPr>
              <w:spacing w:after="0"/>
              <w:rPr>
                <w:sz w:val="1"/>
                <w:szCs w:val="1"/>
                <w:color w:val="auto"/>
              </w:rPr>
            </w:pPr>
          </w:p>
        </w:tc>
      </w:tr>
      <w:tr>
        <w:trPr>
          <w:trHeight w:val="175"/>
        </w:trPr>
        <w:tc>
          <w:tcPr>
            <w:tcW w:w="2840" w:type="dxa"/>
            <w:vAlign w:val="bottom"/>
            <w:gridSpan w:val="3"/>
          </w:tcPr>
          <w:p>
            <w:pPr>
              <w:ind w:left="140"/>
              <w:spacing w:after="0"/>
              <w:rPr>
                <w:sz w:val="20"/>
                <w:szCs w:val="20"/>
                <w:color w:val="auto"/>
              </w:rPr>
            </w:pPr>
            <w:r>
              <w:rPr>
                <w:rFonts w:ascii="Arial" w:cs="Arial" w:eastAsia="Arial" w:hAnsi="Arial"/>
                <w:sz w:val="14"/>
                <w:szCs w:val="14"/>
                <w:i w:val="1"/>
                <w:iCs w:val="1"/>
                <w:color w:val="auto"/>
              </w:rPr>
              <w:t>Secretary</w:t>
            </w: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Debra Zack, M.D., Ph.D.</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415,523</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682,500</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121,436</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202,550</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8,550</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1,430,559</w:t>
            </w:r>
          </w:p>
        </w:tc>
        <w:tc>
          <w:tcPr>
            <w:tcW w:w="0" w:type="dxa"/>
            <w:vAlign w:val="bottom"/>
          </w:tcPr>
          <w:p>
            <w:pPr>
              <w:spacing w:after="0"/>
              <w:rPr>
                <w:sz w:val="1"/>
                <w:szCs w:val="1"/>
                <w:color w:val="auto"/>
              </w:rPr>
            </w:pPr>
          </w:p>
        </w:tc>
      </w:tr>
      <w:tr>
        <w:trPr>
          <w:trHeight w:val="190"/>
        </w:trPr>
        <w:tc>
          <w:tcPr>
            <w:tcW w:w="2840" w:type="dxa"/>
            <w:vAlign w:val="bottom"/>
            <w:gridSpan w:val="3"/>
          </w:tcPr>
          <w:p>
            <w:pPr>
              <w:ind w:left="140"/>
              <w:spacing w:after="0"/>
              <w:rPr>
                <w:sz w:val="20"/>
                <w:szCs w:val="20"/>
                <w:color w:val="auto"/>
              </w:rPr>
            </w:pPr>
            <w:r>
              <w:rPr>
                <w:rFonts w:ascii="Arial" w:cs="Arial" w:eastAsia="Arial" w:hAnsi="Arial"/>
                <w:sz w:val="14"/>
                <w:szCs w:val="14"/>
                <w:i w:val="1"/>
                <w:iCs w:val="1"/>
                <w:color w:val="auto"/>
              </w:rPr>
              <w:t>Chief Medical Officer</w:t>
            </w:r>
          </w:p>
        </w:tc>
        <w:tc>
          <w:tcPr>
            <w:tcW w:w="700" w:type="dxa"/>
            <w:vAlign w:val="bottom"/>
          </w:tcPr>
          <w:p>
            <w:pPr>
              <w:jc w:val="right"/>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296,692</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633,440</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185,617</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6,533</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1,122,282</w:t>
            </w:r>
          </w:p>
        </w:tc>
        <w:tc>
          <w:tcPr>
            <w:tcW w:w="0" w:type="dxa"/>
            <w:vAlign w:val="bottom"/>
          </w:tcPr>
          <w:p>
            <w:pPr>
              <w:spacing w:after="0"/>
              <w:rPr>
                <w:sz w:val="1"/>
                <w:szCs w:val="1"/>
                <w:color w:val="auto"/>
              </w:rPr>
            </w:pPr>
          </w:p>
        </w:tc>
      </w:tr>
      <w:tr>
        <w:trPr>
          <w:trHeight w:val="120"/>
        </w:trPr>
        <w:tc>
          <w:tcPr>
            <w:tcW w:w="198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560" w:right="180" w:hanging="534"/>
        <w:spacing w:after="0" w:line="232"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for 2021 for Messrs. Rocca and Adawi and Dr. Zack include the payout of accrued vacation in connection with a change in the company's paid-time-off policy ($44,423 for Mr. Rocca, $30,366 for Mr. Adawi and $24,086 for Dr. Zack).</w:t>
      </w:r>
    </w:p>
    <w:p>
      <w:pPr>
        <w:spacing w:after="0" w:line="170" w:lineRule="exact"/>
        <w:rPr>
          <w:rFonts w:ascii="Arial" w:cs="Arial" w:eastAsia="Arial" w:hAnsi="Arial"/>
          <w:sz w:val="16"/>
          <w:szCs w:val="16"/>
          <w:color w:val="auto"/>
        </w:rPr>
      </w:pPr>
    </w:p>
    <w:p>
      <w:pPr>
        <w:ind w:left="560" w:right="60" w:hanging="534"/>
        <w:spacing w:after="0" w:line="221"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Amounts for 2021 represent the full grant date fair value of restricted stock unit awards granted to the named executive officer in the applicable year, as computed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rather than the amounts paid to or realized by the named executive officer. For a discussion of valuation assumptions used in the calculations, see Note 2 and Note 8 to our audited financial statements in our Annual Report on Form 10-K for the year ended December 31, 2021 filed with the SEC on March 22, 2022.</w:t>
      </w:r>
    </w:p>
    <w:p>
      <w:pPr>
        <w:spacing w:after="0" w:line="172" w:lineRule="exact"/>
        <w:rPr>
          <w:rFonts w:ascii="Arial" w:cs="Arial" w:eastAsia="Arial" w:hAnsi="Arial"/>
          <w:sz w:val="16"/>
          <w:szCs w:val="16"/>
          <w:color w:val="auto"/>
        </w:rPr>
      </w:pPr>
    </w:p>
    <w:p>
      <w:pPr>
        <w:ind w:left="560" w:right="40" w:hanging="534"/>
        <w:spacing w:after="0" w:line="219"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Amounts for 2021 reflect the aggregate grant date fair value of stock options granted in 2021. Each option grant has been computed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These amounts do not reflect the actual economic value that will be realized by the named executive officer upon the vesting of the stock options, the exercise of the stock options, or the sale of the common stock underlying such stock options. The assumptions that we used to calculate these amounts are discussed in Note 2 and Note 8 to our audited financial statements in our Annual Report on Form 10-K for the year ended December 31, 2021 filed with the SEC on March 22, 2022.</w:t>
      </w:r>
    </w:p>
    <w:p>
      <w:pPr>
        <w:spacing w:after="0" w:line="173" w:lineRule="exact"/>
        <w:rPr>
          <w:rFonts w:ascii="Arial" w:cs="Arial" w:eastAsia="Arial" w:hAnsi="Arial"/>
          <w:sz w:val="16"/>
          <w:szCs w:val="16"/>
          <w:color w:val="auto"/>
        </w:rPr>
      </w:pPr>
    </w:p>
    <w:p>
      <w:pPr>
        <w:ind w:left="560" w:right="160" w:hanging="534"/>
        <w:spacing w:after="0" w:line="232"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for 2021 represent the non-discretionary portion of cash bonuses paid in January 2022 with respect to 2021 corporate performance under the bonus plan. For additional information, see -"Bonus", below.</w:t>
      </w:r>
    </w:p>
    <w:p>
      <w:pPr>
        <w:spacing w:after="0" w:line="170" w:lineRule="exact"/>
        <w:rPr>
          <w:rFonts w:ascii="Arial" w:cs="Arial" w:eastAsia="Arial" w:hAnsi="Arial"/>
          <w:sz w:val="16"/>
          <w:szCs w:val="16"/>
          <w:color w:val="auto"/>
        </w:rPr>
      </w:pPr>
    </w:p>
    <w:p>
      <w:pPr>
        <w:ind w:left="560" w:hanging="534"/>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employer matching contributions under our 401(k) plan on behalf of each named executive officer.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7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29" w:right="339" w:bottom="1440" w:gutter="0" w:footer="0" w:header="0"/>
        </w:sectPr>
      </w:pPr>
    </w:p>
    <w:bookmarkStart w:id="27" w:name="page28"/>
    <w:bookmarkEnd w:id="27"/>
    <w:p>
      <w:pPr>
        <w:ind w:right="100"/>
        <w:spacing w:after="0" w:line="253" w:lineRule="auto"/>
        <w:rPr>
          <w:sz w:val="20"/>
          <w:szCs w:val="20"/>
          <w:color w:val="auto"/>
        </w:rPr>
      </w:pPr>
      <w:r>
        <w:rPr>
          <w:rFonts w:ascii="Arial" w:cs="Arial" w:eastAsia="Arial" w:hAnsi="Arial"/>
          <w:sz w:val="18"/>
          <w:szCs w:val="18"/>
          <w:color w:val="auto"/>
        </w:rPr>
        <w:t>In February 2021, the Board, upon recommendation of the Compensation Committee, approved base salary increases for each of Messrs. Rocca and Adawi and Dr. Zack. In determining to increase their base salaries, the Board reviewed information provided by FW Cook regarding the Company’s peer group (which was established in consultation with FW Cook as part of the Compensation Committee’s review of the Company’s 2021 compensation program). The 2021 base salaries are $550,000, $375,950, $391,400 for Messrs. Rocca and Adawi and Dr. Zack, respectively.</w:t>
      </w:r>
    </w:p>
    <w:p>
      <w:pPr>
        <w:spacing w:after="0" w:line="23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February 2022, the Compensation Committee approved base salary increases for each of Messrs. Rocca and Adawi and Dr. Zack. The 2022 base salaries are $566,500, $398,507 and $403,142 for Messrs. Rocca and Adawi and Dr. Zack, respectively.</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expect that base salaries for the named executive officers will continue to be reviewed periodically by our Compensation Committee, with adjustments expected to be made generally in accordance with the considerations described above and to maintain base salaries at competitive levels.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Bonuses</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named executive officers are eligible to earn cash bonuses based on corporate and individual performance measures for the applicable year which, at the discretion of the Compensation Committee, may be further adjusted based on the individual performances of each named executive officer. For 2021, Mr. Rocca was eligible to receive a target bonus of up to 85% of his base salary and Mr. Adawi and Dr. Zack were eligible to receive a target bonus of up to 45% of their respective base salaries.</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2021, annual bonus payments were based in part on the achievement of pre-established objective performance goals, including revenue, EBITDA, COVID-19 recovery and science metrics, weighted 50%, 30%, 10% and 10%, respectively, of each executive's bonus opportunity. The science metrics goals included publication and abstract goals. The COVID-19 recovery goals included management's continued response to the ongoing COVID-19 pandemic, as evaluated by the Board and Compensation Committee in their discretion. Award opportunities for revenue and EBITDA goals were established at threshold, target and maximum levels with intermediate inflections between threshold and target as well as between target and maximum. Achievement at or above maximum for revenue and EBITDA goals was capped at 150% of target, while funding for achievement of the science metric and COVID-19 recovery goals were capped at 100% of target. Straight-line interpolation is used to calculate the 2021 bonus payouts associated with actual results falling between goals. The goals were set at levels that were expected to be challenging but achievable at the outset of the year.</w:t>
      </w:r>
    </w:p>
    <w:p>
      <w:pPr>
        <w:spacing w:after="0" w:line="23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2021, our actual revenue achieved was 100% of the revenue target goal, and our actual EBITDA achieved was 150% of the EBITDA target goal. We also achieved our science metrics and COVID-19 recovery goals at 100% of target.</w:t>
      </w:r>
    </w:p>
    <w:p>
      <w:pPr>
        <w:spacing w:after="0" w:line="22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presents the possible threshold, target and maximum bonus payouts, as well as the actual bonus amounts earned for each named executive officer for 2021.</w:t>
      </w:r>
    </w:p>
    <w:tbl>
      <w:tblPr>
        <w:tblLayout w:type="fixed"/>
        <w:tblInd w:w="0" w:type="dxa"/>
        <w:tblCellMar>
          <w:top w:w="0" w:type="dxa"/>
          <w:left w:w="0" w:type="dxa"/>
          <w:bottom w:w="0" w:type="dxa"/>
          <w:right w:w="0" w:type="dxa"/>
        </w:tblCellMar>
      </w:tblPr>
      <w:tr>
        <w:trPr>
          <w:trHeight w:val="158"/>
        </w:trPr>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Potential Threshold</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Potential Target</w:t>
            </w:r>
          </w:p>
        </w:tc>
        <w:tc>
          <w:tcPr>
            <w:tcW w:w="14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Potential</w:t>
            </w: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Actual Bonus</w:t>
            </w:r>
          </w:p>
        </w:tc>
        <w:tc>
          <w:tcPr>
            <w:tcW w:w="1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 bonus paid % of</w:t>
            </w:r>
          </w:p>
        </w:tc>
        <w:tc>
          <w:tcPr>
            <w:tcW w:w="0" w:type="dxa"/>
            <w:vAlign w:val="bottom"/>
          </w:tcPr>
          <w:p>
            <w:pPr>
              <w:spacing w:after="0"/>
              <w:rPr>
                <w:sz w:val="1"/>
                <w:szCs w:val="1"/>
                <w:color w:val="auto"/>
              </w:rPr>
            </w:pPr>
          </w:p>
        </w:tc>
      </w:tr>
      <w:tr>
        <w:trPr>
          <w:trHeight w:val="135"/>
        </w:trPr>
        <w:tc>
          <w:tcPr>
            <w:tcW w:w="21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1"/>
                <w:szCs w:val="11"/>
                <w:color w:val="auto"/>
              </w:rPr>
            </w:pPr>
          </w:p>
        </w:tc>
        <w:tc>
          <w:tcPr>
            <w:tcW w:w="11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Salary ($)</w:t>
            </w:r>
          </w:p>
        </w:tc>
        <w:tc>
          <w:tcPr>
            <w:tcW w:w="200" w:type="dxa"/>
            <w:vAlign w:val="bottom"/>
            <w:vMerge w:val="restart"/>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Maximum Bonus</w:t>
            </w:r>
          </w:p>
        </w:tc>
        <w:tc>
          <w:tcPr>
            <w:tcW w:w="134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1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Bonus ($)</w:t>
            </w:r>
          </w:p>
        </w:tc>
        <w:tc>
          <w:tcPr>
            <w:tcW w:w="2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Bonus ($)</w:t>
            </w:r>
          </w:p>
        </w:tc>
        <w:tc>
          <w:tcPr>
            <w:tcW w:w="2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Paid ($)</w:t>
            </w:r>
          </w:p>
        </w:tc>
        <w:tc>
          <w:tcPr>
            <w:tcW w:w="2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Target Bonus</w:t>
            </w:r>
          </w:p>
        </w:tc>
        <w:tc>
          <w:tcPr>
            <w:tcW w:w="0" w:type="dxa"/>
            <w:vAlign w:val="bottom"/>
          </w:tcPr>
          <w:p>
            <w:pPr>
              <w:spacing w:after="0"/>
              <w:rPr>
                <w:sz w:val="1"/>
                <w:szCs w:val="1"/>
                <w:color w:val="auto"/>
              </w:rPr>
            </w:pPr>
          </w:p>
        </w:tc>
      </w:tr>
      <w:tr>
        <w:trPr>
          <w:trHeight w:val="183"/>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Fortunato Ron Rocca</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550,000</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280,500</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467,500</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654,500</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537,625</w:t>
            </w: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89"/>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Kamal Adawi</w:t>
            </w:r>
          </w:p>
        </w:tc>
        <w:tc>
          <w:tcPr>
            <w:tcW w:w="1160" w:type="dxa"/>
            <w:vAlign w:val="bottom"/>
          </w:tcPr>
          <w:p>
            <w:pPr>
              <w:jc w:val="right"/>
              <w:spacing w:after="0"/>
              <w:rPr>
                <w:sz w:val="20"/>
                <w:szCs w:val="20"/>
                <w:color w:val="auto"/>
              </w:rPr>
            </w:pPr>
            <w:r>
              <w:rPr>
                <w:rFonts w:ascii="Arial" w:cs="Arial" w:eastAsia="Arial" w:hAnsi="Arial"/>
                <w:sz w:val="14"/>
                <w:szCs w:val="14"/>
                <w:color w:val="auto"/>
              </w:rPr>
              <w:t>375,950</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101,507</w:t>
            </w:r>
          </w:p>
        </w:tc>
        <w:tc>
          <w:tcPr>
            <w:tcW w:w="2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169,178</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236,849</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194,554</w:t>
            </w: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Debra Zack, M.D., Ph.D.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391,400</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105,678</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176,130</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246,582</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202,550</w:t>
            </w: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7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award stock options and restricted stock unit awards to our employees, including our named executive officers, as the long-term incentive component of our compensation program. Awards granted since our initial public offering in September 2019 were granted under our 2019 Incentive Award Plan (the “2019 Plan”); prior to our initial public offering, awards were granted under the 2013 Stock Option Plan, as amended from time to time (the “2013 Plan”) and our 2002 Stock Option Plan (the “2002 Plan”).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08" w:right="339" w:bottom="1440" w:gutter="0" w:footer="0" w:header="0"/>
        </w:sectPr>
      </w:pPr>
    </w:p>
    <w:bookmarkStart w:id="28" w:name="page29"/>
    <w:bookmarkEnd w:id="28"/>
    <w:p>
      <w:pPr>
        <w:spacing w:after="0" w:line="252" w:lineRule="auto"/>
        <w:rPr>
          <w:sz w:val="20"/>
          <w:szCs w:val="20"/>
          <w:color w:val="auto"/>
        </w:rPr>
      </w:pPr>
      <w:r>
        <w:rPr>
          <w:rFonts w:ascii="Arial" w:cs="Arial" w:eastAsia="Arial" w:hAnsi="Arial"/>
          <w:sz w:val="18"/>
          <w:szCs w:val="18"/>
          <w:color w:val="auto"/>
        </w:rPr>
        <w:t>We typically grant equity awards to key new hires upon their commencing employment with us. We historically have used stock options as the primary incentive for long-term compensation to our named executive officers. Generally, the stock options we grant vest as to 25% of the total number of option shares on the first anniversary of the date of grant and in equal monthly installments over the 36 months thereafter, subject to the employee’s continued service with us on each vesting date. Since 2021, we have used restricted stock units as the primary long-term compensation to our named executive officers. Generally, the restricted stock units we grant vest as to 25% of the total number of restricted stock units on the first anniversary of the first day of the month in which such restricted stock units were granted and in annual installments over the four years thereafter, subject to the employee's continued service with us on each vesting date.</w:t>
      </w:r>
    </w:p>
    <w:p>
      <w:pPr>
        <w:spacing w:after="0" w:line="23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sets forth the number of options granted to our named executive officers in 2021. Each stock option vests in accordance with our typical vesting schedule described above.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3500" w:type="dxa"/>
            <w:vAlign w:val="bottom"/>
          </w:tcPr>
          <w:p>
            <w:pPr>
              <w:jc w:val="center"/>
              <w:ind w:left="2328"/>
              <w:spacing w:after="0"/>
              <w:rPr>
                <w:sz w:val="20"/>
                <w:szCs w:val="20"/>
                <w:color w:val="auto"/>
              </w:rPr>
            </w:pPr>
            <w:r>
              <w:rPr>
                <w:rFonts w:ascii="Arial" w:cs="Arial" w:eastAsia="Arial" w:hAnsi="Arial"/>
                <w:sz w:val="14"/>
                <w:szCs w:val="14"/>
                <w:b w:val="1"/>
                <w:bCs w:val="1"/>
                <w:color w:val="auto"/>
              </w:rPr>
              <w:t>Grant Date</w:t>
            </w:r>
          </w:p>
        </w:tc>
        <w:tc>
          <w:tcPr>
            <w:tcW w:w="1780" w:type="dxa"/>
            <w:vAlign w:val="bottom"/>
          </w:tcPr>
          <w:p>
            <w:pPr>
              <w:jc w:val="center"/>
              <w:ind w:left="68"/>
              <w:spacing w:after="0"/>
              <w:rPr>
                <w:sz w:val="20"/>
                <w:szCs w:val="20"/>
                <w:color w:val="auto"/>
              </w:rPr>
            </w:pPr>
            <w:r>
              <w:rPr>
                <w:rFonts w:ascii="Arial" w:cs="Arial" w:eastAsia="Arial" w:hAnsi="Arial"/>
                <w:sz w:val="14"/>
                <w:szCs w:val="14"/>
                <w:b w:val="1"/>
                <w:bCs w:val="1"/>
                <w:color w:val="auto"/>
              </w:rPr>
              <w:t>Number of Options (#)</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Option Exercise Price ($)</w:t>
            </w:r>
          </w:p>
        </w:tc>
      </w:tr>
      <w:tr>
        <w:trPr>
          <w:trHeight w:val="189"/>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Fortunato Ron Rocca</w:t>
            </w:r>
          </w:p>
        </w:tc>
        <w:tc>
          <w:tcPr>
            <w:tcW w:w="3500" w:type="dxa"/>
            <w:vAlign w:val="bottom"/>
            <w:shd w:val="clear" w:color="auto" w:fill="CCEEFF"/>
          </w:tcPr>
          <w:p>
            <w:pPr>
              <w:jc w:val="center"/>
              <w:ind w:left="2308"/>
              <w:spacing w:after="0"/>
              <w:rPr>
                <w:sz w:val="20"/>
                <w:szCs w:val="20"/>
                <w:color w:val="auto"/>
              </w:rPr>
            </w:pPr>
            <w:r>
              <w:rPr>
                <w:rFonts w:ascii="Arial" w:cs="Arial" w:eastAsia="Arial" w:hAnsi="Arial"/>
                <w:sz w:val="14"/>
                <w:szCs w:val="14"/>
                <w:color w:val="auto"/>
              </w:rPr>
              <w:t>2/23/2021</w:t>
            </w:r>
          </w:p>
        </w:tc>
        <w:tc>
          <w:tcPr>
            <w:tcW w:w="17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40,000</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$18.20</w:t>
            </w:r>
          </w:p>
        </w:tc>
      </w:tr>
      <w:tr>
        <w:trPr>
          <w:trHeight w:val="189"/>
        </w:trPr>
        <w:tc>
          <w:tcPr>
            <w:tcW w:w="4160" w:type="dxa"/>
            <w:vAlign w:val="bottom"/>
          </w:tcPr>
          <w:p>
            <w:pPr>
              <w:ind w:left="20"/>
              <w:spacing w:after="0"/>
              <w:rPr>
                <w:sz w:val="20"/>
                <w:szCs w:val="20"/>
                <w:color w:val="auto"/>
              </w:rPr>
            </w:pPr>
            <w:r>
              <w:rPr>
                <w:rFonts w:ascii="Arial" w:cs="Arial" w:eastAsia="Arial" w:hAnsi="Arial"/>
                <w:sz w:val="14"/>
                <w:szCs w:val="14"/>
                <w:color w:val="auto"/>
              </w:rPr>
              <w:t>Kamal Adawi</w:t>
            </w:r>
          </w:p>
        </w:tc>
        <w:tc>
          <w:tcPr>
            <w:tcW w:w="3500" w:type="dxa"/>
            <w:vAlign w:val="bottom"/>
          </w:tcPr>
          <w:p>
            <w:pPr>
              <w:jc w:val="center"/>
              <w:ind w:left="2308"/>
              <w:spacing w:after="0"/>
              <w:rPr>
                <w:sz w:val="20"/>
                <w:szCs w:val="20"/>
                <w:color w:val="auto"/>
              </w:rPr>
            </w:pPr>
            <w:r>
              <w:rPr>
                <w:rFonts w:ascii="Arial" w:cs="Arial" w:eastAsia="Arial" w:hAnsi="Arial"/>
                <w:sz w:val="14"/>
                <w:szCs w:val="14"/>
                <w:color w:val="auto"/>
              </w:rPr>
              <w:t>2/23/2021</w:t>
            </w:r>
          </w:p>
        </w:tc>
        <w:tc>
          <w:tcPr>
            <w:tcW w:w="1780" w:type="dxa"/>
            <w:vAlign w:val="bottom"/>
          </w:tcPr>
          <w:p>
            <w:pPr>
              <w:jc w:val="center"/>
              <w:ind w:left="68"/>
              <w:spacing w:after="0"/>
              <w:rPr>
                <w:sz w:val="20"/>
                <w:szCs w:val="20"/>
                <w:color w:val="auto"/>
              </w:rPr>
            </w:pPr>
            <w:r>
              <w:rPr>
                <w:rFonts w:ascii="Arial" w:cs="Arial" w:eastAsia="Arial" w:hAnsi="Arial"/>
                <w:sz w:val="14"/>
                <w:szCs w:val="14"/>
                <w:color w:val="auto"/>
              </w:rPr>
              <w:t>12,500</w:t>
            </w:r>
          </w:p>
        </w:tc>
        <w:tc>
          <w:tcPr>
            <w:tcW w:w="1800" w:type="dxa"/>
            <w:vAlign w:val="bottom"/>
          </w:tcPr>
          <w:p>
            <w:pPr>
              <w:jc w:val="center"/>
              <w:spacing w:after="0"/>
              <w:rPr>
                <w:sz w:val="20"/>
                <w:szCs w:val="20"/>
                <w:color w:val="auto"/>
              </w:rPr>
            </w:pPr>
            <w:r>
              <w:rPr>
                <w:rFonts w:ascii="Arial" w:cs="Arial" w:eastAsia="Arial" w:hAnsi="Arial"/>
                <w:sz w:val="14"/>
                <w:szCs w:val="14"/>
                <w:color w:val="auto"/>
              </w:rPr>
              <w:t>$18.20</w:t>
            </w:r>
          </w:p>
        </w:tc>
      </w:tr>
      <w:tr>
        <w:trPr>
          <w:trHeight w:val="189"/>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Debra Zack, M.D., Ph.D.</w:t>
            </w:r>
          </w:p>
        </w:tc>
        <w:tc>
          <w:tcPr>
            <w:tcW w:w="3500" w:type="dxa"/>
            <w:vAlign w:val="bottom"/>
            <w:shd w:val="clear" w:color="auto" w:fill="CCEEFF"/>
          </w:tcPr>
          <w:p>
            <w:pPr>
              <w:jc w:val="center"/>
              <w:ind w:left="2308"/>
              <w:spacing w:after="0"/>
              <w:rPr>
                <w:sz w:val="20"/>
                <w:szCs w:val="20"/>
                <w:color w:val="auto"/>
              </w:rPr>
            </w:pPr>
            <w:r>
              <w:rPr>
                <w:rFonts w:ascii="Arial" w:cs="Arial" w:eastAsia="Arial" w:hAnsi="Arial"/>
                <w:sz w:val="14"/>
                <w:szCs w:val="14"/>
                <w:color w:val="auto"/>
              </w:rPr>
              <w:t>2/23/2021</w:t>
            </w:r>
          </w:p>
        </w:tc>
        <w:tc>
          <w:tcPr>
            <w:tcW w:w="17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12,500</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$18.20</w:t>
            </w:r>
          </w:p>
        </w:tc>
      </w:tr>
    </w:tbl>
    <w:p>
      <w:pPr>
        <w:spacing w:after="0" w:line="337"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Pursuant to the stock option agreement, stock options granted to our named executive officers may be subject to accelerated vesting in connection with the termination of their services with the Company. For additional discussion, please see “—Other Elements of Compensation—Severance and Change in Control Benefits” below.</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sets forth the number of restricted stock units granted to our named executive officers in 2021. Each restricted stock unit vests in accordance with our typical vesting schedule described above.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5800" w:type="dxa"/>
            <w:vAlign w:val="bottom"/>
            <w:vMerge w:val="restart"/>
          </w:tcPr>
          <w:p>
            <w:pPr>
              <w:jc w:val="center"/>
              <w:ind w:left="4588"/>
              <w:spacing w:after="0"/>
              <w:rPr>
                <w:sz w:val="20"/>
                <w:szCs w:val="20"/>
                <w:color w:val="auto"/>
              </w:rPr>
            </w:pPr>
            <w:r>
              <w:rPr>
                <w:rFonts w:ascii="Arial" w:cs="Arial" w:eastAsia="Arial" w:hAnsi="Arial"/>
                <w:sz w:val="14"/>
                <w:szCs w:val="14"/>
                <w:b w:val="1"/>
                <w:bCs w:val="1"/>
                <w:color w:val="auto"/>
              </w:rPr>
              <w:t>Grant Date</w:t>
            </w:r>
          </w:p>
        </w:tc>
        <w:tc>
          <w:tcPr>
            <w:tcW w:w="1760" w:type="dxa"/>
            <w:vAlign w:val="bottom"/>
          </w:tcPr>
          <w:p>
            <w:pPr>
              <w:jc w:val="center"/>
              <w:ind w:left="48"/>
              <w:spacing w:after="0"/>
              <w:rPr>
                <w:sz w:val="20"/>
                <w:szCs w:val="20"/>
                <w:color w:val="auto"/>
              </w:rPr>
            </w:pPr>
            <w:r>
              <w:rPr>
                <w:rFonts w:ascii="Arial" w:cs="Arial" w:eastAsia="Arial" w:hAnsi="Arial"/>
                <w:sz w:val="14"/>
                <w:szCs w:val="14"/>
                <w:b w:val="1"/>
                <w:bCs w:val="1"/>
                <w:color w:val="auto"/>
              </w:rPr>
              <w:t>Number of Restricted</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 Fair Value ($)</w:t>
            </w:r>
          </w:p>
        </w:tc>
        <w:tc>
          <w:tcPr>
            <w:tcW w:w="0" w:type="dxa"/>
            <w:vAlign w:val="bottom"/>
          </w:tcPr>
          <w:p>
            <w:pPr>
              <w:spacing w:after="0"/>
              <w:rPr>
                <w:sz w:val="1"/>
                <w:szCs w:val="1"/>
                <w:color w:val="auto"/>
              </w:rPr>
            </w:pPr>
          </w:p>
        </w:tc>
      </w:tr>
      <w:tr>
        <w:trPr>
          <w:trHeight w:val="176"/>
        </w:trPr>
        <w:tc>
          <w:tcPr>
            <w:tcW w:w="1880" w:type="dxa"/>
            <w:vAlign w:val="bottom"/>
            <w:vMerge w:val="continue"/>
          </w:tcPr>
          <w:p>
            <w:pPr>
              <w:spacing w:after="0"/>
              <w:rPr>
                <w:sz w:val="15"/>
                <w:szCs w:val="15"/>
                <w:color w:val="auto"/>
              </w:rPr>
            </w:pPr>
          </w:p>
        </w:tc>
        <w:tc>
          <w:tcPr>
            <w:tcW w:w="5800" w:type="dxa"/>
            <w:vAlign w:val="bottom"/>
            <w:vMerge w:val="continue"/>
          </w:tcPr>
          <w:p>
            <w:pPr>
              <w:spacing w:after="0"/>
              <w:rPr>
                <w:sz w:val="15"/>
                <w:szCs w:val="15"/>
                <w:color w:val="auto"/>
              </w:rPr>
            </w:pPr>
          </w:p>
        </w:tc>
        <w:tc>
          <w:tcPr>
            <w:tcW w:w="1760" w:type="dxa"/>
            <w:vAlign w:val="bottom"/>
          </w:tcPr>
          <w:p>
            <w:pPr>
              <w:jc w:val="center"/>
              <w:ind w:left="48"/>
              <w:spacing w:after="0"/>
              <w:rPr>
                <w:sz w:val="20"/>
                <w:szCs w:val="20"/>
                <w:color w:val="auto"/>
              </w:rPr>
            </w:pPr>
            <w:r>
              <w:rPr>
                <w:rFonts w:ascii="Arial" w:cs="Arial" w:eastAsia="Arial" w:hAnsi="Arial"/>
                <w:sz w:val="14"/>
                <w:szCs w:val="14"/>
                <w:b w:val="1"/>
                <w:bCs w:val="1"/>
                <w:color w:val="auto"/>
              </w:rPr>
              <w:t>Stock Units (#)</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Fortunato Ron Rocca</w:t>
            </w:r>
          </w:p>
        </w:tc>
        <w:tc>
          <w:tcPr>
            <w:tcW w:w="5800" w:type="dxa"/>
            <w:vAlign w:val="bottom"/>
            <w:shd w:val="clear" w:color="auto" w:fill="CCEEFF"/>
          </w:tcPr>
          <w:p>
            <w:pPr>
              <w:jc w:val="center"/>
              <w:ind w:left="4568"/>
              <w:spacing w:after="0"/>
              <w:rPr>
                <w:sz w:val="20"/>
                <w:szCs w:val="20"/>
                <w:color w:val="auto"/>
              </w:rPr>
            </w:pPr>
            <w:r>
              <w:rPr>
                <w:rFonts w:ascii="Arial" w:cs="Arial" w:eastAsia="Arial" w:hAnsi="Arial"/>
                <w:sz w:val="14"/>
                <w:szCs w:val="14"/>
                <w:color w:val="auto"/>
              </w:rPr>
              <w:t>2/23/2021</w:t>
            </w:r>
          </w:p>
        </w:tc>
        <w:tc>
          <w:tcPr>
            <w:tcW w:w="176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50,000</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$910,000(1)</w:t>
            </w: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rPr>
                <w:sz w:val="20"/>
                <w:szCs w:val="20"/>
                <w:color w:val="auto"/>
              </w:rPr>
            </w:pPr>
            <w:r>
              <w:rPr>
                <w:rFonts w:ascii="Arial" w:cs="Arial" w:eastAsia="Arial" w:hAnsi="Arial"/>
                <w:sz w:val="14"/>
                <w:szCs w:val="14"/>
                <w:color w:val="auto"/>
              </w:rPr>
              <w:t>Kamal Adawi</w:t>
            </w:r>
          </w:p>
        </w:tc>
        <w:tc>
          <w:tcPr>
            <w:tcW w:w="5800" w:type="dxa"/>
            <w:vAlign w:val="bottom"/>
          </w:tcPr>
          <w:p>
            <w:pPr>
              <w:jc w:val="center"/>
              <w:ind w:left="4568"/>
              <w:spacing w:after="0"/>
              <w:rPr>
                <w:sz w:val="20"/>
                <w:szCs w:val="20"/>
                <w:color w:val="auto"/>
              </w:rPr>
            </w:pPr>
            <w:r>
              <w:rPr>
                <w:rFonts w:ascii="Arial" w:cs="Arial" w:eastAsia="Arial" w:hAnsi="Arial"/>
                <w:sz w:val="14"/>
                <w:szCs w:val="14"/>
                <w:color w:val="auto"/>
              </w:rPr>
              <w:t>2/23/2021</w:t>
            </w:r>
          </w:p>
        </w:tc>
        <w:tc>
          <w:tcPr>
            <w:tcW w:w="1760" w:type="dxa"/>
            <w:vAlign w:val="bottom"/>
          </w:tcPr>
          <w:p>
            <w:pPr>
              <w:jc w:val="center"/>
              <w:ind w:left="48"/>
              <w:spacing w:after="0"/>
              <w:rPr>
                <w:sz w:val="20"/>
                <w:szCs w:val="20"/>
                <w:color w:val="auto"/>
              </w:rPr>
            </w:pPr>
            <w:r>
              <w:rPr>
                <w:rFonts w:ascii="Arial" w:cs="Arial" w:eastAsia="Arial" w:hAnsi="Arial"/>
                <w:sz w:val="14"/>
                <w:szCs w:val="14"/>
                <w:color w:val="auto"/>
              </w:rPr>
              <w:t>37,500</w:t>
            </w:r>
          </w:p>
        </w:tc>
        <w:tc>
          <w:tcPr>
            <w:tcW w:w="1800" w:type="dxa"/>
            <w:vAlign w:val="bottom"/>
          </w:tcPr>
          <w:p>
            <w:pPr>
              <w:jc w:val="center"/>
              <w:spacing w:after="0"/>
              <w:rPr>
                <w:sz w:val="20"/>
                <w:szCs w:val="20"/>
                <w:color w:val="auto"/>
              </w:rPr>
            </w:pPr>
            <w:r>
              <w:rPr>
                <w:rFonts w:ascii="Arial" w:cs="Arial" w:eastAsia="Arial" w:hAnsi="Arial"/>
                <w:sz w:val="14"/>
                <w:szCs w:val="14"/>
                <w:color w:val="auto"/>
              </w:rPr>
              <w:t>$682,500(1)</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Debra Zack, M.D., Ph.D.</w:t>
            </w:r>
          </w:p>
        </w:tc>
        <w:tc>
          <w:tcPr>
            <w:tcW w:w="5800" w:type="dxa"/>
            <w:vAlign w:val="bottom"/>
            <w:shd w:val="clear" w:color="auto" w:fill="CCEEFF"/>
          </w:tcPr>
          <w:p>
            <w:pPr>
              <w:jc w:val="center"/>
              <w:ind w:left="4568"/>
              <w:spacing w:after="0"/>
              <w:rPr>
                <w:sz w:val="20"/>
                <w:szCs w:val="20"/>
                <w:color w:val="auto"/>
              </w:rPr>
            </w:pPr>
            <w:r>
              <w:rPr>
                <w:rFonts w:ascii="Arial" w:cs="Arial" w:eastAsia="Arial" w:hAnsi="Arial"/>
                <w:sz w:val="14"/>
                <w:szCs w:val="14"/>
                <w:color w:val="auto"/>
              </w:rPr>
              <w:t>2/23/2021</w:t>
            </w:r>
          </w:p>
        </w:tc>
        <w:tc>
          <w:tcPr>
            <w:tcW w:w="176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37,500</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$682,500(1)</w:t>
            </w:r>
          </w:p>
        </w:tc>
        <w:tc>
          <w:tcPr>
            <w:tcW w:w="0" w:type="dxa"/>
            <w:vAlign w:val="bottom"/>
          </w:tcPr>
          <w:p>
            <w:pPr>
              <w:spacing w:after="0"/>
              <w:rPr>
                <w:sz w:val="1"/>
                <w:szCs w:val="1"/>
                <w:color w:val="auto"/>
              </w:rPr>
            </w:pPr>
          </w:p>
        </w:tc>
      </w:tr>
      <w:tr>
        <w:trPr>
          <w:trHeight w:val="108"/>
        </w:trPr>
        <w:tc>
          <w:tcPr>
            <w:tcW w:w="188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560" w:right="460" w:hanging="534"/>
        <w:spacing w:after="0" w:line="221" w:lineRule="auto"/>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Amounts for 2021 represent the full grant date fair value of restricted stock unit awards granted to the named executive officer in the applicable year, as computed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rather than the amounts paid to or realized by the named executive officer. For a discussion of valuation assumptions used in the calculations, see Note 2 and Note 8 to our audited financial statements in our Annual Report on Form 10-K for the year ended December 31, 2021 filed with the SEC on March 22, 2022.</w:t>
      </w:r>
    </w:p>
    <w:p>
      <w:pPr>
        <w:spacing w:after="0" w:line="34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Pursuant to the restricted stock unit agreement, restricted stock units granted to our named executive officers may be subject to accelerated vesting in connection with the termination of their services with the Company. For additional discussion, please see “—Other Elements of Compensation—Severance and Change in Control Benefits”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w:t>
      </w:r>
    </w:p>
    <w:p>
      <w:pPr>
        <w:spacing w:after="0" w:line="2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currently maintain a 401(k) retirement savings plan that allows eligible employees to defer a portion of their compensation, within limits prescribed by the Code, on a pre-tax basis through contributions to the plan. Our named executive officers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270"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all full-time employees generally, including:</w:t>
      </w:r>
    </w:p>
    <w:p>
      <w:pPr>
        <w:spacing w:after="0" w:line="9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life insurance and accidental death and dismemberment insurance.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our named executive officers with any other perquisites or other personal benefits.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Tax Gross-Ups</w:t>
      </w: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generally have not made gross-up payments to cover our named executive officers’ personal income taxes that may pertain to any of the compensation paid or provided by our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named executive officers may become entitled to certain benefits or enhanced benefits upon a termination of employment pursuant to the Exagen Inc. Amended and Restated Executive Change in Control and Severance Plan (the "Amended and Restated Severance Plan"), as explained in further detail below. In addition, stock options granted to our employees, including our named executive officers, may be subject to acceleration in connection with a change in control under our equity plans.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15, 2021, the Compensation Committee adopted the Exagen Inc. Executive Change in Control Severance Plan (the "Original Severance Plan"). On April 25, 2022, the Compensation Committee adopted the Amended and Restated Severance Plan, which amended and restated the Original Severance Plan to include, in addition to certain change-in-control severance benefits, certain non change-in-control severance benefits. The Amended and Restated Severance Plan is intended to provide certain payment of cash severance and other benefits to our executives, including our named executive officers, in the event of a qualifying termination of employment with us. The Amended and Restated Severance Plan superseded any and all severance plans, separation policies, the provisions of any offer letters or any agreement that provided for severance payments and benefits applying to our executives who are party to the Amended and Restated Severance Plan.</w:t>
      </w:r>
    </w:p>
    <w:p>
      <w:pPr>
        <w:spacing w:after="0" w:line="23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Under the Amended and Restated Severance Plan, in the event of a termination of an executive's employment by us without "cause" and at any time other than within twelve months following a "change in control," the executive will be eligible to receive the following payments and benefits:</w:t>
      </w:r>
    </w:p>
    <w:p>
      <w:pPr>
        <w:spacing w:after="0" w:line="94" w:lineRule="exact"/>
        <w:rPr>
          <w:sz w:val="20"/>
          <w:szCs w:val="20"/>
          <w:color w:val="auto"/>
        </w:rPr>
      </w:pPr>
    </w:p>
    <w:p>
      <w:pPr>
        <w:ind w:left="660" w:right="20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cash payment equal to 50% (or, for Mr. Rocca, 75%) of the executive's then-current annual base salary rate for the year in which the termination occurs, to be paid in a lump sum on the 30th day following the executive's termination;</w:t>
      </w:r>
    </w:p>
    <w:p>
      <w:pPr>
        <w:spacing w:after="0" w:line="89"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 and</w:t>
      </w:r>
    </w:p>
    <w:p>
      <w:pPr>
        <w:spacing w:after="0" w:line="93" w:lineRule="exact"/>
        <w:rPr>
          <w:rFonts w:ascii="Arial" w:cs="Arial" w:eastAsia="Arial" w:hAnsi="Arial"/>
          <w:sz w:val="18"/>
          <w:szCs w:val="18"/>
          <w:color w:val="auto"/>
        </w:rPr>
      </w:pPr>
    </w:p>
    <w:p>
      <w:pPr>
        <w:ind w:left="660" w:right="7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Company-subsidized premium payments under the Consolidated Omnibus Budget Reconciliation Act of 1985, as amended ("COBRA"), for the executive and his or her covered dependents for up to 6 (or, for Mr. Rocca, 9) months.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Amended and Restated Severance Plan also provides that in the event of a termination of an executive's employment by us without "cause" or by the executive for "good reason," in either case, on or within twelve months following a "change in control," the executive will be eligible to receive the following payments and benefits:</w:t>
      </w:r>
    </w:p>
    <w:p>
      <w:pPr>
        <w:spacing w:after="0" w:line="94" w:lineRule="exact"/>
        <w:rPr>
          <w:sz w:val="20"/>
          <w:szCs w:val="20"/>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cash payment equal to 100% (or, for Mr. Rocca, 125%) of the executive's then-current annual base salary rate for the year in which the termination occurs, to be paid in a lump sum on the 30th day following the executive's termination;</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890" w:right="379" w:bottom="1440" w:gutter="0" w:footer="0" w:header="0"/>
        </w:sectPr>
      </w:pPr>
    </w:p>
    <w:bookmarkStart w:id="30" w:name="page31"/>
    <w:bookmarkEnd w:id="30"/>
    <w:p>
      <w:pPr>
        <w:ind w:left="660" w:right="12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w:t>
      </w:r>
    </w:p>
    <w:p>
      <w:pPr>
        <w:spacing w:after="0" w:line="93" w:lineRule="exact"/>
        <w:rPr>
          <w:rFonts w:ascii="Arial" w:cs="Arial" w:eastAsia="Arial" w:hAnsi="Arial"/>
          <w:sz w:val="18"/>
          <w:szCs w:val="18"/>
          <w:color w:val="auto"/>
        </w:rPr>
      </w:pPr>
    </w:p>
    <w:p>
      <w:pPr>
        <w:ind w:left="660" w:right="60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Company-subsidized COBRA premium payments for the executive and his or her covered dependents for up to 12 (or, for Mr. Rocca, 15) months;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 accelerated vesting of all outstanding equity awards that vest solely based on the passage of time.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executive's right to receive the severance payments and benefits described above is subject to the executive's delivery and, as applicable, non-revocation of a general release of claims in our favor and the executive's continued compliance with any applicable restrictive covenants.</w:t>
      </w:r>
    </w:p>
    <w:p>
      <w:pPr>
        <w:spacing w:after="0" w:line="22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addition, in the event that any payment under the Amended and Restated Severance Plan, together with any other amounts we paid to the executive, would subject the executive to an excise tax under Section 4999 of the Internal Revenue Code, such payments will be reduced to the extent that such reduction would produce a better net after-tax result for the executive.</w:t>
      </w:r>
    </w:p>
    <w:p>
      <w:pPr>
        <w:spacing w:after="0" w:line="22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For additional discussion, please see “Equity Compensation” and "Outstanding Equity Awards at 2021 Fiscal Year-End." Other than the benefits described above, none of our named executive officers are entitled to any severance or change in control benefits.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 with our Named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Fortunato Ron Rocca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 October 2011, we entered into an offer letter with Mr. Rocca, which was amended in September 2019.</w:t>
      </w:r>
    </w:p>
    <w:p>
      <w:pPr>
        <w:spacing w:after="0" w:line="252"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Mr. Rocca’s offer letter provides for at-will employment, and an annual base salary and bonus. Mr. Rocca’s offer letter provided that, if we terminate Mr. Rocca’s employment without cause, Mr. Rocca would be entitled to a lump sum cash payment in an amount equal to nine months of his annual base salary as in effect immediately prior to the date of termination, subject to his delivery and non-revocation of a general release of claims in favor of our company. The severance benefits described in Mr. Rocca's offer letter were superseded by the Amended and Restated Severance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Kamal Adawi</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 May 2017, we entered into an offer letter with Mr. Adawi, which was amended in September 2019.</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Adawi’s offer letter provides for at-will employment, and an annual base salary and bonus. Mr. Adawi’s offer letter provided that, if we terminate Mr. Adawi’s employment without cause, Mr. Adawi would be entitled to a lump sum cash payment in an amount equal to six months of his annual base salary as in effect immediately prior to the date of termination, subject to his delivery and non-revocation of a general release of claims in favor of our company. The severance benefits described in Mr. Adawi's offer letter were superseded by the Amended and Restated Severance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Debra Zack, M.D., Ph.D.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 March 2020, we entered into an offer letter with Dr. Zack.</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Dr. Zack’s offer letter provides for at-will employment, and an annual base salary and bonus. Pursuant to the offer letter, Dr. Zack received options to purchase 100,000 shares of our common stock in connection with the commencement of her employment. Dr. Zack's employment with the Company may be terminated by the Company at any time, for any reason or for no reason whatsoever, with or without notice and with or without cause unless otherwise specified by law. Under the Company's Amended and Restated Severance Plan, Dr. Zack would be entitled to payments in excess of those set forth in her offer letter under certain circumstances. See "— Severance and Change in Control Benefits" above.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01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outstanding equity incentive plan awards held by each named executive officer as of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each option listed in the following table was granted under the 2019 Plan.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Option Awards</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Stock Awards</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Number of</w:t>
            </w: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Securities</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 value</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Underlying</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Underlying</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or</w:t>
            </w:r>
          </w:p>
        </w:tc>
        <w:tc>
          <w:tcPr>
            <w:tcW w:w="3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Unexercised</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Unexercised</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units of</w:t>
            </w:r>
          </w:p>
        </w:tc>
        <w:tc>
          <w:tcPr>
            <w:tcW w:w="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 or</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Options</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Price</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Option</w:t>
            </w: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stock that</w:t>
            </w:r>
          </w:p>
        </w:tc>
        <w:tc>
          <w:tcPr>
            <w:tcW w:w="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units of stock</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100" w:type="dxa"/>
            <w:vAlign w:val="bottom"/>
            <w:vMerge w:val="restart"/>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Exercisable (#)</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Unexercisable (#)</w:t>
            </w:r>
          </w:p>
        </w:tc>
        <w:tc>
          <w:tcPr>
            <w:tcW w:w="3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have not</w:t>
            </w:r>
          </w:p>
        </w:tc>
        <w:tc>
          <w:tcPr>
            <w:tcW w:w="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that have not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3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3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Fortunato Ron Rocca</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2/23/2021</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18.20</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2/22/2031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2/23/2021</w:t>
            </w: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50,000</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4"/>
                <w:szCs w:val="14"/>
                <w:color w:val="auto"/>
              </w:rPr>
              <w:t>581,500</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1/09/2020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72,270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80,730</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24.19</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1/08/2030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9/18/2019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77,995</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60,664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tcPr>
          <w:p>
            <w:pPr>
              <w:jc w:val="center"/>
              <w:spacing w:after="0"/>
              <w:rPr>
                <w:sz w:val="20"/>
                <w:szCs w:val="20"/>
                <w:color w:val="auto"/>
              </w:rPr>
            </w:pPr>
            <w:r>
              <w:rPr>
                <w:rFonts w:ascii="Arial" w:cs="Arial" w:eastAsia="Arial" w:hAnsi="Arial"/>
                <w:sz w:val="14"/>
                <w:szCs w:val="14"/>
                <w:color w:val="auto"/>
              </w:rPr>
              <w:t>14.00</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9/17/2029</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10/5/2018</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256,264</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67,438</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0.2571</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10/5/2028</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Kamal Adawi</w:t>
            </w:r>
          </w:p>
        </w:tc>
        <w:tc>
          <w:tcPr>
            <w:tcW w:w="1100" w:type="dxa"/>
            <w:vAlign w:val="bottom"/>
          </w:tcPr>
          <w:p>
            <w:pPr>
              <w:jc w:val="center"/>
              <w:spacing w:after="0"/>
              <w:rPr>
                <w:sz w:val="20"/>
                <w:szCs w:val="20"/>
                <w:color w:val="auto"/>
              </w:rPr>
            </w:pPr>
            <w:r>
              <w:rPr>
                <w:rFonts w:ascii="Arial" w:cs="Arial" w:eastAsia="Arial" w:hAnsi="Arial"/>
                <w:sz w:val="14"/>
                <w:szCs w:val="14"/>
                <w:color w:val="auto"/>
              </w:rPr>
              <w:t>2/23/2021</w:t>
            </w: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12,500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900" w:type="dxa"/>
            <w:vAlign w:val="bottom"/>
          </w:tcPr>
          <w:p>
            <w:pPr>
              <w:jc w:val="center"/>
              <w:spacing w:after="0"/>
              <w:rPr>
                <w:sz w:val="20"/>
                <w:szCs w:val="20"/>
                <w:color w:val="auto"/>
              </w:rPr>
            </w:pPr>
            <w:r>
              <w:rPr>
                <w:rFonts w:ascii="Arial" w:cs="Arial" w:eastAsia="Arial" w:hAnsi="Arial"/>
                <w:sz w:val="14"/>
                <w:szCs w:val="14"/>
                <w:color w:val="auto"/>
              </w:rPr>
              <w:t>18.20</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2/22/2031</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2/23/2021</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436,125</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1/09/2020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25,156</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27,344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tcPr>
          <w:p>
            <w:pPr>
              <w:jc w:val="center"/>
              <w:spacing w:after="0"/>
              <w:rPr>
                <w:sz w:val="20"/>
                <w:szCs w:val="20"/>
                <w:color w:val="auto"/>
              </w:rPr>
            </w:pPr>
            <w:r>
              <w:rPr>
                <w:rFonts w:ascii="Arial" w:cs="Arial" w:eastAsia="Arial" w:hAnsi="Arial"/>
                <w:sz w:val="14"/>
                <w:szCs w:val="14"/>
                <w:color w:val="auto"/>
              </w:rPr>
              <w:t>24.19</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1/08/2030</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9/18/2019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12,169</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9,466</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14.00</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9/17/2029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10/5/2018</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66,628</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17,534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900" w:type="dxa"/>
            <w:vAlign w:val="bottom"/>
          </w:tcPr>
          <w:p>
            <w:pPr>
              <w:jc w:val="center"/>
              <w:spacing w:after="0"/>
              <w:rPr>
                <w:sz w:val="20"/>
                <w:szCs w:val="20"/>
                <w:color w:val="auto"/>
              </w:rPr>
            </w:pPr>
            <w:r>
              <w:rPr>
                <w:rFonts w:ascii="Arial" w:cs="Arial" w:eastAsia="Arial" w:hAnsi="Arial"/>
                <w:sz w:val="14"/>
                <w:szCs w:val="14"/>
                <w:color w:val="auto"/>
              </w:rPr>
              <w:t>0.2571</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10/5/2028</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Debra Zack, M.D., Ph.D.</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2/23/2021</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18.20</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2/22/2031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2/23/2021</w:t>
            </w: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37,500</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4"/>
                <w:szCs w:val="14"/>
                <w:color w:val="auto"/>
              </w:rPr>
              <w:t>436,125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3/24/2020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56,250</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13.44</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3/23/2030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right="20" w:hanging="634"/>
        <w:spacing w:after="0" w:line="219"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 In addition, the option may become fully vested upon a qualifying termination of employment in connection with a change in control.</w:t>
      </w:r>
    </w:p>
    <w:p>
      <w:pPr>
        <w:spacing w:after="0" w:line="166" w:lineRule="exact"/>
        <w:rPr>
          <w:rFonts w:ascii="Arial" w:cs="Arial" w:eastAsia="Arial" w:hAnsi="Arial"/>
          <w:sz w:val="14"/>
          <w:szCs w:val="14"/>
          <w:color w:val="auto"/>
        </w:rPr>
      </w:pPr>
    </w:p>
    <w:p>
      <w:pPr>
        <w:ind w:left="660" w:right="180" w:hanging="634"/>
        <w:spacing w:after="0" w:line="229"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w:t>
      </w:r>
    </w:p>
    <w:p>
      <w:pPr>
        <w:spacing w:after="0" w:line="165" w:lineRule="exact"/>
        <w:rPr>
          <w:rFonts w:ascii="Arial" w:cs="Arial" w:eastAsia="Arial" w:hAnsi="Arial"/>
          <w:sz w:val="14"/>
          <w:szCs w:val="14"/>
          <w:color w:val="auto"/>
        </w:rPr>
      </w:pPr>
    </w:p>
    <w:p>
      <w:pPr>
        <w:ind w:left="660" w:right="180" w:hanging="634"/>
        <w:spacing w:after="0" w:line="229"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 This option was granted under the 2013 Plan.</w:t>
      </w:r>
    </w:p>
    <w:p>
      <w:pPr>
        <w:spacing w:after="0" w:line="165" w:lineRule="exact"/>
        <w:rPr>
          <w:rFonts w:ascii="Arial" w:cs="Arial" w:eastAsia="Arial" w:hAnsi="Arial"/>
          <w:sz w:val="14"/>
          <w:szCs w:val="14"/>
          <w:color w:val="auto"/>
        </w:rPr>
      </w:pPr>
    </w:p>
    <w:p>
      <w:pPr>
        <w:ind w:left="660" w:right="100" w:hanging="634"/>
        <w:spacing w:after="0" w:line="229"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restricted stock units vest with respect to 25% of the restricted stock units on each of the first, second, third and fourth anniversaries of March 1, 2021, subject to the grantee's continued service. In addition, the award may become fully vested upon a qualifying termination of employment in connection with a change in control.</w:t>
      </w:r>
    </w:p>
    <w:p>
      <w:pPr>
        <w:spacing w:after="0" w:line="165" w:lineRule="exact"/>
        <w:rPr>
          <w:rFonts w:ascii="Arial" w:cs="Arial" w:eastAsia="Arial" w:hAnsi="Arial"/>
          <w:sz w:val="14"/>
          <w:szCs w:val="14"/>
          <w:color w:val="auto"/>
        </w:rPr>
      </w:pPr>
    </w:p>
    <w:p>
      <w:pPr>
        <w:ind w:left="660" w:right="640" w:hanging="634"/>
        <w:spacing w:after="0" w:line="229"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market value of shares of restricted stock units that have not vested is calculated by multiplying the fair market value of a share of our common stock on December 31, 2021 ($11.63) by the number of unvested shares of restricted stock units outstanding under the award.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director compensation program is intended to provide a total compensation package that enables us to attract and retain qualified and experienced individuals to serve as directors and to align our directors' interests with those of our stockholders. Directors who are also employees of our Company do not receive compensation for their service on the Board.</w:t>
      </w:r>
    </w:p>
    <w:p>
      <w:pPr>
        <w:spacing w:after="0" w:line="22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 September 2019, the Board adopted the non-employee director compensation program (the "Director Compensation Program") that became effective in connection with our initial public offering.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29" w:right="339" w:bottom="1440" w:gutter="0" w:footer="0" w:header="0"/>
        </w:sectPr>
      </w:pPr>
    </w:p>
    <w:bookmarkStart w:id="32" w:name="page33"/>
    <w:bookmarkEnd w:id="32"/>
    <w:p>
      <w:pPr>
        <w:ind w:right="60"/>
        <w:spacing w:after="0" w:line="252" w:lineRule="auto"/>
        <w:rPr>
          <w:sz w:val="20"/>
          <w:szCs w:val="20"/>
          <w:color w:val="auto"/>
        </w:rPr>
      </w:pPr>
      <w:r>
        <w:rPr>
          <w:rFonts w:ascii="Arial" w:cs="Arial" w:eastAsia="Arial" w:hAnsi="Arial"/>
          <w:sz w:val="18"/>
          <w:szCs w:val="18"/>
          <w:color w:val="auto"/>
        </w:rPr>
        <w:t>Under the Director Compensation Program, non-employee directors receive a cash retainer for service on the Board and for service on each committee of which the director is a member. The Chairperson of the Board and each committee received a higher retainer for such service. Cash retainers are payable quarterly in arrears. Annual cash retainers will be pro-rated for any partial calendar quarter of service. All cash compensation payable to the directors affiliated with Sun Mountain Capital or H.I.G. Capital, LLC is paid to Sun Mountain Capital or H.I.G. Capital, LLC, as applicable. The fees paid to non-employee directors for service on the Board under the Director Compensation Program are as follows:</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Compensation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Board of Directors annual retainer</w:t>
            </w:r>
          </w:p>
        </w:tc>
        <w:tc>
          <w:tcPr>
            <w:tcW w:w="362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Incremental annual retainer for the Chairman</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Committee Chair incremental annual retainers</w:t>
            </w:r>
          </w:p>
        </w:tc>
        <w:tc>
          <w:tcPr>
            <w:tcW w:w="3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400" w:type="dxa"/>
            <w:vAlign w:val="bottom"/>
          </w:tcPr>
          <w:p>
            <w:pPr>
              <w:ind w:left="460"/>
              <w:spacing w:after="0"/>
              <w:rPr>
                <w:sz w:val="20"/>
                <w:szCs w:val="20"/>
                <w:color w:val="auto"/>
              </w:rPr>
            </w:pPr>
            <w:r>
              <w:rPr>
                <w:rFonts w:ascii="Arial" w:cs="Arial" w:eastAsia="Arial" w:hAnsi="Arial"/>
                <w:sz w:val="16"/>
                <w:szCs w:val="16"/>
                <w:color w:val="auto"/>
              </w:rPr>
              <w:t>Audit</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12,000</w:t>
            </w:r>
          </w:p>
        </w:tc>
      </w:tr>
      <w:tr>
        <w:trPr>
          <w:trHeight w:val="219"/>
        </w:trPr>
        <w:tc>
          <w:tcPr>
            <w:tcW w:w="6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3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6400" w:type="dxa"/>
            <w:vAlign w:val="bottom"/>
          </w:tcPr>
          <w:p>
            <w:pPr>
              <w:ind w:left="460"/>
              <w:spacing w:after="0"/>
              <w:rPr>
                <w:sz w:val="20"/>
                <w:szCs w:val="20"/>
                <w:color w:val="auto"/>
              </w:rPr>
            </w:pPr>
            <w:r>
              <w:rPr>
                <w:rFonts w:ascii="Arial" w:cs="Arial" w:eastAsia="Arial" w:hAnsi="Arial"/>
                <w:sz w:val="16"/>
                <w:szCs w:val="16"/>
                <w:color w:val="auto"/>
              </w:rPr>
              <w:t>Nominating and Corporate Governance</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9,000</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Committee member incremental annual retainers</w:t>
            </w:r>
          </w:p>
        </w:tc>
        <w:tc>
          <w:tcPr>
            <w:tcW w:w="3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400" w:type="dxa"/>
            <w:vAlign w:val="bottom"/>
          </w:tcPr>
          <w:p>
            <w:pPr>
              <w:ind w:left="460"/>
              <w:spacing w:after="0"/>
              <w:rPr>
                <w:sz w:val="20"/>
                <w:szCs w:val="20"/>
                <w:color w:val="auto"/>
              </w:rPr>
            </w:pPr>
            <w:r>
              <w:rPr>
                <w:rFonts w:ascii="Arial" w:cs="Arial" w:eastAsia="Arial" w:hAnsi="Arial"/>
                <w:sz w:val="16"/>
                <w:szCs w:val="16"/>
                <w:color w:val="auto"/>
              </w:rPr>
              <w:t>Audit</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19"/>
        </w:trPr>
        <w:tc>
          <w:tcPr>
            <w:tcW w:w="6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3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0"/>
        </w:trPr>
        <w:tc>
          <w:tcPr>
            <w:tcW w:w="6400" w:type="dxa"/>
            <w:vAlign w:val="bottom"/>
          </w:tcPr>
          <w:p>
            <w:pPr>
              <w:ind w:left="460"/>
              <w:spacing w:after="0"/>
              <w:rPr>
                <w:sz w:val="20"/>
                <w:szCs w:val="20"/>
                <w:color w:val="auto"/>
              </w:rPr>
            </w:pPr>
            <w:r>
              <w:rPr>
                <w:rFonts w:ascii="Arial" w:cs="Arial" w:eastAsia="Arial" w:hAnsi="Arial"/>
                <w:sz w:val="16"/>
                <w:szCs w:val="16"/>
                <w:color w:val="auto"/>
              </w:rPr>
              <w:t>Nominating and Corporate Governance</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7,500</w:t>
            </w:r>
          </w:p>
        </w:tc>
      </w:tr>
    </w:tbl>
    <w:p>
      <w:pPr>
        <w:spacing w:after="0" w:line="3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under this program, each of our non-employee directors is eligible to receive an annual stock option grant to purchase 9,000 shares of our common stock, which shall vest in full on the earlier to occur of (i) the one-year anniversary of the applicable grant date and (ii) the date of the next annual meeting following the grant date, subject to continued service through the applicable vesting date. Additionally, new non-employee directors are eligible to receive a stock option to purchase 15,000 shares of our common stock on the date on which such eligible director is appointed or elected to serve on the Board, and shall vest as to 1/36th of the shares underlying the option on each monthly anniversary of the grant date, subject to the eligible director's continued service through the applicable vesting date.</w:t>
      </w:r>
    </w:p>
    <w:p>
      <w:pPr>
        <w:spacing w:after="0" w:line="23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table sets forth information regarding the compensation of our non-employee directors earned for services rendered during the year ended December 31, 2021. Mr. Rocca, who served as our President and Chief Executive Officer during the year ended December 31, 2021, and continues to serve in that capacity, does not receive additional compensation for his service as a director, and therefore is not included in the Director Compensation table below. All compensation paid to Mr. Rocca is reported above in the “Summary Compensation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4"/>
                <w:szCs w:val="14"/>
                <w:color w:val="auto"/>
              </w:rPr>
            </w:pPr>
          </w:p>
        </w:tc>
        <w:tc>
          <w:tcPr>
            <w:tcW w:w="1860" w:type="dxa"/>
            <w:vAlign w:val="bottom"/>
            <w:gridSpan w:val="2"/>
          </w:tcPr>
          <w:p>
            <w:pPr>
              <w:ind w:left="60"/>
              <w:spacing w:after="0"/>
              <w:rPr>
                <w:sz w:val="20"/>
                <w:szCs w:val="20"/>
                <w:color w:val="auto"/>
              </w:rPr>
            </w:pPr>
            <w:r>
              <w:rPr>
                <w:rFonts w:ascii="Arial" w:cs="Arial" w:eastAsia="Arial" w:hAnsi="Arial"/>
                <w:sz w:val="14"/>
                <w:szCs w:val="14"/>
                <w:b w:val="1"/>
                <w:bCs w:val="1"/>
                <w:color w:val="auto"/>
              </w:rPr>
              <w:t>Fees Earned or Paid in</w:t>
            </w: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200" w:type="dxa"/>
            <w:vAlign w:val="bottom"/>
            <w:vMerge w:val="restart"/>
          </w:tcPr>
          <w:p>
            <w:pPr>
              <w:spacing w:after="0"/>
              <w:rPr>
                <w:sz w:val="14"/>
                <w:szCs w:val="14"/>
                <w:color w:val="auto"/>
              </w:rPr>
            </w:pPr>
          </w:p>
        </w:tc>
        <w:tc>
          <w:tcPr>
            <w:tcW w:w="14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60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6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Cash ($)</w:t>
            </w:r>
          </w:p>
        </w:tc>
        <w:tc>
          <w:tcPr>
            <w:tcW w:w="2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Brian Birk</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79,000</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74,756</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153,756</w:t>
            </w:r>
          </w:p>
        </w:tc>
        <w:tc>
          <w:tcPr>
            <w:tcW w:w="0" w:type="dxa"/>
            <w:vAlign w:val="bottom"/>
          </w:tcPr>
          <w:p>
            <w:pPr>
              <w:spacing w:after="0"/>
              <w:rPr>
                <w:sz w:val="1"/>
                <w:szCs w:val="1"/>
                <w:color w:val="auto"/>
              </w:rPr>
            </w:pPr>
          </w:p>
        </w:tc>
      </w:tr>
      <w:tr>
        <w:trPr>
          <w:trHeight w:val="18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Jeff Elliott(2)</w:t>
            </w:r>
          </w:p>
        </w:tc>
        <w:tc>
          <w:tcPr>
            <w:tcW w:w="1660" w:type="dxa"/>
            <w:vAlign w:val="bottom"/>
          </w:tcPr>
          <w:p>
            <w:pPr>
              <w:jc w:val="right"/>
              <w:spacing w:after="0"/>
              <w:rPr>
                <w:sz w:val="20"/>
                <w:szCs w:val="20"/>
                <w:color w:val="auto"/>
              </w:rPr>
            </w:pPr>
            <w:r>
              <w:rPr>
                <w:rFonts w:ascii="Arial" w:cs="Arial" w:eastAsia="Arial" w:hAnsi="Arial"/>
                <w:sz w:val="14"/>
                <w:szCs w:val="14"/>
                <w:color w:val="auto"/>
              </w:rPr>
              <w:t>28,786</w:t>
            </w:r>
          </w:p>
        </w:tc>
        <w:tc>
          <w:tcPr>
            <w:tcW w:w="200" w:type="dxa"/>
            <w:vAlign w:val="bottom"/>
          </w:tcPr>
          <w:p>
            <w:pPr>
              <w:spacing w:after="0"/>
              <w:rPr>
                <w:sz w:val="16"/>
                <w:szCs w:val="16"/>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28,786</w:t>
            </w:r>
          </w:p>
        </w:tc>
        <w:tc>
          <w:tcPr>
            <w:tcW w:w="0" w:type="dxa"/>
            <w:vAlign w:val="bottom"/>
          </w:tcPr>
          <w:p>
            <w:pPr>
              <w:spacing w:after="0"/>
              <w:rPr>
                <w:sz w:val="1"/>
                <w:szCs w:val="1"/>
                <w:color w:val="auto"/>
              </w:rPr>
            </w:pPr>
          </w:p>
        </w:tc>
      </w:tr>
      <w:tr>
        <w:trPr>
          <w:trHeight w:val="18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Ana Hooker(3)</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22,473</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99,072</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121,545</w:t>
            </w:r>
          </w:p>
        </w:tc>
        <w:tc>
          <w:tcPr>
            <w:tcW w:w="0" w:type="dxa"/>
            <w:vAlign w:val="bottom"/>
          </w:tcPr>
          <w:p>
            <w:pPr>
              <w:spacing w:after="0"/>
              <w:rPr>
                <w:sz w:val="1"/>
                <w:szCs w:val="1"/>
                <w:color w:val="auto"/>
              </w:rPr>
            </w:pPr>
          </w:p>
        </w:tc>
      </w:tr>
      <w:tr>
        <w:trPr>
          <w:trHeight w:val="18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Wendy Johnson</w:t>
            </w:r>
          </w:p>
        </w:tc>
        <w:tc>
          <w:tcPr>
            <w:tcW w:w="1660" w:type="dxa"/>
            <w:vAlign w:val="bottom"/>
          </w:tcPr>
          <w:p>
            <w:pPr>
              <w:jc w:val="right"/>
              <w:spacing w:after="0"/>
              <w:rPr>
                <w:sz w:val="20"/>
                <w:szCs w:val="20"/>
                <w:color w:val="auto"/>
              </w:rPr>
            </w:pPr>
            <w:r>
              <w:rPr>
                <w:rFonts w:ascii="Arial" w:cs="Arial" w:eastAsia="Arial" w:hAnsi="Arial"/>
                <w:sz w:val="14"/>
                <w:szCs w:val="14"/>
                <w:color w:val="auto"/>
              </w:rPr>
              <w:t>57,500</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74,756</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132,256</w:t>
            </w:r>
          </w:p>
        </w:tc>
        <w:tc>
          <w:tcPr>
            <w:tcW w:w="0" w:type="dxa"/>
            <w:vAlign w:val="bottom"/>
          </w:tcPr>
          <w:p>
            <w:pPr>
              <w:spacing w:after="0"/>
              <w:rPr>
                <w:sz w:val="1"/>
                <w:szCs w:val="1"/>
                <w:color w:val="auto"/>
              </w:rPr>
            </w:pPr>
          </w:p>
        </w:tc>
      </w:tr>
      <w:tr>
        <w:trPr>
          <w:trHeight w:val="18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Tina S. Nova, Ph.D.</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74,756</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139,756</w:t>
            </w:r>
          </w:p>
        </w:tc>
        <w:tc>
          <w:tcPr>
            <w:tcW w:w="0" w:type="dxa"/>
            <w:vAlign w:val="bottom"/>
          </w:tcPr>
          <w:p>
            <w:pPr>
              <w:spacing w:after="0"/>
              <w:rPr>
                <w:sz w:val="1"/>
                <w:szCs w:val="1"/>
                <w:color w:val="auto"/>
              </w:rPr>
            </w:pPr>
          </w:p>
        </w:tc>
      </w:tr>
      <w:tr>
        <w:trPr>
          <w:trHeight w:val="18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Ebetuel Pallares, Ph.D.</w:t>
            </w:r>
          </w:p>
        </w:tc>
        <w:tc>
          <w:tcPr>
            <w:tcW w:w="1660" w:type="dxa"/>
            <w:vAlign w:val="bottom"/>
          </w:tcPr>
          <w:p>
            <w:pPr>
              <w:jc w:val="right"/>
              <w:spacing w:after="0"/>
              <w:rPr>
                <w:sz w:val="20"/>
                <w:szCs w:val="20"/>
                <w:color w:val="auto"/>
              </w:rPr>
            </w:pPr>
            <w:r>
              <w:rPr>
                <w:rFonts w:ascii="Arial" w:cs="Arial" w:eastAsia="Arial" w:hAnsi="Arial"/>
                <w:sz w:val="14"/>
                <w:szCs w:val="14"/>
                <w:color w:val="auto"/>
              </w:rPr>
              <w:t>57,500</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74,756</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132,256</w:t>
            </w:r>
          </w:p>
        </w:tc>
        <w:tc>
          <w:tcPr>
            <w:tcW w:w="0" w:type="dxa"/>
            <w:vAlign w:val="bottom"/>
          </w:tcPr>
          <w:p>
            <w:pPr>
              <w:spacing w:after="0"/>
              <w:rPr>
                <w:sz w:val="1"/>
                <w:szCs w:val="1"/>
                <w:color w:val="auto"/>
              </w:rPr>
            </w:pPr>
          </w:p>
        </w:tc>
      </w:tr>
      <w:tr>
        <w:trPr>
          <w:trHeight w:val="18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Bruce C. Robertson, Ph.D.</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67,500</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74,756</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142,256</w:t>
            </w:r>
          </w:p>
        </w:tc>
        <w:tc>
          <w:tcPr>
            <w:tcW w:w="0" w:type="dxa"/>
            <w:vAlign w:val="bottom"/>
          </w:tcPr>
          <w:p>
            <w:pPr>
              <w:spacing w:after="0"/>
              <w:rPr>
                <w:sz w:val="1"/>
                <w:szCs w:val="1"/>
                <w:color w:val="auto"/>
              </w:rPr>
            </w:pPr>
          </w:p>
        </w:tc>
      </w:tr>
      <w:tr>
        <w:trPr>
          <w:trHeight w:val="18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Frank Stokes(4)</w:t>
            </w:r>
          </w:p>
        </w:tc>
        <w:tc>
          <w:tcPr>
            <w:tcW w:w="1660" w:type="dxa"/>
            <w:vAlign w:val="bottom"/>
          </w:tcPr>
          <w:p>
            <w:pPr>
              <w:jc w:val="right"/>
              <w:spacing w:after="0"/>
              <w:rPr>
                <w:sz w:val="20"/>
                <w:szCs w:val="20"/>
                <w:color w:val="auto"/>
              </w:rPr>
            </w:pPr>
            <w:r>
              <w:rPr>
                <w:rFonts w:ascii="Arial" w:cs="Arial" w:eastAsia="Arial" w:hAnsi="Arial"/>
                <w:sz w:val="14"/>
                <w:szCs w:val="14"/>
                <w:color w:val="auto"/>
              </w:rPr>
              <w:t>33,384</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127,212</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160,596</w:t>
            </w:r>
          </w:p>
        </w:tc>
        <w:tc>
          <w:tcPr>
            <w:tcW w:w="0" w:type="dxa"/>
            <w:vAlign w:val="bottom"/>
          </w:tcPr>
          <w:p>
            <w:pPr>
              <w:spacing w:after="0"/>
              <w:rPr>
                <w:sz w:val="1"/>
                <w:szCs w:val="1"/>
                <w:color w:val="auto"/>
              </w:rPr>
            </w:pPr>
          </w:p>
        </w:tc>
      </w:tr>
      <w:tr>
        <w:trPr>
          <w:trHeight w:val="18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James L.L. Tullis</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57,500</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74,756</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51" w:right="339" w:bottom="1440" w:gutter="0" w:footer="0" w:header="0"/>
        </w:sectPr>
      </w:pPr>
    </w:p>
    <w:bookmarkStart w:id="33" w:name="page34"/>
    <w:bookmarkEnd w:id="33"/>
    <w:p>
      <w:pPr>
        <w:ind w:left="1140" w:right="60" w:hanging="1114"/>
        <w:spacing w:after="0" w:line="209"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7112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200" cy="8255"/>
                    </a:xfrm>
                    <a:prstGeom prst="rect">
                      <a:avLst/>
                    </a:prstGeom>
                    <a:noFill/>
                  </pic:spPr>
                </pic:pic>
              </a:graphicData>
            </a:graphic>
          </wp:anchor>
        </w:drawing>
        <w:t>Amounts reflect the aggregate grant date fair value of stock options granted in 2021, computed in accordance with the provisions of ASC Topic 718, Compensation Stock Compensation. These amounts do not reflect the actual economic value that will be realized by the director upon the vesting of the stock options, the exercise of the stock options, or the sale of the common stock underlying the stock options. The assumptions that we used to calculate these amounts are discussed in Note 2 and Note 8 to our audited financial statements in our Annual Report on Form 10-K for the year ended December 31, 2021 filed with the SEC on March 22, 2022. As of December 31, 2021, the outstanding option awards to purchase the following respective numbers of shares of common stock were held by members of the Board: Mr. Birk, 37,422 shares, Mr. Elliott, 16,940 shares, Ms. Hooker, 15,000 shares, Ms. Johnson, 24,000 shares, Dr. Nova, 31,613 shares, Dr. Pallares, 30,948 shares, Dr. Robertson, 18,000 shares, Mr. Stokes, 15,000 shares, and Mr. Tullis, 30,948 shares.</w:t>
      </w:r>
    </w:p>
    <w:p>
      <w:pPr>
        <w:spacing w:after="0" w:line="166" w:lineRule="exact"/>
        <w:rPr>
          <w:rFonts w:ascii="Arial" w:cs="Arial" w:eastAsia="Arial" w:hAnsi="Arial"/>
          <w:sz w:val="14"/>
          <w:szCs w:val="14"/>
          <w:color w:val="auto"/>
        </w:rPr>
      </w:pPr>
    </w:p>
    <w:p>
      <w:pPr>
        <w:ind w:left="1140" w:hanging="1114"/>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Elliott's board service ended in June 2021.</w:t>
      </w:r>
    </w:p>
    <w:p>
      <w:pPr>
        <w:spacing w:after="0" w:line="176" w:lineRule="exact"/>
        <w:rPr>
          <w:rFonts w:ascii="Arial" w:cs="Arial" w:eastAsia="Arial" w:hAnsi="Arial"/>
          <w:sz w:val="14"/>
          <w:szCs w:val="14"/>
          <w:color w:val="auto"/>
        </w:rPr>
      </w:pPr>
    </w:p>
    <w:p>
      <w:pPr>
        <w:ind w:left="1140" w:right="240" w:hanging="1114"/>
        <w:spacing w:after="0" w:line="229"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Ms. Hooker was appointed as a member of the Board effective July 29, 2021, and in connection with such appointment and in accordance with the Director Compensation Program, was granted an option to purchase 15,000 shares of our common stock.</w:t>
      </w:r>
    </w:p>
    <w:p>
      <w:pPr>
        <w:spacing w:after="0" w:line="165" w:lineRule="exact"/>
        <w:rPr>
          <w:rFonts w:ascii="Arial" w:cs="Arial" w:eastAsia="Arial" w:hAnsi="Arial"/>
          <w:sz w:val="14"/>
          <w:szCs w:val="14"/>
          <w:color w:val="auto"/>
        </w:rPr>
      </w:pPr>
    </w:p>
    <w:p>
      <w:pPr>
        <w:ind w:left="1140" w:right="700" w:hanging="1114"/>
        <w:spacing w:after="0" w:line="229"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Stokes was elected as a member of the Board effective June 17, 2021, and in connection with such election and in accordance with the Director Compensation Program, was granted an option to purchase 15, 000 shares of our common stock.</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2021.</w:t>
      </w:r>
    </w:p>
    <w:p>
      <w:pPr>
        <w:spacing w:after="0" w:line="25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of December 31, 2021, we had two equity compensation plans in place under which shares of our common stock were authorized for issuance detailed as follows: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860" w:type="dxa"/>
            <w:vAlign w:val="bottom"/>
            <w:vMerge w:val="restart"/>
          </w:tcPr>
          <w:p>
            <w:pPr>
              <w:jc w:val="center"/>
              <w:ind w:left="1288"/>
              <w:spacing w:after="0"/>
              <w:rPr>
                <w:sz w:val="20"/>
                <w:szCs w:val="20"/>
                <w:color w:val="auto"/>
              </w:rPr>
            </w:pPr>
            <w:r>
              <w:rPr>
                <w:rFonts w:ascii="Arial" w:cs="Arial" w:eastAsia="Arial" w:hAnsi="Arial"/>
                <w:sz w:val="14"/>
                <w:szCs w:val="14"/>
                <w:b w:val="1"/>
                <w:bCs w:val="1"/>
                <w:color w:val="auto"/>
              </w:rPr>
              <w:t>Number of securities to be</w:t>
            </w:r>
          </w:p>
        </w:tc>
        <w:tc>
          <w:tcPr>
            <w:tcW w:w="2400" w:type="dxa"/>
            <w:vAlign w:val="bottom"/>
          </w:tcPr>
          <w:p>
            <w:pPr>
              <w:spacing w:after="0"/>
              <w:rPr>
                <w:sz w:val="14"/>
                <w:szCs w:val="14"/>
                <w:color w:val="auto"/>
              </w:rPr>
            </w:pPr>
          </w:p>
        </w:tc>
        <w:tc>
          <w:tcPr>
            <w:tcW w:w="2360" w:type="dxa"/>
            <w:vAlign w:val="bottom"/>
          </w:tcPr>
          <w:p>
            <w:pPr>
              <w:jc w:val="center"/>
              <w:ind w:left="128"/>
              <w:spacing w:after="0"/>
              <w:rPr>
                <w:sz w:val="20"/>
                <w:szCs w:val="20"/>
                <w:color w:val="auto"/>
              </w:rPr>
            </w:pPr>
            <w:r>
              <w:rPr>
                <w:rFonts w:ascii="Arial" w:cs="Arial" w:eastAsia="Arial" w:hAnsi="Arial"/>
                <w:sz w:val="14"/>
                <w:szCs w:val="14"/>
                <w:b w:val="1"/>
                <w:bCs w:val="1"/>
                <w:color w:val="auto"/>
              </w:rPr>
              <w:t>Number of securities remaining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3860" w:type="dxa"/>
            <w:vAlign w:val="bottom"/>
            <w:vMerge w:val="continue"/>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Weighted-average exercise</w:t>
            </w:r>
          </w:p>
        </w:tc>
        <w:tc>
          <w:tcPr>
            <w:tcW w:w="236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rPr>
              <w:t>available for future issuance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3860" w:type="dxa"/>
            <w:vAlign w:val="bottom"/>
          </w:tcPr>
          <w:p>
            <w:pPr>
              <w:jc w:val="center"/>
              <w:ind w:left="1288"/>
              <w:spacing w:after="0" w:line="135" w:lineRule="exact"/>
              <w:rPr>
                <w:sz w:val="20"/>
                <w:szCs w:val="20"/>
                <w:color w:val="auto"/>
              </w:rPr>
            </w:pPr>
            <w:r>
              <w:rPr>
                <w:rFonts w:ascii="Arial" w:cs="Arial" w:eastAsia="Arial" w:hAnsi="Arial"/>
                <w:sz w:val="14"/>
                <w:szCs w:val="14"/>
                <w:b w:val="1"/>
                <w:bCs w:val="1"/>
                <w:color w:val="auto"/>
              </w:rPr>
              <w:t>issued upon the exercise of</w:t>
            </w:r>
          </w:p>
        </w:tc>
        <w:tc>
          <w:tcPr>
            <w:tcW w:w="2400" w:type="dxa"/>
            <w:vAlign w:val="bottom"/>
            <w:vMerge w:val="continue"/>
          </w:tcPr>
          <w:p>
            <w:pPr>
              <w:spacing w:after="0"/>
              <w:rPr>
                <w:sz w:val="11"/>
                <w:szCs w:val="11"/>
                <w:color w:val="auto"/>
              </w:rPr>
            </w:pPr>
          </w:p>
        </w:tc>
        <w:tc>
          <w:tcPr>
            <w:tcW w:w="2360" w:type="dxa"/>
            <w:vAlign w:val="bottom"/>
          </w:tcPr>
          <w:p>
            <w:pPr>
              <w:jc w:val="center"/>
              <w:ind w:left="128"/>
              <w:spacing w:after="0" w:line="135" w:lineRule="exact"/>
              <w:rPr>
                <w:sz w:val="20"/>
                <w:szCs w:val="20"/>
                <w:color w:val="auto"/>
              </w:rPr>
            </w:pPr>
            <w:r>
              <w:rPr>
                <w:rFonts w:ascii="Arial" w:cs="Arial" w:eastAsia="Arial" w:hAnsi="Arial"/>
                <w:sz w:val="14"/>
                <w:szCs w:val="14"/>
                <w:b w:val="1"/>
                <w:bCs w:val="1"/>
                <w:color w:val="auto"/>
              </w:rPr>
              <w:t>under equity compensation</w:t>
            </w:r>
          </w:p>
        </w:tc>
        <w:tc>
          <w:tcPr>
            <w:tcW w:w="0" w:type="dxa"/>
            <w:vAlign w:val="bottom"/>
          </w:tcPr>
          <w:p>
            <w:pPr>
              <w:spacing w:after="0"/>
              <w:rPr>
                <w:sz w:val="1"/>
                <w:szCs w:val="1"/>
                <w:color w:val="auto"/>
              </w:rPr>
            </w:pPr>
          </w:p>
        </w:tc>
      </w:tr>
      <w:tr>
        <w:trPr>
          <w:trHeight w:val="135"/>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860" w:type="dxa"/>
            <w:vAlign w:val="bottom"/>
          </w:tcPr>
          <w:p>
            <w:pPr>
              <w:jc w:val="center"/>
              <w:ind w:left="1288"/>
              <w:spacing w:after="0" w:line="135" w:lineRule="exact"/>
              <w:rPr>
                <w:sz w:val="20"/>
                <w:szCs w:val="20"/>
                <w:color w:val="auto"/>
              </w:rPr>
            </w:pPr>
            <w:r>
              <w:rPr>
                <w:rFonts w:ascii="Arial" w:cs="Arial" w:eastAsia="Arial" w:hAnsi="Arial"/>
                <w:sz w:val="14"/>
                <w:szCs w:val="14"/>
                <w:b w:val="1"/>
                <w:bCs w:val="1"/>
                <w:color w:val="auto"/>
              </w:rPr>
              <w:t>outstanding options, warrants</w:t>
            </w:r>
          </w:p>
        </w:tc>
        <w:tc>
          <w:tcPr>
            <w:tcW w:w="2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price of outstanding options,</w:t>
            </w:r>
          </w:p>
        </w:tc>
        <w:tc>
          <w:tcPr>
            <w:tcW w:w="2360" w:type="dxa"/>
            <w:vAlign w:val="bottom"/>
          </w:tcPr>
          <w:p>
            <w:pPr>
              <w:jc w:val="center"/>
              <w:ind w:left="128"/>
              <w:spacing w:after="0" w:line="135" w:lineRule="exact"/>
              <w:rPr>
                <w:sz w:val="20"/>
                <w:szCs w:val="20"/>
                <w:color w:val="auto"/>
              </w:rPr>
            </w:pPr>
            <w:r>
              <w:rPr>
                <w:rFonts w:ascii="Arial" w:cs="Arial" w:eastAsia="Arial" w:hAnsi="Arial"/>
                <w:sz w:val="14"/>
                <w:szCs w:val="14"/>
                <w:b w:val="1"/>
                <w:bCs w:val="1"/>
                <w:color w:val="auto"/>
              </w:rPr>
              <w:t>plans (excluding securities</w:t>
            </w:r>
          </w:p>
        </w:tc>
        <w:tc>
          <w:tcPr>
            <w:tcW w:w="0" w:type="dxa"/>
            <w:vAlign w:val="bottom"/>
          </w:tcPr>
          <w:p>
            <w:pPr>
              <w:spacing w:after="0"/>
              <w:rPr>
                <w:sz w:val="1"/>
                <w:szCs w:val="1"/>
                <w:color w:val="auto"/>
              </w:rPr>
            </w:pPr>
          </w:p>
        </w:tc>
      </w:tr>
      <w:tr>
        <w:trPr>
          <w:trHeight w:val="176"/>
        </w:trPr>
        <w:tc>
          <w:tcPr>
            <w:tcW w:w="2560" w:type="dxa"/>
            <w:vAlign w:val="bottom"/>
            <w:vMerge w:val="continue"/>
          </w:tcPr>
          <w:p>
            <w:pPr>
              <w:spacing w:after="0"/>
              <w:rPr>
                <w:sz w:val="15"/>
                <w:szCs w:val="15"/>
                <w:color w:val="auto"/>
              </w:rPr>
            </w:pPr>
          </w:p>
        </w:tc>
        <w:tc>
          <w:tcPr>
            <w:tcW w:w="3860" w:type="dxa"/>
            <w:vAlign w:val="bottom"/>
          </w:tcPr>
          <w:p>
            <w:pPr>
              <w:jc w:val="center"/>
              <w:ind w:left="1288"/>
              <w:spacing w:after="0"/>
              <w:rPr>
                <w:sz w:val="20"/>
                <w:szCs w:val="20"/>
                <w:color w:val="auto"/>
              </w:rPr>
            </w:pPr>
            <w:r>
              <w:rPr>
                <w:rFonts w:ascii="Arial" w:cs="Arial" w:eastAsia="Arial" w:hAnsi="Arial"/>
                <w:sz w:val="14"/>
                <w:szCs w:val="14"/>
                <w:b w:val="1"/>
                <w:bCs w:val="1"/>
                <w:color w:val="auto"/>
              </w:rPr>
              <w:t>and rights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360" w:type="dxa"/>
            <w:vAlign w:val="bottom"/>
          </w:tcPr>
          <w:p>
            <w:pPr>
              <w:jc w:val="center"/>
              <w:ind w:left="148"/>
              <w:spacing w:after="0"/>
              <w:rPr>
                <w:sz w:val="20"/>
                <w:szCs w:val="20"/>
                <w:color w:val="auto"/>
              </w:rPr>
            </w:pPr>
            <w:r>
              <w:rPr>
                <w:rFonts w:ascii="Arial" w:cs="Arial" w:eastAsia="Arial" w:hAnsi="Arial"/>
                <w:sz w:val="14"/>
                <w:szCs w:val="14"/>
                <w:b w:val="1"/>
                <w:bCs w:val="1"/>
                <w:color w:val="auto"/>
              </w:rPr>
              <w:t>reflected in column(a))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4345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compensation plans approved by security holders</w:t>
      </w:r>
    </w:p>
    <w:p>
      <w:pPr>
        <w:spacing w:after="0" w:line="28" w:lineRule="exact"/>
        <w:rPr>
          <w:sz w:val="20"/>
          <w:szCs w:val="20"/>
          <w:color w:val="auto"/>
        </w:rPr>
      </w:pPr>
    </w:p>
    <w:p>
      <w:pPr>
        <w:ind w:left="20" w:right="260"/>
        <w:spacing w:after="0" w:line="229" w:lineRule="auto"/>
        <w:rPr>
          <w:sz w:val="20"/>
          <w:szCs w:val="20"/>
          <w:color w:val="auto"/>
        </w:rPr>
      </w:pPr>
      <w:r>
        <w:rPr>
          <w:rFonts w:ascii="Arial" w:cs="Arial" w:eastAsia="Arial" w:hAnsi="Arial"/>
          <w:sz w:val="14"/>
          <w:szCs w:val="14"/>
          <w:color w:val="auto"/>
        </w:rPr>
        <w:t>Equity compensation plans not approved by security holders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143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Borders>
              <w:top w:val="single" w:sz="8" w:color="auto"/>
            </w:tcBorders>
          </w:tcPr>
          <w:p>
            <w:pPr>
              <w:ind w:left="1020"/>
              <w:spacing w:after="0"/>
              <w:rPr>
                <w:sz w:val="20"/>
                <w:szCs w:val="20"/>
                <w:color w:val="auto"/>
              </w:rPr>
            </w:pPr>
            <w:r>
              <w:rPr>
                <w:rFonts w:ascii="Arial" w:cs="Arial" w:eastAsia="Arial" w:hAnsi="Arial"/>
                <w:sz w:val="14"/>
                <w:szCs w:val="14"/>
                <w:color w:val="auto"/>
              </w:rPr>
              <w:t>(a)</w:t>
            </w:r>
          </w:p>
        </w:tc>
        <w:tc>
          <w:tcPr>
            <w:tcW w:w="240" w:type="dxa"/>
            <w:vAlign w:val="bottom"/>
          </w:tcPr>
          <w:p>
            <w:pPr>
              <w:spacing w:after="0"/>
              <w:rPr>
                <w:sz w:val="16"/>
                <w:szCs w:val="16"/>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(b)(1)</w:t>
            </w:r>
          </w:p>
        </w:tc>
        <w:tc>
          <w:tcPr>
            <w:tcW w:w="260" w:type="dxa"/>
            <w:vAlign w:val="bottom"/>
          </w:tcPr>
          <w:p>
            <w:pPr>
              <w:spacing w:after="0"/>
              <w:rPr>
                <w:sz w:val="16"/>
                <w:szCs w:val="16"/>
                <w:color w:val="auto"/>
              </w:rPr>
            </w:pPr>
          </w:p>
        </w:tc>
        <w:tc>
          <w:tcPr>
            <w:tcW w:w="2220" w:type="dxa"/>
            <w:vAlign w:val="bottom"/>
            <w:tcBorders>
              <w:top w:val="single" w:sz="8" w:color="auto"/>
            </w:tcBorders>
          </w:tcPr>
          <w:p>
            <w:pPr>
              <w:ind w:left="1020"/>
              <w:spacing w:after="0"/>
              <w:rPr>
                <w:sz w:val="20"/>
                <w:szCs w:val="20"/>
                <w:color w:val="auto"/>
              </w:rPr>
            </w:pPr>
            <w:r>
              <w:rPr>
                <w:rFonts w:ascii="Arial" w:cs="Arial" w:eastAsia="Arial" w:hAnsi="Arial"/>
                <w:sz w:val="14"/>
                <w:szCs w:val="14"/>
                <w:color w:val="auto"/>
              </w:rPr>
              <w:t>(c)</w:t>
            </w:r>
          </w:p>
        </w:tc>
      </w:tr>
      <w:tr>
        <w:trPr>
          <w:trHeight w:val="189"/>
        </w:trPr>
        <w:tc>
          <w:tcPr>
            <w:tcW w:w="2220" w:type="dxa"/>
            <w:vAlign w:val="bottom"/>
          </w:tcPr>
          <w:p>
            <w:pPr>
              <w:jc w:val="center"/>
              <w:spacing w:after="0"/>
              <w:rPr>
                <w:sz w:val="20"/>
                <w:szCs w:val="20"/>
                <w:color w:val="auto"/>
              </w:rPr>
            </w:pPr>
            <w:r>
              <w:rPr>
                <w:rFonts w:ascii="Arial" w:cs="Arial" w:eastAsia="Arial" w:hAnsi="Arial"/>
                <w:sz w:val="14"/>
                <w:szCs w:val="14"/>
                <w:color w:val="auto"/>
              </w:rPr>
              <w:t>2,429,655 (2)</w:t>
            </w:r>
          </w:p>
        </w:tc>
        <w:tc>
          <w:tcPr>
            <w:tcW w:w="24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$12.10</w:t>
            </w:r>
          </w:p>
        </w:tc>
        <w:tc>
          <w:tcPr>
            <w:tcW w:w="26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1,507,087 (3)</w:t>
            </w:r>
          </w:p>
        </w:tc>
      </w:tr>
      <w:tr>
        <w:trPr>
          <w:trHeight w:val="323"/>
        </w:trPr>
        <w:tc>
          <w:tcPr>
            <w:tcW w:w="24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24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w:t>
            </w:r>
          </w:p>
        </w:tc>
        <w:tc>
          <w:tcPr>
            <w:tcW w:w="22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83"/>
        </w:trPr>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2,429,655</w:t>
            </w:r>
          </w:p>
        </w:tc>
        <w:tc>
          <w:tcPr>
            <w:tcW w:w="240" w:type="dxa"/>
            <w:vAlign w:val="bottom"/>
          </w:tcPr>
          <w:p>
            <w:pPr>
              <w:spacing w:after="0"/>
              <w:rPr>
                <w:sz w:val="15"/>
                <w:szCs w:val="15"/>
                <w:color w:val="auto"/>
              </w:rPr>
            </w:pPr>
          </w:p>
        </w:tc>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$12.10</w:t>
            </w:r>
          </w:p>
        </w:tc>
        <w:tc>
          <w:tcPr>
            <w:tcW w:w="260" w:type="dxa"/>
            <w:vAlign w:val="bottom"/>
          </w:tcPr>
          <w:p>
            <w:pPr>
              <w:spacing w:after="0"/>
              <w:rPr>
                <w:sz w:val="15"/>
                <w:szCs w:val="15"/>
                <w:color w:val="auto"/>
              </w:rPr>
            </w:pPr>
          </w:p>
        </w:tc>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1,507,087</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-488315</wp:posOffset>
            </wp:positionV>
            <wp:extent cx="713232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-162560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460"/>
            <w:col w:w="7160"/>
          </w:cols>
          <w:pgMar w:left="320" w:top="1103" w:right="339" w:bottom="1440" w:gutter="0" w:footer="0" w:header="0"/>
          <w:type w:val="continuous"/>
        </w:sectPr>
      </w:pPr>
    </w:p>
    <w:p>
      <w:pPr>
        <w:spacing w:after="0" w:line="88" w:lineRule="exact"/>
        <w:rPr>
          <w:sz w:val="20"/>
          <w:szCs w:val="20"/>
          <w:color w:val="auto"/>
        </w:rPr>
      </w:pPr>
    </w:p>
    <w:p>
      <w:pPr>
        <w:ind w:left="800" w:hanging="774"/>
        <w:spacing w:after="0"/>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weighted-average exercise price is calculated based solely on outstanding options.</w:t>
      </w:r>
    </w:p>
    <w:p>
      <w:pPr>
        <w:spacing w:after="0" w:line="176" w:lineRule="exact"/>
        <w:rPr>
          <w:rFonts w:ascii="Arial" w:cs="Arial" w:eastAsia="Arial" w:hAnsi="Arial"/>
          <w:sz w:val="14"/>
          <w:szCs w:val="14"/>
          <w:color w:val="auto"/>
        </w:rPr>
      </w:pPr>
    </w:p>
    <w:p>
      <w:pPr>
        <w:ind w:left="800" w:right="360" w:hanging="774"/>
        <w:spacing w:after="0" w:line="215" w:lineRule="auto"/>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1,949,855 shares of common stock that were subject to awards as of December 31, 2021 under the 2019 Plan, 479,122 shares of common stock that were subject to awards as of December 31, 2021 under the 2013 Plan and 678 shares of common stock that were subject to awards as of December 31, 2021 under the 2002 Plan. Of these shares, 2,014,330 were subject to options outstanding under the 2019 Plan, and 415,325 were subject to restricted stock units outstanding under the 2019 Plan.</w:t>
      </w:r>
    </w:p>
    <w:p>
      <w:pPr>
        <w:spacing w:after="0" w:line="165" w:lineRule="exact"/>
        <w:rPr>
          <w:rFonts w:ascii="Arial" w:cs="Arial" w:eastAsia="Arial" w:hAnsi="Arial"/>
          <w:sz w:val="14"/>
          <w:szCs w:val="14"/>
          <w:color w:val="auto"/>
        </w:rPr>
      </w:pPr>
    </w:p>
    <w:p>
      <w:pPr>
        <w:ind w:left="800" w:right="40" w:hanging="774"/>
        <w:spacing w:after="0" w:line="208" w:lineRule="auto"/>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1,179,571 shares of common stock available for issuance under the 2019 Plan and 327,516 shares of common stock available for issuance under our Employee Stock Purchase Plan. This amount does not include any additional shares that may become available for future issuance under the 2019 Plan pursuant to the automatic increase to the share reserve on January 1 of each of our calendar years beginning 2021 and continuing through 2029 by the number of shares equal to 4% of the total outstanding shares of our common stock and common stock equivalents as of the immediately preceding December 31. Additionally, this amount does not include any additional shares that may become available for future issuance under our Employee Stock Purchase Plan pursuant to the automatic increase to the share reserve on January 1 of each of our calendar years beginning 2021 and continuing through 2029 by the number of shares equal to 1% of the total outstanding shares of our common stock and common stock equivalents as of the immediately preceding December 31. There are no shares of common stock remaining available for issuance under our 2002 Plan or our 2013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0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accompanying footnotes set forth certain information with respect to the beneficial ownership of our common stock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18, 2022 for:</w:t>
      </w:r>
    </w:p>
    <w:p>
      <w:pPr>
        <w:spacing w:after="0" w:line="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outstanding common stock.</w:t>
      </w:r>
    </w:p>
    <w:p>
      <w:pPr>
        <w:spacing w:after="0" w:line="25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Applicable percentage ownership is based on 16,255,488 shares of common stock outstanding as of April 18, 2022. In computing the number of shares of common stock beneficially owned by a person and the percentage ownership of that person, we deemed to be outstanding all shares of common stock subject to options, warrants or other rights held by that person or entity that are currently exercisable within 60 days of April 18, 2022. We did not deem these shares outstanding, however, for the purpose of computing the percentage ownership of any other person. Unless otherwise indicated, the address of each beneficial owner listed in the table below is c/o Exagen Inc., 1261 Liberty Way, Vista, California 92081.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4500" w:type="dxa"/>
            <w:vAlign w:val="bottom"/>
            <w:tcBorders>
              <w:bottom w:val="single" w:sz="8" w:color="auto"/>
            </w:tcBorders>
            <w:gridSpan w:val="2"/>
          </w:tcPr>
          <w:p>
            <w:pPr>
              <w:jc w:val="right"/>
              <w:ind w:right="1448"/>
              <w:spacing w:after="0"/>
              <w:rPr>
                <w:sz w:val="20"/>
                <w:szCs w:val="20"/>
                <w:color w:val="auto"/>
              </w:rPr>
            </w:pPr>
            <w:r>
              <w:rPr>
                <w:rFonts w:ascii="Arial" w:cs="Arial" w:eastAsia="Arial" w:hAnsi="Arial"/>
                <w:sz w:val="14"/>
                <w:szCs w:val="14"/>
                <w:b w:val="1"/>
                <w:bCs w:val="1"/>
                <w:color w:val="auto"/>
              </w:rPr>
              <w:t>Beneficial Ownership</w:t>
            </w:r>
          </w:p>
        </w:tc>
      </w:tr>
      <w:tr>
        <w:trPr>
          <w:trHeight w:val="18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252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b w:val="1"/>
                <w:bCs w:val="1"/>
                <w:color w:val="auto"/>
              </w:rPr>
              <w:t>Number</w:t>
            </w:r>
          </w:p>
        </w:tc>
        <w:tc>
          <w:tcPr>
            <w:tcW w:w="19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5% or Greater Stockholders</w:t>
            </w:r>
          </w:p>
        </w:tc>
        <w:tc>
          <w:tcPr>
            <w:tcW w:w="25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NMSIC Co-Investment Fund, L.P. (1)</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2,308,958</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Entities affiliated with Tullis-Dickerson Capital Focus III, L.P. (2)</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1,805,653</w:t>
            </w:r>
          </w:p>
        </w:tc>
        <w:tc>
          <w:tcPr>
            <w:tcW w:w="1980" w:type="dxa"/>
            <w:vAlign w:val="bottom"/>
          </w:tcPr>
          <w:p>
            <w:pPr>
              <w:jc w:val="right"/>
              <w:spacing w:after="0"/>
              <w:rPr>
                <w:sz w:val="20"/>
                <w:szCs w:val="20"/>
                <w:color w:val="auto"/>
              </w:rPr>
            </w:pPr>
            <w:r>
              <w:rPr>
                <w:rFonts w:ascii="Arial" w:cs="Arial" w:eastAsia="Arial" w:hAnsi="Arial"/>
                <w:sz w:val="14"/>
                <w:szCs w:val="14"/>
                <w:color w:val="auto"/>
              </w:rPr>
              <w:t>10.9 %</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H.I.G. Bio-Exagen, L.P. (3)</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1,696,252</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Cowen Financial Products LLC (4)</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1,384,631</w:t>
            </w:r>
          </w:p>
        </w:tc>
        <w:tc>
          <w:tcPr>
            <w:tcW w:w="1980" w:type="dxa"/>
            <w:vAlign w:val="bottom"/>
          </w:tcPr>
          <w:p>
            <w:pPr>
              <w:jc w:val="right"/>
              <w:spacing w:after="0"/>
              <w:rPr>
                <w:sz w:val="20"/>
                <w:szCs w:val="20"/>
                <w:color w:val="auto"/>
              </w:rPr>
            </w:pPr>
            <w:r>
              <w:rPr>
                <w:rFonts w:ascii="Arial" w:cs="Arial" w:eastAsia="Arial" w:hAnsi="Arial"/>
                <w:sz w:val="14"/>
                <w:szCs w:val="14"/>
                <w:color w:val="auto"/>
              </w:rPr>
              <w:t>8.5 %</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Wasatch Advisors, Inc. (5)</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1,105,760</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Bank of Montreal (6)</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1,015,612</w:t>
            </w:r>
          </w:p>
        </w:tc>
        <w:tc>
          <w:tcPr>
            <w:tcW w:w="1980" w:type="dxa"/>
            <w:vAlign w:val="bottom"/>
          </w:tcPr>
          <w:p>
            <w:pPr>
              <w:jc w:val="right"/>
              <w:spacing w:after="0"/>
              <w:rPr>
                <w:sz w:val="20"/>
                <w:szCs w:val="20"/>
                <w:color w:val="auto"/>
              </w:rPr>
            </w:pPr>
            <w:r>
              <w:rPr>
                <w:rFonts w:ascii="Arial" w:cs="Arial" w:eastAsia="Arial" w:hAnsi="Arial"/>
                <w:sz w:val="14"/>
                <w:szCs w:val="14"/>
                <w:color w:val="auto"/>
              </w:rPr>
              <w:t>6.2 %</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Hunt Holdings Limited Partnership (7)</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1,011,324</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Stonepine Capital Management, LLC (8)</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858,567</w:t>
            </w:r>
          </w:p>
        </w:tc>
        <w:tc>
          <w:tcPr>
            <w:tcW w:w="1980" w:type="dxa"/>
            <w:vAlign w:val="bottom"/>
          </w:tcPr>
          <w:p>
            <w:pPr>
              <w:jc w:val="right"/>
              <w:spacing w:after="0"/>
              <w:rPr>
                <w:sz w:val="20"/>
                <w:szCs w:val="20"/>
                <w:color w:val="auto"/>
              </w:rPr>
            </w:pPr>
            <w:r>
              <w:rPr>
                <w:rFonts w:ascii="Arial" w:cs="Arial" w:eastAsia="Arial" w:hAnsi="Arial"/>
                <w:sz w:val="14"/>
                <w:szCs w:val="14"/>
                <w:color w:val="auto"/>
              </w:rPr>
              <w:t>5.3 %</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RTW Investments, L.P. (9)</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821,414</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25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Fortunato Ron Rocca (10)</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503,488</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Kamal Adawi (11)</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133,329</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Debra Zack, M.D., Ph.D. (12)</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64,206</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Brian Birk (1)(13)</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2,344,761</w:t>
            </w:r>
          </w:p>
        </w:tc>
        <w:tc>
          <w:tcPr>
            <w:tcW w:w="1980" w:type="dxa"/>
            <w:vAlign w:val="bottom"/>
          </w:tcPr>
          <w:p>
            <w:pPr>
              <w:jc w:val="right"/>
              <w:spacing w:after="0"/>
              <w:rPr>
                <w:sz w:val="20"/>
                <w:szCs w:val="20"/>
                <w:color w:val="auto"/>
              </w:rPr>
            </w:pPr>
            <w:r>
              <w:rPr>
                <w:rFonts w:ascii="Arial" w:cs="Arial" w:eastAsia="Arial" w:hAnsi="Arial"/>
                <w:sz w:val="14"/>
                <w:szCs w:val="14"/>
                <w:color w:val="auto"/>
              </w:rPr>
              <w:t>14.4 %</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Ana Hooker (14)</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4,166</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Wendy Johnson (15)</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18,333</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Tina S. Nova, Ph.D. (16)</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30,100</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Ebetuel Pallares, Ph.D. (17)</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31,054</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Bruce C. Robertson, Ph.D. (3)(18)</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1,714,252</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Frank Stokes (19)</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5,000</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James L.L. Tullis (2)(20)</w:t>
            </w:r>
          </w:p>
        </w:tc>
        <w:tc>
          <w:tcPr>
            <w:tcW w:w="2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1,862,838</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11.2 %</w:t>
            </w: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All current directors and executive officers as a group (12 persons)(21)</w:t>
            </w:r>
          </w:p>
        </w:tc>
        <w:tc>
          <w:tcPr>
            <w:tcW w:w="2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6,803,322</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38.9 %</w:t>
            </w:r>
          </w:p>
        </w:tc>
      </w:tr>
      <w:tr>
        <w:trPr>
          <w:trHeight w:val="20"/>
        </w:trPr>
        <w:tc>
          <w:tcPr>
            <w:tcW w:w="67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29" w:right="339" w:bottom="1440" w:gutter="0" w:footer="0" w:header="0"/>
        </w:sectPr>
      </w:pPr>
    </w:p>
    <w:bookmarkStart w:id="35" w:name="page36"/>
    <w:bookmarkEnd w:id="35"/>
    <w:p>
      <w:pPr>
        <w:ind w:left="1040" w:hanging="1034"/>
        <w:spacing w:after="0"/>
        <w:tabs>
          <w:tab w:leader="none" w:pos="1040" w:val="left"/>
        </w:tabs>
        <w:numPr>
          <w:ilvl w:val="0"/>
          <w:numId w:val="3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12255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25550" cy="8255"/>
                    </a:xfrm>
                    <a:prstGeom prst="rect">
                      <a:avLst/>
                    </a:prstGeom>
                    <a:noFill/>
                  </pic:spPr>
                </pic:pic>
              </a:graphicData>
            </a:graphic>
          </wp:anchor>
        </w:drawing>
        <w:t>Less than 1%.</w:t>
      </w:r>
    </w:p>
    <w:p>
      <w:pPr>
        <w:spacing w:after="0" w:line="177" w:lineRule="exact"/>
        <w:rPr>
          <w:sz w:val="20"/>
          <w:szCs w:val="20"/>
          <w:color w:val="auto"/>
        </w:rPr>
      </w:pPr>
    </w:p>
    <w:p>
      <w:pPr>
        <w:ind w:left="1040" w:right="40" w:hanging="1034"/>
        <w:spacing w:after="0" w:line="210"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2,308,958 shares of common stock held by NMSIC Co-Investment Fund, L.P. ("NMSIC"). The general partner of NMSIC is Sun Mountain Capital Partners LLC ("Sun Mountain"). The controlling members of Sun Mountain are Brian Birk, one of our directors, Sally Coming and Lee Rand. As a result, each of Sun Mountain, Mr. Birk, Ms. Coming and Mr. Rand may be deemed to possess voting and investment control over, and may be deemed to have indirect beneficial ownership with respect to, all shares held by NMSIC. Neither Sun Mountain, Mr. Birk, Ms. Coming nor Mr. Rand owns directly any of the shares held of record by NMSIC. Each of Sun Mountain, Mr. Birk, Ms. Coming and Mr. Rand disclaims beneficial ownership of the shares held by NMSIC, except to the extent of their pecuniary interest therein. The address for each of the NMSIC entities is 527 Don Gaspar Avenue, Santa Fe, New Mexico 87505.</w:t>
      </w:r>
    </w:p>
    <w:p>
      <w:pPr>
        <w:spacing w:after="0" w:line="167" w:lineRule="exact"/>
        <w:rPr>
          <w:rFonts w:ascii="Arial" w:cs="Arial" w:eastAsia="Arial" w:hAnsi="Arial"/>
          <w:sz w:val="14"/>
          <w:szCs w:val="14"/>
          <w:color w:val="auto"/>
        </w:rPr>
      </w:pPr>
    </w:p>
    <w:p>
      <w:pPr>
        <w:ind w:left="1040" w:right="60" w:hanging="1034"/>
        <w:spacing w:after="0" w:line="229"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(a) 992,821 shares of common stock and 119,536 shares of common stock issuable upon the exercise of warrants held by Tullis-Dickerson Capital Focus III, L.P., or Tullis, (b) 417,398 shares of common stock and 170,445 shares of common stock issuable upon the exercise of warrants held by Tullis Growth Fund, L.P, and (c) 105,453 shares of common stock held by Tullis Growth Fund II, L.P. Tullis-Dickerson Partners III, LLC (“Tullis Partners”) is the general partner of Tullis and may be deemed to beneficially own the securities held by Tullis. Tullis Growth Partners, LLC (“Growth Partners”) and Tullis Growth Partners II, LLC (“Growth Partners II”) are the general partners of Tullis Growth Fund, L.P. and Tullis Growth Fund II, L.P., respectively, and may be deemed to beneficially own the securities held by Tullis Growth and Tullis Growth II. James L.L. Tullis, one of our directors, is a Principal of each of the foregoing entities and may be deemed to possess voting and investment control over, and may be deemed to have an indirect beneficial ownership interest with respect to, the shares held by Tullis, Tullis Growth and Tullis Growth II. The address for each of the Tullis entities is 11770 U.S. Highway 1, Suite 503, Palm Beach Gardens, FL 33408. This information is based on Amendment No. 2 to Schedule 13G, filed with the SEC on February 14, 2022, and such additional information as is known to us.</w:t>
      </w:r>
    </w:p>
    <w:p>
      <w:pPr>
        <w:spacing w:after="0" w:line="169" w:lineRule="exact"/>
        <w:rPr>
          <w:rFonts w:ascii="Arial" w:cs="Arial" w:eastAsia="Arial" w:hAnsi="Arial"/>
          <w:sz w:val="14"/>
          <w:szCs w:val="14"/>
          <w:color w:val="auto"/>
        </w:rPr>
      </w:pPr>
    </w:p>
    <w:p>
      <w:pPr>
        <w:ind w:left="1040" w:right="20" w:hanging="1034"/>
        <w:spacing w:after="0" w:line="215"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1,696,252 shares of common stock held by H.I.G. Bio-Exagen, L.P., H.I.G. Capital, LLC has sole voting and investment control over the shares owned by H.I.G. Bio-Exagen, LLC. Bruce C. Robertson, Ph.D. is a managing director of H.I.G. Capital, LLC and may be deemed to share voting and investment control over, and may be deemed to have an indirect beneficial ownership interest with respect to, all shares held by H.I.G. Bio-Exagen, L.P. The address of H.I.G. Bio-Exagen, LLC is 1450 Brickell Avenue, 31st Floor, Miami, FL 33131.</w:t>
      </w:r>
    </w:p>
    <w:p>
      <w:pPr>
        <w:spacing w:after="0" w:line="165" w:lineRule="exact"/>
        <w:rPr>
          <w:rFonts w:ascii="Arial" w:cs="Arial" w:eastAsia="Arial" w:hAnsi="Arial"/>
          <w:sz w:val="14"/>
          <w:szCs w:val="14"/>
          <w:color w:val="auto"/>
        </w:rPr>
      </w:pPr>
    </w:p>
    <w:p>
      <w:pPr>
        <w:ind w:left="1040" w:right="480" w:hanging="1034"/>
        <w:spacing w:after="0" w:line="229"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1,384,631 shares of common stock held by Cowen Financial Products LLC, as indicated in the entity's Schedule 13G/A filed with the SEC on January 20, 2022. The address of Cowen Financial Products LLC is 599 Lexington Ave, New York, NY 10022.</w:t>
      </w:r>
    </w:p>
    <w:p>
      <w:pPr>
        <w:spacing w:after="0" w:line="165" w:lineRule="exact"/>
        <w:rPr>
          <w:rFonts w:ascii="Arial" w:cs="Arial" w:eastAsia="Arial" w:hAnsi="Arial"/>
          <w:sz w:val="14"/>
          <w:szCs w:val="14"/>
          <w:color w:val="auto"/>
        </w:rPr>
      </w:pPr>
    </w:p>
    <w:p>
      <w:pPr>
        <w:ind w:left="1040" w:right="140" w:hanging="1034"/>
        <w:spacing w:after="0" w:line="229"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1,105,760 shares of common stock held by Wasatch Advisors, Inc., as indicated in the entity's Schedule 13G/A filed with the SEC on February 11, 2022. The address of Wasatch Advisors, Inc. is 505 Wakara Way, Salt Lake City, UT 84108.</w:t>
      </w:r>
    </w:p>
    <w:p>
      <w:pPr>
        <w:spacing w:after="0" w:line="165" w:lineRule="exact"/>
        <w:rPr>
          <w:rFonts w:ascii="Arial" w:cs="Arial" w:eastAsia="Arial" w:hAnsi="Arial"/>
          <w:sz w:val="14"/>
          <w:szCs w:val="14"/>
          <w:color w:val="auto"/>
        </w:rPr>
      </w:pPr>
    </w:p>
    <w:p>
      <w:pPr>
        <w:ind w:left="1040" w:right="240" w:hanging="1034"/>
        <w:spacing w:after="0" w:line="229"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1,015,612 shares of common stock held by Bank of Montreal, as indicated in the entity's Schedule 13G filed with the SEC on February 15, 2022. The address of Bank of Montreal is 100 King Street West, 21st Floor, Toronto, M5X 1A1, Ontario Canada.</w:t>
      </w:r>
    </w:p>
    <w:p>
      <w:pPr>
        <w:spacing w:after="0" w:line="165" w:lineRule="exact"/>
        <w:rPr>
          <w:rFonts w:ascii="Arial" w:cs="Arial" w:eastAsia="Arial" w:hAnsi="Arial"/>
          <w:sz w:val="14"/>
          <w:szCs w:val="14"/>
          <w:color w:val="auto"/>
        </w:rPr>
      </w:pPr>
    </w:p>
    <w:p>
      <w:pPr>
        <w:ind w:left="1040" w:right="40" w:hanging="1034"/>
        <w:spacing w:after="0" w:line="212"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1,011,324 shares of common stock held by Hunt Holdings Limited Partnership, as indicated in the entity’s Schedule 13G/A filed with the SEC on February 8, 2022. Woody L. Hunt is the majority shareholder of Hunt Guaranty Inc., which is the sole member of HuntVest, LLC, which is the general partner of Hunt Holdings Limited Partnership. As a result, Mr. Hunt and each of the foregoing entities may be deemed to indirectly beneficially own the securities held by Hunt Holdings Limited Partnership, but each disclaims beneficial ownership of such securities. The address of each of the foregoing entities is 601 N. Mesa St., Suite 1900, El Paso, Texas 79901.</w:t>
      </w:r>
    </w:p>
    <w:p>
      <w:pPr>
        <w:spacing w:after="0" w:line="166" w:lineRule="exact"/>
        <w:rPr>
          <w:rFonts w:ascii="Arial" w:cs="Arial" w:eastAsia="Arial" w:hAnsi="Arial"/>
          <w:sz w:val="14"/>
          <w:szCs w:val="14"/>
          <w:color w:val="auto"/>
        </w:rPr>
      </w:pPr>
    </w:p>
    <w:p>
      <w:pPr>
        <w:ind w:left="1040" w:right="200" w:hanging="1034"/>
        <w:spacing w:after="0" w:line="229"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858,567 shares of common stock held by Stonepine Capital Management, LLC, as indicated in the entity's Schedule 13G/A filed with the SEC on February 14, 2022. The address of Stonepine Capital Management, LLC is 919 NW Bond Street, Suite 204, Bend, OR 97703-2767.</w:t>
      </w:r>
    </w:p>
    <w:p>
      <w:pPr>
        <w:spacing w:after="0" w:line="165" w:lineRule="exact"/>
        <w:rPr>
          <w:rFonts w:ascii="Arial" w:cs="Arial" w:eastAsia="Arial" w:hAnsi="Arial"/>
          <w:sz w:val="14"/>
          <w:szCs w:val="14"/>
          <w:color w:val="auto"/>
        </w:rPr>
      </w:pPr>
    </w:p>
    <w:p>
      <w:pPr>
        <w:ind w:left="1040" w:hanging="1034"/>
        <w:spacing w:after="0" w:line="212"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821,414 shares of common stock held by RTW Funds, managed by RTW Investments, LP (the "Adviser"), as indicated in the entity’s Schedule 13G/A filed with the SEC on February 14, 2022. The Adviser, in its capacity as the investment manager of RTW Funds, has the power to vote and the power to direct the disposition of all shares held by RTW Funds. Accordingly, for the purposes of Reg. Section 240.13d-3, the Adviser may be deemed to beneficially own an aggregate of 821,414 shares. Roderick Wong is the Managing Partner of the Adviser. The address of RTW Investments, LP and Roderick Wong is 40 10th Avenue, 7th Floor, New York, NY 10014.</w:t>
      </w:r>
    </w:p>
    <w:p>
      <w:pPr>
        <w:spacing w:after="0" w:line="166" w:lineRule="exact"/>
        <w:rPr>
          <w:rFonts w:ascii="Arial" w:cs="Arial" w:eastAsia="Arial" w:hAnsi="Arial"/>
          <w:sz w:val="14"/>
          <w:szCs w:val="14"/>
          <w:color w:val="auto"/>
        </w:rPr>
      </w:pPr>
    </w:p>
    <w:p>
      <w:pPr>
        <w:ind w:left="1040" w:right="140" w:hanging="1034"/>
        <w:spacing w:after="0" w:line="229"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8,178 shares of common stock held and 495,310 shares underlying options to purchase common stock that are exercisable within 60 days of April 18, 2022.</w:t>
      </w:r>
    </w:p>
    <w:p>
      <w:pPr>
        <w:spacing w:after="0" w:line="165" w:lineRule="exact"/>
        <w:rPr>
          <w:rFonts w:ascii="Arial" w:cs="Arial" w:eastAsia="Arial" w:hAnsi="Arial"/>
          <w:sz w:val="14"/>
          <w:szCs w:val="14"/>
          <w:color w:val="auto"/>
        </w:rPr>
      </w:pPr>
    </w:p>
    <w:p>
      <w:pPr>
        <w:ind w:left="1040" w:right="140" w:hanging="1034"/>
        <w:spacing w:after="0" w:line="229"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6,134 shares of common stock held and 127,195 shares underlying options to purchase common stock that are exercisable within 60 days of April 18, 2022.</w:t>
      </w:r>
    </w:p>
    <w:p>
      <w:pPr>
        <w:spacing w:after="0" w:line="165" w:lineRule="exact"/>
        <w:rPr>
          <w:rFonts w:ascii="Arial" w:cs="Arial" w:eastAsia="Arial" w:hAnsi="Arial"/>
          <w:sz w:val="14"/>
          <w:szCs w:val="14"/>
          <w:color w:val="auto"/>
        </w:rPr>
      </w:pPr>
    </w:p>
    <w:p>
      <w:pPr>
        <w:ind w:left="1040" w:right="220" w:hanging="1034"/>
        <w:spacing w:after="0" w:line="229"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6,134 shares of common stock held and 58,072 shares underlying options to purchase common stock that are exercisable within 60 days of April 18, 2022.</w:t>
      </w:r>
    </w:p>
    <w:p>
      <w:pPr>
        <w:spacing w:after="0" w:line="165" w:lineRule="exact"/>
        <w:rPr>
          <w:rFonts w:ascii="Arial" w:cs="Arial" w:eastAsia="Arial" w:hAnsi="Arial"/>
          <w:sz w:val="14"/>
          <w:szCs w:val="14"/>
          <w:color w:val="auto"/>
        </w:rPr>
      </w:pPr>
    </w:p>
    <w:p>
      <w:pPr>
        <w:ind w:left="1040" w:hanging="1034"/>
        <w:spacing w:after="0"/>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35,803 shares underlying options to purchase common stock that are exercisable within 60 days of April 18,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40" w:top="1103" w:right="359" w:bottom="1440" w:gutter="0" w:footer="0" w:header="0"/>
        </w:sectPr>
      </w:pPr>
    </w:p>
    <w:bookmarkStart w:id="36" w:name="page37"/>
    <w:bookmarkEnd w:id="36"/>
    <w:p>
      <w:pPr>
        <w:ind w:left="1034" w:hanging="1034"/>
        <w:spacing w:after="0"/>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4,166 shares underlying options to purchase common stock that are exercisable within 60 days of April 18, 2022.</w:t>
      </w:r>
    </w:p>
    <w:p>
      <w:pPr>
        <w:spacing w:after="0" w:line="176" w:lineRule="exact"/>
        <w:rPr>
          <w:rFonts w:ascii="Arial" w:cs="Arial" w:eastAsia="Arial" w:hAnsi="Arial"/>
          <w:sz w:val="14"/>
          <w:szCs w:val="14"/>
          <w:color w:val="auto"/>
        </w:rPr>
      </w:pPr>
    </w:p>
    <w:p>
      <w:pPr>
        <w:ind w:left="1034" w:right="140" w:hanging="1034"/>
        <w:spacing w:after="0" w:line="229"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1,000 shares of common stock held and 17,333 shares underlying options to purchase common stock that are exercisable within 60 days of April 18, 2022.</w:t>
      </w:r>
    </w:p>
    <w:p>
      <w:pPr>
        <w:spacing w:after="0" w:line="165" w:lineRule="exact"/>
        <w:rPr>
          <w:rFonts w:ascii="Arial" w:cs="Arial" w:eastAsia="Arial" w:hAnsi="Arial"/>
          <w:sz w:val="14"/>
          <w:szCs w:val="14"/>
          <w:color w:val="auto"/>
        </w:rPr>
      </w:pPr>
    </w:p>
    <w:p>
      <w:pPr>
        <w:ind w:left="1034" w:hanging="1034"/>
        <w:spacing w:after="0"/>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30,100 shares underlying options to purchase common stock that are exercisable within 60 days of April 18, 2022.</w:t>
      </w:r>
    </w:p>
    <w:p>
      <w:pPr>
        <w:spacing w:after="0" w:line="176" w:lineRule="exact"/>
        <w:rPr>
          <w:rFonts w:ascii="Arial" w:cs="Arial" w:eastAsia="Arial" w:hAnsi="Arial"/>
          <w:sz w:val="14"/>
          <w:szCs w:val="14"/>
          <w:color w:val="auto"/>
        </w:rPr>
      </w:pPr>
    </w:p>
    <w:p>
      <w:pPr>
        <w:ind w:left="1034" w:right="40" w:hanging="1034"/>
        <w:spacing w:after="0" w:line="215"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1,185 shares of common stock held by Proficio Capital Management, LLC (“Proficio”). Dr. Pallares, one of our directors, is the founder and sole member of Proficio. As a result, each of Proficio and Dr. Pallares may be deemed to possess voting and investment control over, and may be deemed to have an indirect beneficial ownership interest with respect to, all shares held by Proficio. Also includes 29,869 shares underlying options to purchase common stock held by Dr. Pallares that are exercisable within 60 days of April 18, 2022.</w:t>
      </w:r>
    </w:p>
    <w:p>
      <w:pPr>
        <w:spacing w:after="0" w:line="165" w:lineRule="exact"/>
        <w:rPr>
          <w:rFonts w:ascii="Arial" w:cs="Arial" w:eastAsia="Arial" w:hAnsi="Arial"/>
          <w:sz w:val="14"/>
          <w:szCs w:val="14"/>
          <w:color w:val="auto"/>
        </w:rPr>
      </w:pPr>
    </w:p>
    <w:p>
      <w:pPr>
        <w:ind w:left="1034" w:hanging="1034"/>
        <w:spacing w:after="0"/>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18,000 shares underlying options to purchase common stock that are exercisable within 60 days of April 18, 2022.</w:t>
      </w:r>
    </w:p>
    <w:p>
      <w:pPr>
        <w:spacing w:after="0" w:line="176" w:lineRule="exact"/>
        <w:rPr>
          <w:rFonts w:ascii="Arial" w:cs="Arial" w:eastAsia="Arial" w:hAnsi="Arial"/>
          <w:sz w:val="14"/>
          <w:szCs w:val="14"/>
          <w:color w:val="auto"/>
        </w:rPr>
      </w:pPr>
    </w:p>
    <w:p>
      <w:pPr>
        <w:ind w:left="1034" w:hanging="1034"/>
        <w:spacing w:after="0"/>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5,000 shares underlying options to purchase common stock that are exercisable within 60 days of April 18, 2022.</w:t>
      </w:r>
    </w:p>
    <w:p>
      <w:pPr>
        <w:spacing w:after="0" w:line="176" w:lineRule="exact"/>
        <w:rPr>
          <w:rFonts w:ascii="Arial" w:cs="Arial" w:eastAsia="Arial" w:hAnsi="Arial"/>
          <w:sz w:val="14"/>
          <w:szCs w:val="14"/>
          <w:color w:val="auto"/>
        </w:rPr>
      </w:pPr>
    </w:p>
    <w:p>
      <w:pPr>
        <w:ind w:left="1034" w:right="40" w:hanging="1034"/>
        <w:spacing w:after="0" w:line="219"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(a) 21,348 shares of common stock held by James L.L. Tullis, (b) 1,431 shares of common stock held by Linda A. Tullis, (c) 4,537 shares of common stock held by the HPS Irrevocable Trust #3 U/A Dtd 7/6/93, and (d) 29,869 shares underlying options to purchase common stock that are exercisable within 60 days of April 18, 2022.</w:t>
      </w:r>
    </w:p>
    <w:p>
      <w:pPr>
        <w:spacing w:after="0" w:line="166" w:lineRule="exact"/>
        <w:rPr>
          <w:rFonts w:ascii="Arial" w:cs="Arial" w:eastAsia="Arial" w:hAnsi="Arial"/>
          <w:sz w:val="14"/>
          <w:szCs w:val="14"/>
          <w:color w:val="auto"/>
        </w:rPr>
      </w:pPr>
    </w:p>
    <w:p>
      <w:pPr>
        <w:jc w:val="both"/>
        <w:ind w:left="1034" w:hanging="1034"/>
        <w:spacing w:after="0" w:line="219"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(i) the shares of common stock and shares of common stock issuable upon exercise of outstanding options which are exercisable within 60 days of April 18, 2022, as set forth in previous footnotes, and (ii) 8,068 shares of common stock held and 83,727 shares underlying options to purchase common stock that are exercisable within 60 days of April 18, 2022 held by Mr. Hazeltine, our Chief Operating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14"/>
          </w:cols>
          <w:pgMar w:left="346" w:top="954"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There are and have been no transactions entered into or existing since January 1, 2020 to which we have been a party in which the amount involved exceeded or will exceed $120,000 (or, if less, 1% of the average of our total assets amounts for the years ended December 31, 2021 and 2020),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entered into offer letters with each of our named executive officers. For more information regarding these agreements, see the section in this annual report entitled "Executive and Director Compensation— Narrative Disclosure to Summary Compensation Table— Offer Letters with our Named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Board adopted a written related person transaction policy, setting forth the policies and procedures for the review and approval or ratification of related-person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(or, if less, 1%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6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2023 Annual Meeting of Stockholders pursuant to Rule 14a-8 under the Exchange Act must submit the proposal to our Corporate Secretary at our offices at 1261 Liberty Way, Vista, CA 92081 in writing not later than January 6, 2023, which is 120 days prior to the one-year anniversary of the mailing date of the proxy statement for the Annual Meeting, unless the date of the 2023 Annual Meeting of Stockholders is changed by more than 30 days from the anniversary of our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Stockholders intending to present a proposal at the 2023 Annual Meeting of Stockholders, but not to include the proposal in our proxy statement, or to nominate a person for election as a director, must comply with the requirements set forth in our Bylaws. Our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2023 Annual Meeting of Stockholders no earlier than the close of business on February 16, 2023 and no later than the close of business on March 18, 2023. The notice must contain the information required by the Bylaws, a copy of which is available upon request to our Corporate Secretary. In the event that the date of the 2023 Annual Meeting of Stockholders is more than 30 days before or more than 60 days after June 16, 2023, then our Corporate Secretary must receive such written notice not earlier than the close of business on the 120th day prior to the 2023 Annual Meeting and not later than the close of business on the 90th day prior to the 2023 Annual Meeting and the 10th day following the day on which public disclosure of the date of such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29" w:right="339" w:bottom="1440" w:gutter="0" w:footer="0" w:header="0"/>
        </w:sectPr>
      </w:pPr>
    </w:p>
    <w:bookmarkStart w:id="38" w:name="page39"/>
    <w:bookmarkEnd w:id="38"/>
    <w:p>
      <w:pPr>
        <w:ind w:right="20"/>
        <w:spacing w:after="0" w:line="256" w:lineRule="auto"/>
        <w:rPr>
          <w:sz w:val="20"/>
          <w:szCs w:val="20"/>
          <w:color w:val="auto"/>
        </w:rPr>
      </w:pPr>
      <w:r>
        <w:rPr>
          <w:rFonts w:ascii="Arial" w:cs="Arial" w:eastAsia="Arial" w:hAnsi="Arial"/>
          <w:sz w:val="18"/>
          <w:szCs w:val="18"/>
          <w:color w:val="auto"/>
        </w:rPr>
        <w:t>meeting is first made by the Company. SEC rules permit management to vote proxies in its discretion in certain cases if the stockholder does not comply with this deadline and, in certain other cases, notwithstanding the stockholder’s compliance with this deadline. Stockholders are advised to review our Bylaws which also specify requirements as to the form and content of a stockholder's notice.</w:t>
      </w:r>
    </w:p>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the extent that this proxy statement is incorporated by reference into any other filing by us under the Securities Act or the Exchange Act, the section of this proxy statement entitled “Report of the Audit Committee” to the extent permitted by the rules of the SEC will not be deemed incorporated, unless specifically provided otherwise in such filing. In addition, 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908"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proxy is solicited by and on behalf of the Board,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91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copy of Exagen’s Annual Report on Form 10-K for the fiscal year ended December 31, 2021, including financial statements thereto but not including exhibits, as filed with the SEC, will be sent to any beneficial owners of our common stock on the Record Date as determined on April 18, 2022 without charge upon written request addressed 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Exagen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 CA 92081</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reasonable fee will be charged for copies of exhibits. You also may access this proxy statement and our Annual Report on Form 10-K at www.proxydocs.com/XGN. We make available free of charge on our website all of our filings that are made electronically with the SEC, including our Annual Report on Form 10-K for the year ended December 31, 2021. These materials can be found at www.exagen.com under the "Investor Relations" section.</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Kamal Adawi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Kamal Adawi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29" w:right="339" w:bottom="1440"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732155</wp:posOffset>
            </wp:positionV>
            <wp:extent cx="6000750" cy="77152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732155</wp:posOffset>
            </wp:positionV>
            <wp:extent cx="6000750" cy="7715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C"/>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lvl w:ilvl="1">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2022-04-28T16:24:29Z</dcterms:created>
  <dcterms:modified xsi:type="dcterms:W3CDTF">2022-04-28T16:24:29Z</dcterms:modified>
</cp:coreProperties>
</file>