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155"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199"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CURRENT REPORT</w:t>
      </w:r>
    </w:p>
    <w:p>
      <w:pPr>
        <w:spacing w:after="0" w:line="28"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Pursuant to Section 13 or 15(d)</w:t>
      </w:r>
    </w:p>
    <w:p>
      <w:pPr>
        <w:spacing w:after="0" w:line="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55"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Date of report (Date of earliest event reported): November 18, 2019</w:t>
      </w:r>
    </w:p>
    <w:p>
      <w:pPr>
        <w:spacing w:after="0" w:line="177"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EXAGEN INC.</w:t>
      </w:r>
    </w:p>
    <w:p>
      <w:pPr>
        <w:spacing w:after="0" w:line="5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ectPr>
          <w:pgSz w:w="11900" w:h="16838" w:orient="portrait"/>
          <w:cols w:equalWidth="0" w:num="1">
            <w:col w:w="11400"/>
          </w:cols>
          <w:pgMar w:left="240" w:top="1260" w:right="259" w:bottom="1440" w:gutter="0" w:footer="0" w:header="0"/>
        </w:sectPr>
      </w:pPr>
    </w:p>
    <w:p>
      <w:pPr>
        <w:spacing w:after="0" w:line="313" w:lineRule="exact"/>
        <w:rPr>
          <w:sz w:val="24"/>
          <w:szCs w:val="24"/>
          <w:color w:val="auto"/>
        </w:rPr>
      </w:pPr>
    </w:p>
    <w:p>
      <w:pPr>
        <w:ind w:left="192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93" w:lineRule="exact"/>
        <w:rPr>
          <w:sz w:val="24"/>
          <w:szCs w:val="24"/>
          <w:color w:val="auto"/>
        </w:rPr>
      </w:pPr>
    </w:p>
    <w:p>
      <w:pPr>
        <w:jc w:val="center"/>
        <w:ind w:right="1880"/>
        <w:spacing w:after="0"/>
        <w:rPr>
          <w:sz w:val="20"/>
          <w:szCs w:val="20"/>
          <w:color w:val="auto"/>
        </w:rPr>
      </w:pPr>
      <w:r>
        <w:rPr>
          <w:rFonts w:ascii="Arial" w:cs="Arial" w:eastAsia="Arial" w:hAnsi="Arial"/>
          <w:sz w:val="16"/>
          <w:szCs w:val="16"/>
          <w:b w:val="1"/>
          <w:bCs w:val="1"/>
          <w:color w:val="auto"/>
        </w:rPr>
        <w:t>001-39049</w:t>
      </w:r>
    </w:p>
    <w:p>
      <w:pPr>
        <w:spacing w:after="0" w:line="20" w:lineRule="exact"/>
        <w:rPr>
          <w:sz w:val="24"/>
          <w:szCs w:val="24"/>
          <w:color w:val="auto"/>
        </w:rPr>
      </w:pPr>
      <w:r>
        <w:rPr>
          <w:sz w:val="24"/>
          <w:szCs w:val="24"/>
          <w:color w:val="auto"/>
        </w:rPr>
        <w:br w:type="column"/>
      </w:r>
    </w:p>
    <w:p>
      <w:pPr>
        <w:spacing w:after="0" w:line="293"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20-0434866</w:t>
      </w:r>
    </w:p>
    <w:p>
      <w:pPr>
        <w:spacing w:after="0" w:line="82" w:lineRule="exact"/>
        <w:rPr>
          <w:sz w:val="24"/>
          <w:szCs w:val="24"/>
          <w:color w:val="auto"/>
        </w:rPr>
      </w:pPr>
    </w:p>
    <w:p>
      <w:pPr>
        <w:sectPr>
          <w:pgSz w:w="11900" w:h="16838" w:orient="portrait"/>
          <w:cols w:equalWidth="0" w:num="3">
            <w:col w:w="4740" w:space="720"/>
            <w:col w:w="2660" w:space="720"/>
            <w:col w:w="2560"/>
          </w:cols>
          <w:pgMar w:left="240" w:top="1260" w:right="259" w:bottom="1440" w:gutter="0" w:footer="0" w:header="0"/>
          <w:type w:val="continuous"/>
        </w:sectPr>
      </w:pPr>
    </w:p>
    <w:p>
      <w:pPr>
        <w:jc w:val="center"/>
        <w:ind w:right="140"/>
        <w:spacing w:after="0"/>
        <w:rPr>
          <w:sz w:val="20"/>
          <w:szCs w:val="20"/>
          <w:color w:val="auto"/>
        </w:rPr>
      </w:pPr>
      <w:r>
        <w:rPr>
          <w:rFonts w:ascii="Arial" w:cs="Arial" w:eastAsia="Arial" w:hAnsi="Arial"/>
          <w:sz w:val="14"/>
          <w:szCs w:val="14"/>
          <w:b w:val="1"/>
          <w:bCs w:val="1"/>
          <w:color w:val="auto"/>
        </w:rPr>
        <w:t>(State or other jurisdiction</w:t>
      </w:r>
    </w:p>
    <w:p>
      <w:pPr>
        <w:spacing w:after="0" w:line="17" w:lineRule="exact"/>
        <w:rPr>
          <w:sz w:val="24"/>
          <w:szCs w:val="24"/>
          <w:color w:val="auto"/>
        </w:rPr>
      </w:pPr>
    </w:p>
    <w:p>
      <w:pPr>
        <w:jc w:val="center"/>
        <w:ind w:right="140"/>
        <w:spacing w:after="0"/>
        <w:rPr>
          <w:sz w:val="20"/>
          <w:szCs w:val="20"/>
          <w:color w:val="auto"/>
        </w:rPr>
      </w:pPr>
      <w:r>
        <w:rPr>
          <w:rFonts w:ascii="Arial" w:cs="Arial" w:eastAsia="Arial" w:hAnsi="Arial"/>
          <w:sz w:val="13"/>
          <w:szCs w:val="13"/>
          <w:b w:val="1"/>
          <w:bCs w:val="1"/>
          <w:color w:val="auto"/>
        </w:rPr>
        <w:t>of incorporation or organization)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Arial" w:cs="Arial" w:eastAsia="Arial" w:hAnsi="Arial"/>
          <w:sz w:val="12"/>
          <w:szCs w:val="12"/>
          <w:b w:val="1"/>
          <w:bCs w:val="1"/>
          <w:color w:val="auto"/>
        </w:rPr>
        <w:t>(Commission</w:t>
      </w:r>
    </w:p>
    <w:p>
      <w:pPr>
        <w:spacing w:after="0" w:line="40"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ind w:left="60"/>
        <w:spacing w:after="0"/>
        <w:rPr>
          <w:sz w:val="20"/>
          <w:szCs w:val="20"/>
          <w:color w:val="auto"/>
        </w:rPr>
      </w:pPr>
      <w:r>
        <w:rPr>
          <w:rFonts w:ascii="Arial" w:cs="Arial" w:eastAsia="Arial" w:hAnsi="Arial"/>
          <w:sz w:val="14"/>
          <w:szCs w:val="14"/>
          <w:b w:val="1"/>
          <w:bCs w:val="1"/>
          <w:color w:val="auto"/>
        </w:rPr>
        <w:t>(I.R.S. Employer</w:t>
      </w:r>
    </w:p>
    <w:p>
      <w:pPr>
        <w:spacing w:after="0" w:line="17"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Identification No.)</w:t>
      </w:r>
    </w:p>
    <w:p>
      <w:pPr>
        <w:spacing w:after="0" w:line="200" w:lineRule="exact"/>
        <w:rPr>
          <w:sz w:val="24"/>
          <w:szCs w:val="24"/>
          <w:color w:val="auto"/>
        </w:rPr>
      </w:pPr>
    </w:p>
    <w:p>
      <w:pPr>
        <w:sectPr>
          <w:pgSz w:w="11900" w:h="16838" w:orient="portrait"/>
          <w:cols w:equalWidth="0" w:num="3">
            <w:col w:w="4700" w:space="720"/>
            <w:col w:w="2560" w:space="720"/>
            <w:col w:w="2700"/>
          </w:cols>
          <w:pgMar w:left="240" w:top="1260" w:right="259" w:bottom="1440" w:gutter="0" w:footer="0" w:header="0"/>
          <w:type w:val="continuous"/>
        </w:sectPr>
      </w:pPr>
    </w:p>
    <w:p>
      <w:pPr>
        <w:spacing w:after="0" w:line="17" w:lineRule="exact"/>
        <w:rPr>
          <w:sz w:val="24"/>
          <w:szCs w:val="24"/>
          <w:color w:val="auto"/>
        </w:rPr>
      </w:pPr>
    </w:p>
    <w:p>
      <w:pPr>
        <w:ind w:left="4700"/>
        <w:spacing w:after="0"/>
        <w:rPr>
          <w:sz w:val="20"/>
          <w:szCs w:val="20"/>
          <w:color w:val="auto"/>
        </w:rPr>
      </w:pPr>
      <w:r>
        <w:rPr>
          <w:rFonts w:ascii="Arial" w:cs="Arial" w:eastAsia="Arial" w:hAnsi="Arial"/>
          <w:sz w:val="18"/>
          <w:szCs w:val="18"/>
          <w:b w:val="1"/>
          <w:bCs w:val="1"/>
          <w:color w:val="auto"/>
        </w:rPr>
        <w:t>1261 Liberty Way, Suite C</w:t>
      </w:r>
    </w:p>
    <w:p>
      <w:pPr>
        <w:spacing w:after="0" w:line="27" w:lineRule="exact"/>
        <w:rPr>
          <w:sz w:val="24"/>
          <w:szCs w:val="24"/>
          <w:color w:val="auto"/>
        </w:rPr>
      </w:pPr>
    </w:p>
    <w:p>
      <w:pPr>
        <w:ind w:left="5100"/>
        <w:spacing w:after="0"/>
        <w:rPr>
          <w:sz w:val="20"/>
          <w:szCs w:val="20"/>
          <w:color w:val="auto"/>
        </w:rPr>
      </w:pPr>
      <w:r>
        <w:rPr>
          <w:rFonts w:ascii="Arial" w:cs="Arial" w:eastAsia="Arial" w:hAnsi="Arial"/>
          <w:sz w:val="18"/>
          <w:szCs w:val="18"/>
          <w:b w:val="1"/>
          <w:bCs w:val="1"/>
          <w:color w:val="auto"/>
        </w:rPr>
        <w:t>Vista, CA 92081</w:t>
      </w:r>
    </w:p>
    <w:p>
      <w:pPr>
        <w:spacing w:after="0" w:line="2"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(Address of principal executive offices) (Zip Code)</w:t>
      </w:r>
    </w:p>
    <w:p>
      <w:pPr>
        <w:spacing w:after="0" w:line="16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(760) 560-1501</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(Registrant’s telephone number, include area code)</w:t>
      </w:r>
    </w:p>
    <w:p>
      <w:pPr>
        <w:spacing w:after="0" w:line="17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N/A</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3"/>
          <w:szCs w:val="13"/>
          <w:b w:val="1"/>
          <w:bCs w:val="1"/>
          <w:color w:val="auto"/>
        </w:rPr>
        <w:t>(Former Name or Former Address, if Changed Since Last Report)</w:t>
      </w:r>
    </w:p>
    <w:p>
      <w:pPr>
        <w:sectPr>
          <w:pgSz w:w="11900" w:h="16838" w:orient="portrait"/>
          <w:cols w:equalWidth="0" w:num="1">
            <w:col w:w="11400"/>
          </w:cols>
          <w:pgMar w:left="240" w:top="1260" w:right="259" w:bottom="1440" w:gutter="0" w:footer="0" w:header="0"/>
          <w:type w:val="continuous"/>
        </w:sectPr>
      </w:pPr>
    </w:p>
    <w:p>
      <w:pPr>
        <w:spacing w:after="0" w:line="185" w:lineRule="exact"/>
        <w:rPr>
          <w:sz w:val="24"/>
          <w:szCs w:val="24"/>
          <w:color w:val="auto"/>
        </w:rPr>
      </w:pPr>
    </w:p>
    <w:p>
      <w:pPr>
        <w:spacing w:after="0"/>
        <w:rPr>
          <w:sz w:val="20"/>
          <w:szCs w:val="20"/>
          <w:color w:val="auto"/>
        </w:rPr>
      </w:pPr>
      <w:r>
        <w:rPr>
          <w:rFonts w:ascii="Arial" w:cs="Arial" w:eastAsia="Arial" w:hAnsi="Arial"/>
          <w:sz w:val="15"/>
          <w:szCs w:val="15"/>
          <w:color w:val="auto"/>
        </w:rPr>
        <w:t>Check the appropriate box below if the Form 8-K filing is intended to simultaneously satisfy the filing obligation of the registrant under any of the following provisions:</w:t>
      </w:r>
    </w:p>
    <w:p>
      <w:pPr>
        <w:spacing w:after="0" w:line="125" w:lineRule="exact"/>
        <w:rPr>
          <w:sz w:val="24"/>
          <w:szCs w:val="24"/>
          <w:color w:val="auto"/>
        </w:rPr>
      </w:pPr>
    </w:p>
    <w:p>
      <w:pPr>
        <w:ind w:left="240" w:hanging="214"/>
        <w:spacing w:after="0"/>
        <w:tabs>
          <w:tab w:leader="none" w:pos="240" w:val="left"/>
        </w:tabs>
        <w:numPr>
          <w:ilvl w:val="0"/>
          <w:numId w:val="1"/>
        </w:numPr>
        <w:rPr>
          <w:rFonts w:ascii="MS PGothic" w:cs="MS PGothic" w:eastAsia="MS PGothic" w:hAnsi="MS PGothic"/>
          <w:sz w:val="18"/>
          <w:szCs w:val="18"/>
          <w:color w:val="auto"/>
        </w:rPr>
      </w:pPr>
      <w:r>
        <w:rPr>
          <w:rFonts w:ascii="Arial" w:cs="Arial" w:eastAsia="Arial" w:hAnsi="Arial"/>
          <w:sz w:val="16"/>
          <w:szCs w:val="16"/>
          <w:color w:val="auto"/>
        </w:rPr>
        <w:t>Written communications pursuant to Rule 425 under the Securities Act (17 CFR 230.425)</w:t>
      </w:r>
    </w:p>
    <w:p>
      <w:pPr>
        <w:spacing w:after="0" w:line="81" w:lineRule="exact"/>
        <w:rPr>
          <w:rFonts w:ascii="MS PGothic" w:cs="MS PGothic" w:eastAsia="MS PGothic" w:hAnsi="MS PGothic"/>
          <w:sz w:val="18"/>
          <w:szCs w:val="18"/>
          <w:color w:val="auto"/>
        </w:rPr>
      </w:pPr>
    </w:p>
    <w:p>
      <w:pPr>
        <w:ind w:left="240" w:hanging="214"/>
        <w:spacing w:after="0"/>
        <w:tabs>
          <w:tab w:leader="none" w:pos="240" w:val="left"/>
        </w:tabs>
        <w:numPr>
          <w:ilvl w:val="0"/>
          <w:numId w:val="1"/>
        </w:numPr>
        <w:rPr>
          <w:rFonts w:ascii="MS PGothic" w:cs="MS PGothic" w:eastAsia="MS PGothic" w:hAnsi="MS PGothic"/>
          <w:sz w:val="18"/>
          <w:szCs w:val="18"/>
          <w:color w:val="auto"/>
        </w:rPr>
      </w:pPr>
      <w:r>
        <w:rPr>
          <w:rFonts w:ascii="Arial" w:cs="Arial" w:eastAsia="Arial" w:hAnsi="Arial"/>
          <w:sz w:val="16"/>
          <w:szCs w:val="16"/>
          <w:color w:val="auto"/>
        </w:rPr>
        <w:t>Soliciting material pursuant to Rule 14a-12 under the Exchange Act (17 CFR 240.14a-12)</w:t>
      </w:r>
    </w:p>
    <w:p>
      <w:pPr>
        <w:spacing w:after="0" w:line="81" w:lineRule="exact"/>
        <w:rPr>
          <w:rFonts w:ascii="MS PGothic" w:cs="MS PGothic" w:eastAsia="MS PGothic" w:hAnsi="MS PGothic"/>
          <w:sz w:val="18"/>
          <w:szCs w:val="18"/>
          <w:color w:val="auto"/>
        </w:rPr>
      </w:pPr>
    </w:p>
    <w:p>
      <w:pPr>
        <w:ind w:left="240" w:hanging="214"/>
        <w:spacing w:after="0"/>
        <w:tabs>
          <w:tab w:leader="none" w:pos="240" w:val="left"/>
        </w:tabs>
        <w:numPr>
          <w:ilvl w:val="0"/>
          <w:numId w:val="1"/>
        </w:numPr>
        <w:rPr>
          <w:rFonts w:ascii="MS PGothic" w:cs="MS PGothic" w:eastAsia="MS PGothic" w:hAnsi="MS PGothic"/>
          <w:sz w:val="18"/>
          <w:szCs w:val="18"/>
          <w:color w:val="auto"/>
        </w:rPr>
      </w:pPr>
      <w:r>
        <w:rPr>
          <w:rFonts w:ascii="Arial" w:cs="Arial" w:eastAsia="Arial" w:hAnsi="Arial"/>
          <w:sz w:val="16"/>
          <w:szCs w:val="16"/>
          <w:color w:val="auto"/>
        </w:rPr>
        <w:t>Pre-commencement communications pursuant to Rule 14d-2(b) under the Exchange Act (17 CFR 240.14d-2(b))</w:t>
      </w:r>
    </w:p>
    <w:p>
      <w:pPr>
        <w:spacing w:after="0" w:line="81" w:lineRule="exact"/>
        <w:rPr>
          <w:rFonts w:ascii="MS PGothic" w:cs="MS PGothic" w:eastAsia="MS PGothic" w:hAnsi="MS PGothic"/>
          <w:sz w:val="18"/>
          <w:szCs w:val="18"/>
          <w:color w:val="auto"/>
        </w:rPr>
      </w:pPr>
    </w:p>
    <w:p>
      <w:pPr>
        <w:ind w:left="240" w:hanging="214"/>
        <w:spacing w:after="0"/>
        <w:tabs>
          <w:tab w:leader="none" w:pos="240" w:val="left"/>
        </w:tabs>
        <w:numPr>
          <w:ilvl w:val="0"/>
          <w:numId w:val="1"/>
        </w:numPr>
        <w:rPr>
          <w:rFonts w:ascii="MS PGothic" w:cs="MS PGothic" w:eastAsia="MS PGothic" w:hAnsi="MS PGothic"/>
          <w:sz w:val="18"/>
          <w:szCs w:val="18"/>
          <w:color w:val="auto"/>
        </w:rPr>
      </w:pPr>
      <w:r>
        <w:rPr>
          <w:rFonts w:ascii="Arial" w:cs="Arial" w:eastAsia="Arial" w:hAnsi="Arial"/>
          <w:sz w:val="16"/>
          <w:szCs w:val="16"/>
          <w:color w:val="auto"/>
        </w:rPr>
        <w:t>Pre-commencement communications pursuant to Rule 13e-4(c) under the Exchange Act (17 CFR 240.13e-4(c))</w:t>
      </w:r>
    </w:p>
    <w:p>
      <w:pPr>
        <w:spacing w:after="0" w:line="230" w:lineRule="exact"/>
        <w:rPr>
          <w:sz w:val="24"/>
          <w:szCs w:val="24"/>
          <w:color w:val="auto"/>
        </w:rPr>
      </w:pPr>
    </w:p>
    <w:p>
      <w:pPr>
        <w:spacing w:after="0"/>
        <w:rPr>
          <w:sz w:val="20"/>
          <w:szCs w:val="20"/>
          <w:color w:val="auto"/>
        </w:rPr>
      </w:pPr>
      <w:r>
        <w:rPr>
          <w:rFonts w:ascii="Arial" w:cs="Arial" w:eastAsia="Arial" w:hAnsi="Arial"/>
          <w:sz w:val="16"/>
          <w:szCs w:val="16"/>
          <w:color w:val="auto"/>
        </w:rPr>
        <w:t>Securities registered pursuant to Section 12(b) of the Act:</w:t>
      </w:r>
    </w:p>
    <w:p>
      <w:pPr>
        <w:spacing w:after="0" w:line="316" w:lineRule="exact"/>
        <w:rPr>
          <w:sz w:val="24"/>
          <w:szCs w:val="24"/>
          <w:color w:val="auto"/>
        </w:rPr>
      </w:pPr>
    </w:p>
    <w:tbl>
      <w:tblPr>
        <w:tblLayout w:type="fixed"/>
        <w:tblInd w:w="0" w:type="dxa"/>
        <w:tblCellMar>
          <w:top w:w="0" w:type="dxa"/>
          <w:left w:w="0" w:type="dxa"/>
          <w:bottom w:w="0" w:type="dxa"/>
          <w:right w:w="0" w:type="dxa"/>
        </w:tblCellMar>
      </w:tblPr>
      <w:tr>
        <w:trPr>
          <w:trHeight w:val="162"/>
        </w:trPr>
        <w:tc>
          <w:tcPr>
            <w:tcW w:w="3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8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7"/>
              </w:rPr>
              <w:t>Trading</w:t>
            </w:r>
          </w:p>
        </w:tc>
        <w:tc>
          <w:tcPr>
            <w:tcW w:w="3640" w:type="dxa"/>
            <w:vAlign w:val="bottom"/>
          </w:tcPr>
          <w:p>
            <w:pPr>
              <w:jc w:val="center"/>
              <w:spacing w:after="0"/>
              <w:rPr>
                <w:sz w:val="20"/>
                <w:szCs w:val="20"/>
                <w:color w:val="auto"/>
              </w:rPr>
            </w:pPr>
            <w:r>
              <w:rPr>
                <w:rFonts w:ascii="Arial" w:cs="Arial" w:eastAsia="Arial" w:hAnsi="Arial"/>
                <w:sz w:val="14"/>
                <w:szCs w:val="14"/>
                <w:b w:val="1"/>
                <w:bCs w:val="1"/>
                <w:color w:val="auto"/>
                <w:w w:val="90"/>
              </w:rPr>
              <w:t>Name of each exchange</w:t>
            </w:r>
          </w:p>
        </w:tc>
      </w:tr>
      <w:tr>
        <w:trPr>
          <w:trHeight w:val="219"/>
        </w:trPr>
        <w:tc>
          <w:tcPr>
            <w:tcW w:w="37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Title of each class</w:t>
            </w:r>
          </w:p>
        </w:tc>
        <w:tc>
          <w:tcPr>
            <w:tcW w:w="160" w:type="dxa"/>
            <w:vAlign w:val="bottom"/>
          </w:tcPr>
          <w:p>
            <w:pPr>
              <w:spacing w:after="0"/>
              <w:rPr>
                <w:sz w:val="19"/>
                <w:szCs w:val="19"/>
                <w:color w:val="auto"/>
              </w:rPr>
            </w:pPr>
          </w:p>
        </w:tc>
        <w:tc>
          <w:tcPr>
            <w:tcW w:w="3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Symbol(s)</w:t>
            </w:r>
          </w:p>
        </w:tc>
        <w:tc>
          <w:tcPr>
            <w:tcW w:w="160" w:type="dxa"/>
            <w:vAlign w:val="bottom"/>
          </w:tcPr>
          <w:p>
            <w:pPr>
              <w:spacing w:after="0"/>
              <w:rPr>
                <w:sz w:val="19"/>
                <w:szCs w:val="19"/>
                <w:color w:val="auto"/>
              </w:rPr>
            </w:pPr>
          </w:p>
        </w:tc>
        <w:tc>
          <w:tcPr>
            <w:tcW w:w="3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on which registered</w:t>
            </w:r>
          </w:p>
        </w:tc>
      </w:tr>
      <w:tr>
        <w:trPr>
          <w:trHeight w:val="243"/>
        </w:trPr>
        <w:tc>
          <w:tcPr>
            <w:tcW w:w="390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9"/>
              </w:rPr>
              <w:t>Common Stock, par value $0.001 per share</w:t>
            </w:r>
          </w:p>
        </w:tc>
        <w:tc>
          <w:tcPr>
            <w:tcW w:w="386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rPr>
              <w:t>XGN</w:t>
            </w:r>
          </w:p>
        </w:tc>
        <w:tc>
          <w:tcPr>
            <w:tcW w:w="3640" w:type="dxa"/>
            <w:vAlign w:val="bottom"/>
          </w:tcPr>
          <w:p>
            <w:pPr>
              <w:jc w:val="center"/>
              <w:spacing w:after="0"/>
              <w:rPr>
                <w:sz w:val="20"/>
                <w:szCs w:val="20"/>
                <w:color w:val="auto"/>
              </w:rPr>
            </w:pPr>
            <w:r>
              <w:rPr>
                <w:rFonts w:ascii="Arial" w:cs="Arial" w:eastAsia="Arial" w:hAnsi="Arial"/>
                <w:sz w:val="18"/>
                <w:szCs w:val="18"/>
                <w:b w:val="1"/>
                <w:bCs w:val="1"/>
                <w:color w:val="auto"/>
                <w:w w:val="93"/>
              </w:rPr>
              <w:t>The Nasdaq Global Market</w:t>
            </w:r>
          </w:p>
        </w:tc>
      </w:tr>
    </w:tbl>
    <w:p>
      <w:pPr>
        <w:spacing w:after="0" w:line="206" w:lineRule="exact"/>
        <w:rPr>
          <w:sz w:val="24"/>
          <w:szCs w:val="24"/>
          <w:color w:val="auto"/>
        </w:rPr>
      </w:pPr>
    </w:p>
    <w:p>
      <w:pPr>
        <w:ind w:right="40"/>
        <w:spacing w:after="0" w:line="275" w:lineRule="auto"/>
        <w:rPr>
          <w:sz w:val="20"/>
          <w:szCs w:val="20"/>
          <w:color w:val="auto"/>
        </w:rPr>
      </w:pPr>
      <w:r>
        <w:rPr>
          <w:rFonts w:ascii="Arial" w:cs="Arial" w:eastAsia="Arial" w:hAnsi="Arial"/>
          <w:sz w:val="16"/>
          <w:szCs w:val="16"/>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95" w:lineRule="exact"/>
        <w:rPr>
          <w:sz w:val="24"/>
          <w:szCs w:val="24"/>
          <w:color w:val="auto"/>
        </w:rPr>
      </w:pPr>
    </w:p>
    <w:p>
      <w:pPr>
        <w:spacing w:after="0" w:line="207"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8"/>
          <w:szCs w:val="18"/>
          <w:color w:val="auto"/>
        </w:rPr>
        <w:t>☒</w:t>
      </w:r>
    </w:p>
    <w:p>
      <w:pPr>
        <w:spacing w:after="0" w:line="222" w:lineRule="exact"/>
        <w:rPr>
          <w:sz w:val="24"/>
          <w:szCs w:val="24"/>
          <w:color w:val="auto"/>
        </w:rPr>
      </w:pPr>
    </w:p>
    <w:p>
      <w:pPr>
        <w:ind w:right="140"/>
        <w:spacing w:after="0" w:line="218"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ectPr>
          <w:pgSz w:w="11900" w:h="16838" w:orient="portrait"/>
          <w:cols w:equalWidth="0" w:num="1">
            <w:col w:w="11400"/>
          </w:cols>
          <w:pgMar w:left="240" w:top="1260" w:right="259" w:bottom="1440" w:gutter="0" w:footer="0" w:header="0"/>
          <w:type w:val="continuous"/>
        </w:sectPr>
      </w:pPr>
    </w:p>
    <w:bookmarkStart w:id="1" w:name="page2"/>
    <w:bookmarkEnd w:id="1"/>
    <w:p>
      <w:pPr>
        <w:ind w:right="260"/>
        <w:spacing w:after="0" w:line="282" w:lineRule="auto"/>
        <w:rPr>
          <w:sz w:val="20"/>
          <w:szCs w:val="20"/>
          <w:color w:val="auto"/>
        </w:rPr>
      </w:pPr>
      <w:r>
        <w:rPr>
          <w:rFonts w:ascii="Arial" w:cs="Arial" w:eastAsia="Arial" w:hAnsi="Arial"/>
          <w:sz w:val="18"/>
          <w:szCs w:val="18"/>
          <w:b w:val="1"/>
          <w:bCs w:val="1"/>
          <w:color w:val="auto"/>
        </w:rPr>
        <w:t>Item 5.02. Departure of Directors or Certain Officers; Election of Directors; Appointment of Certain Officers; Compensatory Arrangements of Certain Officers.</w:t>
      </w:r>
    </w:p>
    <w:p>
      <w:pPr>
        <w:spacing w:after="0" w:line="112"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On November 18, 2019, Thierry Dervieux, Ph. D., the Chief Scientific Officer of Exagen Inc. (the “Company”), notified the Company of his decision to resign from his position with the Company, effective December 9, 2019. Dr. Dervieux’s resignation did not result from any disagreement with the Company on any matter relating to its operations, policies or practices.</w:t>
      </w:r>
    </w:p>
    <w:p>
      <w:pPr>
        <w:sectPr>
          <w:pgSz w:w="11900" w:h="16838" w:orient="portrait"/>
          <w:cols w:equalWidth="0" w:num="1">
            <w:col w:w="11240"/>
          </w:cols>
          <w:pgMar w:left="240" w:top="1094" w:right="419" w:bottom="1440" w:gutter="0" w:footer="0" w:header="0"/>
        </w:sectPr>
      </w:pPr>
    </w:p>
    <w:bookmarkStart w:id="2" w:name="page3"/>
    <w:bookmarkEnd w:id="2"/>
    <w:p>
      <w:pPr>
        <w:jc w:val="center"/>
        <w:ind w:right="-219"/>
        <w:spacing w:after="0"/>
        <w:rPr>
          <w:sz w:val="20"/>
          <w:szCs w:val="20"/>
          <w:color w:val="auto"/>
        </w:rPr>
      </w:pPr>
      <w:r>
        <w:rPr>
          <w:rFonts w:ascii="Arial" w:cs="Arial" w:eastAsia="Arial" w:hAnsi="Arial"/>
          <w:sz w:val="18"/>
          <w:szCs w:val="18"/>
          <w:color w:val="auto"/>
        </w:rPr>
        <w:t>SIGNATURES</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79" w:lineRule="exact"/>
        <w:rPr>
          <w:sz w:val="20"/>
          <w:szCs w:val="20"/>
          <w:color w:val="auto"/>
        </w:rPr>
      </w:pPr>
    </w:p>
    <w:p>
      <w:pPr>
        <w:jc w:val="center"/>
        <w:ind w:right="-439"/>
        <w:spacing w:after="0"/>
        <w:rPr>
          <w:sz w:val="20"/>
          <w:szCs w:val="20"/>
          <w:color w:val="auto"/>
        </w:rPr>
      </w:pPr>
      <w:r>
        <w:rPr>
          <w:rFonts w:ascii="Arial" w:cs="Arial" w:eastAsia="Arial" w:hAnsi="Arial"/>
          <w:sz w:val="18"/>
          <w:szCs w:val="18"/>
          <w:color w:val="auto"/>
        </w:rPr>
        <w:t>EXAGEN INC.</w:t>
      </w:r>
    </w:p>
    <w:p>
      <w:pPr>
        <w:spacing w:after="0" w:line="333" w:lineRule="exact"/>
        <w:rPr>
          <w:sz w:val="20"/>
          <w:szCs w:val="20"/>
          <w:color w:val="auto"/>
        </w:rPr>
      </w:pPr>
    </w:p>
    <w:p>
      <w:pPr>
        <w:ind w:left="20"/>
        <w:spacing w:after="0"/>
        <w:tabs>
          <w:tab w:leader="none" w:pos="5240" w:val="left"/>
          <w:tab w:leader="none" w:pos="5720" w:val="left"/>
        </w:tabs>
        <w:rPr>
          <w:sz w:val="20"/>
          <w:szCs w:val="20"/>
          <w:color w:val="auto"/>
        </w:rPr>
      </w:pPr>
      <w:r>
        <w:rPr>
          <w:rFonts w:ascii="Arial" w:cs="Arial" w:eastAsia="Arial" w:hAnsi="Arial"/>
          <w:sz w:val="18"/>
          <w:szCs w:val="18"/>
          <w:color w:val="auto"/>
        </w:rPr>
        <w:t>Date: November 22, 2019</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Fortunato Ron Rocca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31750</wp:posOffset>
            </wp:positionV>
            <wp:extent cx="297561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975610" cy="8890"/>
                    </a:xfrm>
                    <a:prstGeom prst="rect">
                      <a:avLst/>
                    </a:prstGeom>
                    <a:noFill/>
                  </pic:spPr>
                </pic:pic>
              </a:graphicData>
            </a:graphic>
          </wp:anchor>
        </w:drawing>
      </w:r>
    </w:p>
    <w:p>
      <w:pPr>
        <w:spacing w:after="0" w:line="57"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Fortunato Ron Rocca</w:t>
      </w:r>
    </w:p>
    <w:p>
      <w:pPr>
        <w:spacing w:after="0" w:line="6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President and Chief Executive Officer</w:t>
      </w:r>
    </w:p>
    <w:sectPr>
      <w:pgSz w:w="11900" w:h="16838" w:orient="portrait"/>
      <w:cols w:equalWidth="0" w:num="1">
        <w:col w:w="11220"/>
      </w:cols>
      <w:pgMar w:left="240" w:top="1098"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2019-11-28T01:31:10Z</dcterms:created>
  <dcterms:modified xsi:type="dcterms:W3CDTF">2019-11-28T01:31:10Z</dcterms:modified>
</cp:coreProperties>
</file>