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January 9, 2023</w:t>
      </w:r>
    </w:p>
    <w:p>
      <w:pPr>
        <w:spacing w:after="0" w:line="1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8"/>
          <w:szCs w:val="38"/>
          <w:b w:val="1"/>
          <w:bCs w:val="1"/>
          <w:color w:val="auto"/>
        </w:rPr>
        <w:t>EXAGEN INC.</w:t>
      </w:r>
    </w:p>
    <w:p>
      <w:pPr>
        <w:spacing w:after="0" w:line="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57" w:lineRule="exact"/>
        <w:rPr>
          <w:sz w:val="24"/>
          <w:szCs w:val="24"/>
          <w:color w:val="auto"/>
        </w:rPr>
      </w:pPr>
    </w:p>
    <w:tbl>
      <w:tblPr>
        <w:tblLayout w:type="fixed"/>
        <w:tblInd w:w="1280" w:type="dxa"/>
        <w:tblCellMar>
          <w:top w:w="0" w:type="dxa"/>
          <w:left w:w="0" w:type="dxa"/>
          <w:bottom w:w="0" w:type="dxa"/>
          <w:right w:w="0" w:type="dxa"/>
        </w:tblCellMar>
      </w:tblPr>
      <w:tr>
        <w:trPr>
          <w:trHeight w:val="208"/>
        </w:trPr>
        <w:tc>
          <w:tcPr>
            <w:tcW w:w="2000" w:type="dxa"/>
            <w:vAlign w:val="bottom"/>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8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8"/>
              </w:rPr>
              <w:t>001-39049</w:t>
            </w:r>
          </w:p>
        </w:tc>
        <w:tc>
          <w:tcPr>
            <w:tcW w:w="1660" w:type="dxa"/>
            <w:vAlign w:val="bottom"/>
          </w:tcPr>
          <w:p>
            <w:pPr>
              <w:jc w:val="center"/>
              <w:ind w:left="592"/>
              <w:spacing w:after="0"/>
              <w:rPr>
                <w:sz w:val="20"/>
                <w:szCs w:val="20"/>
                <w:color w:val="auto"/>
              </w:rPr>
            </w:pPr>
            <w:r>
              <w:rPr>
                <w:rFonts w:ascii="Times New Roman" w:cs="Times New Roman" w:eastAsia="Times New Roman" w:hAnsi="Times New Roman"/>
                <w:sz w:val="16"/>
                <w:szCs w:val="16"/>
                <w:b w:val="1"/>
                <w:bCs w:val="1"/>
                <w:color w:val="auto"/>
                <w:w w:val="98"/>
              </w:rPr>
              <w:t>20-0434866</w:t>
            </w:r>
          </w:p>
        </w:tc>
      </w:tr>
      <w:tr>
        <w:trPr>
          <w:trHeight w:val="167"/>
        </w:trPr>
        <w:tc>
          <w:tcPr>
            <w:tcW w:w="2000" w:type="dxa"/>
            <w:vAlign w:val="bottom"/>
          </w:tcPr>
          <w:p>
            <w:pPr>
              <w:jc w:val="center"/>
              <w:ind w:right="49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(Commission</w:t>
            </w:r>
          </w:p>
        </w:tc>
        <w:tc>
          <w:tcPr>
            <w:tcW w:w="1660" w:type="dxa"/>
            <w:vAlign w:val="bottom"/>
          </w:tcPr>
          <w:p>
            <w:pPr>
              <w:jc w:val="center"/>
              <w:ind w:left="572"/>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000" w:type="dxa"/>
            <w:vAlign w:val="bottom"/>
          </w:tcPr>
          <w:p>
            <w:pPr>
              <w:jc w:val="center"/>
              <w:ind w:right="492"/>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660" w:type="dxa"/>
            <w:vAlign w:val="bottom"/>
          </w:tcPr>
          <w:p>
            <w:pPr>
              <w:jc w:val="center"/>
              <w:ind w:left="592"/>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452"/>
        </w:trPr>
        <w:tc>
          <w:tcPr>
            <w:tcW w:w="2000" w:type="dxa"/>
            <w:vAlign w:val="bottom"/>
          </w:tcPr>
          <w:p>
            <w:pPr>
              <w:spacing w:after="0"/>
              <w:rPr>
                <w:sz w:val="24"/>
                <w:szCs w:val="24"/>
                <w:color w:val="auto"/>
              </w:rPr>
            </w:pPr>
          </w:p>
        </w:tc>
        <w:tc>
          <w:tcPr>
            <w:tcW w:w="48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7"/>
              </w:rPr>
              <w:t>1261 Liberty Way</w:t>
            </w:r>
          </w:p>
        </w:tc>
        <w:tc>
          <w:tcPr>
            <w:tcW w:w="1660" w:type="dxa"/>
            <w:vAlign w:val="bottom"/>
          </w:tcPr>
          <w:p>
            <w:pPr>
              <w:spacing w:after="0"/>
              <w:rPr>
                <w:sz w:val="24"/>
                <w:szCs w:val="24"/>
                <w:color w:val="auto"/>
              </w:rPr>
            </w:pPr>
          </w:p>
        </w:tc>
      </w:tr>
      <w:tr>
        <w:trPr>
          <w:trHeight w:val="186"/>
        </w:trPr>
        <w:tc>
          <w:tcPr>
            <w:tcW w:w="2000" w:type="dxa"/>
            <w:vAlign w:val="bottom"/>
          </w:tcPr>
          <w:p>
            <w:pPr>
              <w:spacing w:after="0"/>
              <w:rPr>
                <w:sz w:val="16"/>
                <w:szCs w:val="16"/>
                <w:color w:val="auto"/>
              </w:rPr>
            </w:pPr>
          </w:p>
        </w:tc>
        <w:tc>
          <w:tcPr>
            <w:tcW w:w="48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7"/>
              </w:rPr>
              <w:t>Vista, CA 92081</w:t>
            </w:r>
          </w:p>
        </w:tc>
        <w:tc>
          <w:tcPr>
            <w:tcW w:w="1660" w:type="dxa"/>
            <w:vAlign w:val="bottom"/>
          </w:tcPr>
          <w:p>
            <w:pPr>
              <w:spacing w:after="0"/>
              <w:rPr>
                <w:sz w:val="16"/>
                <w:szCs w:val="16"/>
                <w:color w:val="auto"/>
              </w:rPr>
            </w:pPr>
          </w:p>
        </w:tc>
      </w:tr>
      <w:tr>
        <w:trPr>
          <w:trHeight w:val="166"/>
        </w:trPr>
        <w:tc>
          <w:tcPr>
            <w:tcW w:w="2000" w:type="dxa"/>
            <w:vAlign w:val="bottom"/>
          </w:tcPr>
          <w:p>
            <w:pPr>
              <w:spacing w:after="0"/>
              <w:rPr>
                <w:sz w:val="14"/>
                <w:szCs w:val="14"/>
                <w:color w:val="auto"/>
              </w:rPr>
            </w:pPr>
          </w:p>
        </w:tc>
        <w:tc>
          <w:tcPr>
            <w:tcW w:w="48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1660" w:type="dxa"/>
            <w:vAlign w:val="bottom"/>
          </w:tcPr>
          <w:p>
            <w:pPr>
              <w:spacing w:after="0"/>
              <w:rPr>
                <w:sz w:val="14"/>
                <w:szCs w:val="14"/>
                <w:color w:val="auto"/>
              </w:rPr>
            </w:pPr>
          </w:p>
        </w:tc>
      </w:tr>
      <w:tr>
        <w:trPr>
          <w:trHeight w:val="330"/>
        </w:trPr>
        <w:tc>
          <w:tcPr>
            <w:tcW w:w="2000" w:type="dxa"/>
            <w:vAlign w:val="bottom"/>
          </w:tcPr>
          <w:p>
            <w:pPr>
              <w:spacing w:after="0"/>
              <w:rPr>
                <w:sz w:val="24"/>
                <w:szCs w:val="24"/>
                <w:color w:val="auto"/>
              </w:rPr>
            </w:pPr>
          </w:p>
        </w:tc>
        <w:tc>
          <w:tcPr>
            <w:tcW w:w="480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7"/>
              </w:rPr>
              <w:t>(760) 560-1501</w:t>
            </w:r>
          </w:p>
        </w:tc>
        <w:tc>
          <w:tcPr>
            <w:tcW w:w="1660" w:type="dxa"/>
            <w:vAlign w:val="bottom"/>
          </w:tcPr>
          <w:p>
            <w:pPr>
              <w:spacing w:after="0"/>
              <w:rPr>
                <w:sz w:val="24"/>
                <w:szCs w:val="24"/>
                <w:color w:val="auto"/>
              </w:rPr>
            </w:pPr>
          </w:p>
        </w:tc>
      </w:tr>
      <w:tr>
        <w:trPr>
          <w:trHeight w:val="166"/>
        </w:trPr>
        <w:tc>
          <w:tcPr>
            <w:tcW w:w="2000" w:type="dxa"/>
            <w:vAlign w:val="bottom"/>
          </w:tcPr>
          <w:p>
            <w:pPr>
              <w:spacing w:after="0"/>
              <w:rPr>
                <w:sz w:val="14"/>
                <w:szCs w:val="14"/>
                <w:color w:val="auto"/>
              </w:rPr>
            </w:pPr>
          </w:p>
        </w:tc>
        <w:tc>
          <w:tcPr>
            <w:tcW w:w="4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660" w:type="dxa"/>
            <w:vAlign w:val="bottom"/>
          </w:tcPr>
          <w:p>
            <w:pPr>
              <w:spacing w:after="0"/>
              <w:rPr>
                <w:sz w:val="14"/>
                <w:szCs w:val="14"/>
                <w:color w:val="auto"/>
              </w:rPr>
            </w:pPr>
          </w:p>
        </w:tc>
      </w:tr>
      <w:tr>
        <w:trPr>
          <w:trHeight w:val="342"/>
        </w:trPr>
        <w:tc>
          <w:tcPr>
            <w:tcW w:w="2000" w:type="dxa"/>
            <w:vAlign w:val="bottom"/>
          </w:tcPr>
          <w:p>
            <w:pPr>
              <w:spacing w:after="0"/>
              <w:rPr>
                <w:sz w:val="24"/>
                <w:szCs w:val="24"/>
                <w:color w:val="auto"/>
              </w:rPr>
            </w:pPr>
          </w:p>
        </w:tc>
        <w:tc>
          <w:tcPr>
            <w:tcW w:w="48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N/A</w:t>
            </w:r>
          </w:p>
        </w:tc>
        <w:tc>
          <w:tcPr>
            <w:tcW w:w="1660" w:type="dxa"/>
            <w:vAlign w:val="bottom"/>
          </w:tcPr>
          <w:p>
            <w:pPr>
              <w:spacing w:after="0"/>
              <w:rPr>
                <w:sz w:val="24"/>
                <w:szCs w:val="24"/>
                <w:color w:val="auto"/>
              </w:rPr>
            </w:pPr>
          </w:p>
        </w:tc>
      </w:tr>
      <w:tr>
        <w:trPr>
          <w:trHeight w:val="166"/>
        </w:trPr>
        <w:tc>
          <w:tcPr>
            <w:tcW w:w="2000" w:type="dxa"/>
            <w:vAlign w:val="bottom"/>
          </w:tcPr>
          <w:p>
            <w:pPr>
              <w:spacing w:after="0"/>
              <w:rPr>
                <w:sz w:val="14"/>
                <w:szCs w:val="14"/>
                <w:color w:val="auto"/>
              </w:rPr>
            </w:pPr>
          </w:p>
        </w:tc>
        <w:tc>
          <w:tcPr>
            <w:tcW w:w="4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660" w:type="dxa"/>
            <w:vAlign w:val="bottom"/>
          </w:tcPr>
          <w:p>
            <w:pPr>
              <w:spacing w:after="0"/>
              <w:rPr>
                <w:sz w:val="14"/>
                <w:szCs w:val="14"/>
                <w:color w:val="auto"/>
              </w:rPr>
            </w:pPr>
          </w:p>
        </w:tc>
      </w:tr>
    </w:tbl>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280" w:hanging="270"/>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9" w:lineRule="exact"/>
        <w:rPr>
          <w:rFonts w:ascii="MS PGothic" w:cs="MS PGothic" w:eastAsia="MS PGothic" w:hAnsi="MS PGothic"/>
          <w:sz w:val="16"/>
          <w:szCs w:val="16"/>
          <w:color w:val="auto"/>
        </w:rPr>
      </w:pPr>
    </w:p>
    <w:p>
      <w:pPr>
        <w:ind w:left="280" w:hanging="270"/>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33" w:lineRule="exact"/>
        <w:rPr>
          <w:rFonts w:ascii="MS PGothic" w:cs="MS PGothic" w:eastAsia="MS PGothic" w:hAnsi="MS PGothic"/>
          <w:sz w:val="16"/>
          <w:szCs w:val="16"/>
          <w:color w:val="auto"/>
        </w:rPr>
      </w:pPr>
    </w:p>
    <w:p>
      <w:pPr>
        <w:ind w:left="280" w:hanging="270"/>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3" w:lineRule="exact"/>
        <w:rPr>
          <w:rFonts w:ascii="MS PGothic" w:cs="MS PGothic" w:eastAsia="MS PGothic" w:hAnsi="MS PGothic"/>
          <w:sz w:val="16"/>
          <w:szCs w:val="16"/>
          <w:color w:val="auto"/>
        </w:rPr>
      </w:pPr>
    </w:p>
    <w:p>
      <w:pPr>
        <w:ind w:left="280" w:hanging="270"/>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6" w:lineRule="exact"/>
        <w:rPr>
          <w:sz w:val="24"/>
          <w:szCs w:val="24"/>
          <w:color w:val="auto"/>
        </w:rPr>
      </w:pPr>
    </w:p>
    <w:tbl>
      <w:tblPr>
        <w:tblLayout w:type="fixed"/>
        <w:tblInd w:w="380" w:type="dxa"/>
        <w:tblCellMar>
          <w:top w:w="0" w:type="dxa"/>
          <w:left w:w="0" w:type="dxa"/>
          <w:bottom w:w="0" w:type="dxa"/>
          <w:right w:w="0" w:type="dxa"/>
        </w:tblCellMar>
      </w:tblPr>
      <w:tr>
        <w:trPr>
          <w:trHeight w:val="154"/>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90"/>
        </w:trPr>
        <w:tc>
          <w:tcPr>
            <w:tcW w:w="3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r>
      <w:tr>
        <w:trPr>
          <w:trHeight w:val="200"/>
        </w:trPr>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$0.001 per share</w:t>
            </w:r>
          </w:p>
        </w:tc>
        <w:tc>
          <w:tcPr>
            <w:tcW w:w="14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XGN</w:t>
            </w:r>
          </w:p>
        </w:tc>
        <w:tc>
          <w:tcPr>
            <w:tcW w:w="14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Global Market</w:t>
            </w:r>
          </w:p>
        </w:tc>
      </w:tr>
    </w:tbl>
    <w:p>
      <w:pPr>
        <w:spacing w:after="0" w:line="217"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5"/>
          <w:szCs w:val="15"/>
          <w:color w:val="auto"/>
        </w:rPr>
        <w:t>☒</w:t>
      </w:r>
    </w:p>
    <w:p>
      <w:pPr>
        <w:spacing w:after="0" w:line="210"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637540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80"/>
          </w:cols>
          <w:pgMar w:left="320" w:top="83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 Looking Statements</w:t>
      </w:r>
    </w:p>
    <w:p>
      <w:pPr>
        <w:spacing w:after="0" w:line="114" w:lineRule="exact"/>
        <w:rPr>
          <w:sz w:val="20"/>
          <w:szCs w:val="20"/>
          <w:color w:val="auto"/>
        </w:rPr>
      </w:pPr>
    </w:p>
    <w:p>
      <w:pPr>
        <w:jc w:val="both"/>
        <w:ind w:right="20" w:firstLine="284"/>
        <w:spacing w:after="0" w:line="235" w:lineRule="auto"/>
        <w:rPr>
          <w:sz w:val="20"/>
          <w:szCs w:val="20"/>
          <w:color w:val="auto"/>
        </w:rPr>
      </w:pPr>
      <w:r>
        <w:rPr>
          <w:rFonts w:ascii="Times New Roman" w:cs="Times New Roman" w:eastAsia="Times New Roman" w:hAnsi="Times New Roman"/>
          <w:sz w:val="16"/>
          <w:szCs w:val="16"/>
          <w:color w:val="auto"/>
        </w:rPr>
        <w:t>All statements, other than those of historical fact, contained in this Current Report on Form 8-K, are forward-looking statements, including preliminary financial information and results of operations for the three months and year ended December 31, 2022 and the Company’s estimates as to if and when it may achieve profitability. The actual results, performance or achievements of Exagen Inc. (the “Company”) could differ materially from those expressed or implied by forward-looking statements the Company makes as a result of a variety of risks and uncertainties, including those related to the preliminary nature of our estimated financial information and results of operations estimates for the three months ended March 31, 2023 and the three months and year ended December 31, 2022, which are subject to completion of the Company’s financial closing procedures and year-end audit; and the factors discussed in the “Risk Factors” section of the Company’s most recent Quarterly Report on Form 10-Q and Annual Report on Form 10-K, as well as any updates to these risk factors filed from time to time in our other filings with the Securities and Exchange Commission (the “SEC”). You are urged to carefully consider all such factors. The forward-looking statements contained herein and the exhibits hereto represent the Company’s views only as of the date of this Current Report on Form 8-K and the Company does not undertake or plan to update or revise any such forward-looking statements to reflect actual results or changes in plans, prospects, assumptions, estimates or other circumstances occurring after the date of this Current Report on Form 8-K except as required by law.</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Conditions.</w:t>
      </w:r>
    </w:p>
    <w:p>
      <w:pPr>
        <w:spacing w:after="0" w:line="137" w:lineRule="exact"/>
        <w:rPr>
          <w:sz w:val="20"/>
          <w:szCs w:val="20"/>
          <w:color w:val="auto"/>
        </w:rPr>
      </w:pPr>
    </w:p>
    <w:p>
      <w:pPr>
        <w:jc w:val="both"/>
        <w:ind w:firstLine="284"/>
        <w:spacing w:after="0" w:line="237" w:lineRule="auto"/>
        <w:rPr>
          <w:sz w:val="20"/>
          <w:szCs w:val="20"/>
          <w:color w:val="auto"/>
        </w:rPr>
      </w:pPr>
      <w:r>
        <w:rPr>
          <w:rFonts w:ascii="Times New Roman" w:cs="Times New Roman" w:eastAsia="Times New Roman" w:hAnsi="Times New Roman"/>
          <w:sz w:val="16"/>
          <w:szCs w:val="16"/>
          <w:color w:val="auto"/>
        </w:rPr>
        <w:t>The Company is providing certain preliminary financial information and results of operations for the three months and year ended December 31, 2022, based on currently available information. The Company’s financial closing procedures with respect to the estimated financial data provided below are not yet complete. These procedures often result in changes to accounts. As a result, the Company’s final results may vary from the preliminary results presented below. The Company undertakes no obligation to update or supplement the information provided below until it releases its financial statements for the three months and year ended December 31, 2022.</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Times New Roman" w:cs="Times New Roman" w:eastAsia="Times New Roman" w:hAnsi="Times New Roman"/>
          <w:sz w:val="16"/>
          <w:szCs w:val="16"/>
          <w:color w:val="auto"/>
        </w:rPr>
        <w:t>The preliminary financial data included in this Current Report on Form 8-K has been prepared by, and is the responsibility of, our management. BDO USA, LLP (“BDO”) has not audited, reviewed, compiled, or applied agreed-upon procedures with respect to the preliminary financial information and results of operations. Accordingly, BDO does not express an opinion or any other form of assurance with respect thereto.</w:t>
      </w:r>
    </w:p>
    <w:p>
      <w:pPr>
        <w:spacing w:after="0" w:line="156" w:lineRule="exact"/>
        <w:rPr>
          <w:sz w:val="20"/>
          <w:szCs w:val="20"/>
          <w:color w:val="auto"/>
        </w:rPr>
      </w:pPr>
    </w:p>
    <w:p>
      <w:pPr>
        <w:jc w:val="both"/>
        <w:ind w:firstLine="284"/>
        <w:spacing w:after="0" w:line="260" w:lineRule="auto"/>
        <w:rPr>
          <w:sz w:val="20"/>
          <w:szCs w:val="20"/>
          <w:color w:val="auto"/>
        </w:rPr>
      </w:pPr>
      <w:r>
        <w:rPr>
          <w:rFonts w:ascii="Times New Roman" w:cs="Times New Roman" w:eastAsia="Times New Roman" w:hAnsi="Times New Roman"/>
          <w:sz w:val="16"/>
          <w:szCs w:val="16"/>
          <w:color w:val="auto"/>
        </w:rPr>
        <w:t>Based on currently available information, the Company estimates that it delivered approximately 33,800 and 135,000 units of its lead testing product, AVISE® CTD, during the three months and year ended December 31, 2022, respectively.</w:t>
      </w:r>
    </w:p>
    <w:p>
      <w:pPr>
        <w:spacing w:after="0" w:line="145" w:lineRule="exact"/>
        <w:rPr>
          <w:sz w:val="20"/>
          <w:szCs w:val="20"/>
          <w:color w:val="auto"/>
        </w:rPr>
      </w:pPr>
    </w:p>
    <w:p>
      <w:pPr>
        <w:jc w:val="both"/>
        <w:ind w:firstLine="284"/>
        <w:spacing w:after="0" w:line="246" w:lineRule="auto"/>
        <w:rPr>
          <w:sz w:val="20"/>
          <w:szCs w:val="20"/>
          <w:color w:val="auto"/>
        </w:rPr>
      </w:pPr>
      <w:r>
        <w:rPr>
          <w:rFonts w:ascii="Times New Roman" w:cs="Times New Roman" w:eastAsia="Times New Roman" w:hAnsi="Times New Roman"/>
          <w:sz w:val="16"/>
          <w:szCs w:val="16"/>
          <w:color w:val="auto"/>
        </w:rPr>
        <w:t>The information provided in this Item 2.02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except as expressly set forth by specific reference in such filing.</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26" w:lineRule="exact"/>
        <w:rPr>
          <w:sz w:val="20"/>
          <w:szCs w:val="20"/>
          <w:color w:val="auto"/>
        </w:rPr>
      </w:pPr>
    </w:p>
    <w:p>
      <w:pPr>
        <w:jc w:val="both"/>
        <w:ind w:right="20" w:firstLine="284"/>
        <w:spacing w:after="0" w:line="260" w:lineRule="auto"/>
        <w:rPr>
          <w:sz w:val="20"/>
          <w:szCs w:val="20"/>
          <w:color w:val="auto"/>
        </w:rPr>
      </w:pPr>
      <w:r>
        <w:rPr>
          <w:rFonts w:ascii="Times New Roman" w:cs="Times New Roman" w:eastAsia="Times New Roman" w:hAnsi="Times New Roman"/>
          <w:sz w:val="16"/>
          <w:szCs w:val="16"/>
          <w:color w:val="auto"/>
        </w:rPr>
        <w:t>On January 9, 2023, the Company updated its corporate presentation slides (the “Corporate Presentation Slides”). A copy of the Corporate Presentation Slides are furnished herewith as Exhibit 99.1.</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Times New Roman" w:cs="Times New Roman" w:eastAsia="Times New Roman" w:hAnsi="Times New Roman"/>
          <w:sz w:val="16"/>
          <w:szCs w:val="16"/>
          <w:color w:val="auto"/>
        </w:rPr>
        <w:t>The information provided in this Item 7.01 of this Current Report on Form 8-K shall not be deemed “filed” for purposes of Section 18 of the Exchange Act, or otherwise subject to the liabilities of that section, nor shall it be deemed incorporated by reference in any filing under the Securities Act except as expressly set forth by specific reference in such filing.</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information included in the Corporate Presentation Slides is “filed” for purposes of Section 18 of the Exchange Act:</w:t>
      </w:r>
    </w:p>
    <w:p>
      <w:pPr>
        <w:spacing w:after="0" w:line="183" w:lineRule="exact"/>
        <w:rPr>
          <w:sz w:val="20"/>
          <w:szCs w:val="20"/>
          <w:color w:val="auto"/>
        </w:rPr>
      </w:pPr>
    </w:p>
    <w:p>
      <w:pPr>
        <w:ind w:left="560" w:hanging="282"/>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included in Item 2.02 of this Current Report on Form 8-K is incorporated by reference into this Item 8.01.</w:t>
      </w:r>
    </w:p>
    <w:p>
      <w:pPr>
        <w:spacing w:after="0" w:line="8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2023, the Company expects revenue to be in the range of $8.2 million to $9.2 million.</w:t>
      </w:r>
    </w:p>
    <w:p>
      <w:pPr>
        <w:spacing w:after="0" w:line="8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a gross margin of 60%, the Company estimates that it can achieve profitability if it obtains annual revenues of $75 million.</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579120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7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60" w:type="dxa"/>
            <w:vAlign w:val="bottom"/>
          </w:tcPr>
          <w:p>
            <w:pPr>
              <w:spacing w:after="0"/>
              <w:rPr>
                <w:sz w:val="12"/>
                <w:szCs w:val="12"/>
                <w:color w:val="auto"/>
              </w:rPr>
            </w:pPr>
          </w:p>
        </w:tc>
        <w:tc>
          <w:tcPr>
            <w:tcW w:w="9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1"/>
        </w:trPr>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No.</w:t>
            </w:r>
          </w:p>
        </w:tc>
        <w:tc>
          <w:tcPr>
            <w:tcW w:w="60" w:type="dxa"/>
            <w:vAlign w:val="bottom"/>
          </w:tcPr>
          <w:p>
            <w:pPr>
              <w:spacing w:after="0"/>
              <w:rPr>
                <w:sz w:val="14"/>
                <w:szCs w:val="14"/>
                <w:color w:val="auto"/>
              </w:rPr>
            </w:pPr>
          </w:p>
        </w:tc>
        <w:tc>
          <w:tcPr>
            <w:tcW w:w="9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ind w:left="60"/>
              <w:spacing w:after="0" w:line="162" w:lineRule="exact"/>
              <w:rPr>
                <w:sz w:val="20"/>
                <w:szCs w:val="20"/>
                <w:color w:val="auto"/>
              </w:rPr>
            </w:pPr>
            <w:r>
              <w:rPr>
                <w:rFonts w:ascii="Times New Roman" w:cs="Times New Roman" w:eastAsia="Times New Roman" w:hAnsi="Times New Roman"/>
                <w:sz w:val="16"/>
                <w:szCs w:val="16"/>
                <w:color w:val="auto"/>
              </w:rPr>
              <w:t>99.1</w:t>
            </w:r>
          </w:p>
        </w:tc>
        <w:tc>
          <w:tcPr>
            <w:tcW w:w="2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620" w:type="dxa"/>
            <w:vAlign w:val="bottom"/>
            <w:tcBorders>
              <w:top w:val="single" w:sz="8" w:color="auto"/>
            </w:tcBorders>
            <w:gridSpan w:val="2"/>
          </w:tcPr>
          <w:p>
            <w:pPr>
              <w:spacing w:after="0" w:line="162" w:lineRule="exact"/>
              <w:rPr>
                <w:sz w:val="20"/>
                <w:szCs w:val="20"/>
                <w:color w:val="auto"/>
              </w:rPr>
            </w:pPr>
            <w:r>
              <w:rPr>
                <w:rFonts w:ascii="Times New Roman" w:cs="Times New Roman" w:eastAsia="Times New Roman" w:hAnsi="Times New Roman"/>
                <w:sz w:val="16"/>
                <w:szCs w:val="16"/>
                <w:color w:val="0000FF"/>
              </w:rPr>
              <w:t>Corporate Presentation</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0" w:type="dxa"/>
            <w:vAlign w:val="bottom"/>
          </w:tcPr>
          <w:p>
            <w:pPr>
              <w:spacing w:after="0"/>
              <w:rPr>
                <w:sz w:val="1"/>
                <w:szCs w:val="1"/>
                <w:color w:val="auto"/>
              </w:rPr>
            </w:pPr>
          </w:p>
        </w:tc>
      </w:tr>
      <w:tr>
        <w:trPr>
          <w:trHeight w:val="914"/>
        </w:trPr>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w:t>
      </w:r>
    </w:p>
    <w:p>
      <w:pPr>
        <w:spacing w:after="0" w:line="287" w:lineRule="exact"/>
        <w:rPr>
          <w:sz w:val="20"/>
          <w:szCs w:val="20"/>
          <w:color w:val="auto"/>
        </w:rPr>
      </w:pPr>
    </w:p>
    <w:tbl>
      <w:tblPr>
        <w:tblLayout w:type="fixed"/>
        <w:tblInd w:w="1080" w:type="dxa"/>
        <w:tblCellMar>
          <w:top w:w="0" w:type="dxa"/>
          <w:left w:w="0" w:type="dxa"/>
          <w:bottom w:w="0" w:type="dxa"/>
          <w:right w:w="0" w:type="dxa"/>
        </w:tblCellMar>
      </w:tblPr>
      <w:tr>
        <w:trPr>
          <w:trHeight w:val="208"/>
        </w:trPr>
        <w:tc>
          <w:tcPr>
            <w:tcW w:w="3120" w:type="dxa"/>
            <w:vAlign w:val="bottom"/>
          </w:tcPr>
          <w:p>
            <w:pPr>
              <w:spacing w:after="0"/>
              <w:rPr>
                <w:sz w:val="18"/>
                <w:szCs w:val="18"/>
                <w:color w:val="auto"/>
              </w:rPr>
            </w:pPr>
          </w:p>
        </w:tc>
        <w:tc>
          <w:tcPr>
            <w:tcW w:w="6480" w:type="dxa"/>
            <w:vAlign w:val="bottom"/>
            <w:gridSpan w:val="2"/>
          </w:tcPr>
          <w:p>
            <w:pPr>
              <w:ind w:left="1720"/>
              <w:spacing w:after="0"/>
              <w:rPr>
                <w:sz w:val="20"/>
                <w:szCs w:val="20"/>
                <w:color w:val="auto"/>
              </w:rPr>
            </w:pPr>
            <w:r>
              <w:rPr>
                <w:rFonts w:ascii="Times New Roman" w:cs="Times New Roman" w:eastAsia="Times New Roman" w:hAnsi="Times New Roman"/>
                <w:sz w:val="16"/>
                <w:szCs w:val="16"/>
                <w:b w:val="1"/>
                <w:bCs w:val="1"/>
                <w:color w:val="auto"/>
              </w:rPr>
              <w:t>EXAGEN INC.</w:t>
            </w:r>
          </w:p>
        </w:tc>
      </w:tr>
      <w:tr>
        <w:trPr>
          <w:trHeight w:val="44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9, 2023</w:t>
            </w:r>
          </w:p>
        </w:tc>
        <w:tc>
          <w:tcPr>
            <w:tcW w:w="23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Kamal Adawi</w:t>
            </w:r>
          </w:p>
        </w:tc>
      </w:tr>
      <w:tr>
        <w:trPr>
          <w:trHeight w:val="204"/>
        </w:trPr>
        <w:tc>
          <w:tcPr>
            <w:tcW w:w="3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 Kamal Adawi</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duly authorized.</w:t>
            </w:r>
          </w:p>
        </w:tc>
        <w:tc>
          <w:tcPr>
            <w:tcW w:w="4600" w:type="dxa"/>
            <w:vAlign w:val="bottom"/>
          </w:tcPr>
          <w:p>
            <w:pPr>
              <w:ind w:left="2760"/>
              <w:spacing w:after="0"/>
              <w:rPr>
                <w:sz w:val="20"/>
                <w:szCs w:val="20"/>
                <w:color w:val="auto"/>
              </w:rPr>
            </w:pPr>
            <w:r>
              <w:rPr>
                <w:rFonts w:ascii="Times New Roman" w:cs="Times New Roman" w:eastAsia="Times New Roman" w:hAnsi="Times New Roman"/>
                <w:sz w:val="16"/>
                <w:szCs w:val="16"/>
                <w:color w:val="auto"/>
                <w:w w:val="96"/>
              </w:rPr>
              <w:t>Title: Chief Financial Officer</w:t>
            </w:r>
          </w:p>
        </w:tc>
        <w:tc>
          <w:tcPr>
            <w:tcW w:w="0" w:type="dxa"/>
            <w:vAlign w:val="bottom"/>
          </w:tcPr>
          <w:p>
            <w:pPr>
              <w:spacing w:after="0"/>
              <w:rPr>
                <w:sz w:val="1"/>
                <w:szCs w:val="1"/>
                <w:color w:val="auto"/>
              </w:rPr>
            </w:pPr>
          </w:p>
        </w:tc>
      </w:tr>
      <w:tr>
        <w:trPr>
          <w:trHeight w:val="84"/>
        </w:trPr>
        <w:tc>
          <w:tcPr>
            <w:tcW w:w="3760" w:type="dxa"/>
            <w:vAlign w:val="bottom"/>
            <w:vMerge w:val="continue"/>
          </w:tcPr>
          <w:p>
            <w:pPr>
              <w:spacing w:after="0"/>
              <w:rPr>
                <w:sz w:val="7"/>
                <w:szCs w:val="7"/>
                <w:color w:val="auto"/>
              </w:rPr>
            </w:pPr>
          </w:p>
        </w:tc>
        <w:tc>
          <w:tcPr>
            <w:tcW w:w="4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807" w:right="619" w:bottom="1440" w:gutter="0" w:footer="0" w:header="0"/>
        </w:sectPr>
      </w:pPr>
    </w:p>
    <w:bookmarkStart w:id="4" w:name="page5"/>
    <w:bookmarkEnd w:id="4"/>
    <w:p>
      <w:pPr>
        <w:ind w:left="91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156210</wp:posOffset>
            </wp:positionV>
            <wp:extent cx="7204075" cy="4055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0" w:num="1">
            <w:col w:w="10140"/>
          </w:cols>
          <w:pgMar w:left="1440" w:top="692"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2023-01-09T08:03:48Z</dcterms:created>
  <dcterms:modified xsi:type="dcterms:W3CDTF">2023-01-09T08:03:48Z</dcterms:modified>
</cp:coreProperties>
</file>