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602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602480"/>
                    </a:xfrm>
                    <a:prstGeom prst="rect">
                      <a:avLst/>
                    </a:prstGeom>
                    <a:noFill/>
                  </pic:spPr>
                </pic:pic>
              </a:graphicData>
            </a:graphic>
          </wp:anchor>
        </w:drawing>
      </w:r>
    </w:p>
    <w:p>
      <w:pPr>
        <w:spacing w:after="0" w:line="108"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Birk Brian</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527 DON GASPAR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EXAGEN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XGN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06/16/2022</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0"/>
        <w:spacing w:after="0"/>
        <w:tabs>
          <w:tab w:leader="none" w:pos="499" w:val="left"/>
          <w:tab w:leader="none" w:pos="2059"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89"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2"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p>
      <w:pPr>
        <w:spacing w:after="0" w:line="23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SANTA FE</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NM</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87505</w:t>
            </w:r>
          </w:p>
        </w:tc>
      </w:tr>
      <w:tr>
        <w:trPr>
          <w:trHeight w:val="149"/>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0" w:lineRule="auto"/>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79" w:lineRule="exact"/>
        <w:rPr>
          <w:sz w:val="24"/>
          <w:szCs w:val="24"/>
          <w:color w:val="auto"/>
        </w:rPr>
      </w:pPr>
    </w:p>
    <w:p>
      <w:pPr>
        <w:sectPr>
          <w:pgSz w:w="11900" w:h="16838" w:orient="portrait"/>
          <w:cols w:equalWidth="0" w:num="2">
            <w:col w:w="3760" w:space="160"/>
            <w:col w:w="716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76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76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7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9,000</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76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Option(right</w:t>
            </w:r>
          </w:p>
        </w:tc>
        <w:tc>
          <w:tcPr>
            <w:tcW w:w="78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5.25</w:t>
            </w:r>
          </w:p>
        </w:tc>
        <w:tc>
          <w:tcPr>
            <w:tcW w:w="1080" w:type="dxa"/>
            <w:vAlign w:val="bottom"/>
            <w:vMerge w:val="restart"/>
          </w:tcPr>
          <w:p>
            <w:pPr>
              <w:jc w:val="right"/>
              <w:ind w:right="180"/>
              <w:spacing w:after="0" w:line="142" w:lineRule="exact"/>
              <w:rPr>
                <w:sz w:val="20"/>
                <w:szCs w:val="20"/>
                <w:color w:val="auto"/>
              </w:rPr>
            </w:pPr>
            <w:r>
              <w:rPr>
                <w:rFonts w:ascii="Times New Roman" w:cs="Times New Roman" w:eastAsia="Times New Roman" w:hAnsi="Times New Roman"/>
                <w:sz w:val="13"/>
                <w:szCs w:val="13"/>
                <w:color w:val="0000FF"/>
              </w:rPr>
              <w:t>06/16/2022</w:t>
            </w:r>
          </w:p>
        </w:tc>
        <w:tc>
          <w:tcPr>
            <w:tcW w:w="1080" w:type="dxa"/>
            <w:vAlign w:val="bottom"/>
          </w:tcPr>
          <w:p>
            <w:pPr>
              <w:spacing w:after="0"/>
              <w:rPr>
                <w:sz w:val="5"/>
                <w:szCs w:val="5"/>
                <w:color w:val="auto"/>
              </w:rPr>
            </w:pPr>
          </w:p>
        </w:tc>
        <w:tc>
          <w:tcPr>
            <w:tcW w:w="800" w:type="dxa"/>
            <w:vAlign w:val="bottom"/>
            <w:vMerge w:val="restart"/>
          </w:tcPr>
          <w:p>
            <w:pPr>
              <w:ind w:left="18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vMerge w:val="restart"/>
          </w:tcPr>
          <w:p>
            <w:pPr>
              <w:ind w:left="100"/>
              <w:spacing w:after="0" w:line="142" w:lineRule="exact"/>
              <w:rPr>
                <w:sz w:val="20"/>
                <w:szCs w:val="20"/>
                <w:color w:val="auto"/>
              </w:rPr>
            </w:pPr>
            <w:r>
              <w:rPr>
                <w:rFonts w:ascii="Times New Roman" w:cs="Times New Roman" w:eastAsia="Times New Roman" w:hAnsi="Times New Roman"/>
                <w:sz w:val="13"/>
                <w:szCs w:val="13"/>
                <w:color w:val="0000FF"/>
              </w:rPr>
              <w:t>9,000</w:t>
            </w:r>
          </w:p>
        </w:tc>
        <w:tc>
          <w:tcPr>
            <w:tcW w:w="26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06/15/2032</w:t>
            </w: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9,000</w:t>
            </w:r>
          </w:p>
        </w:tc>
        <w:tc>
          <w:tcPr>
            <w:tcW w:w="72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6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to buy)</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76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4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entire number of shares subject to this option becomes fully vested and exercisable on the first to occur of (a) the first anniversary of the grant date or (b) the next occurring annual meeting of the Issuer's stockholders, subject to the Reporting Person's continued service on the board of directors of the Issuer through such vesting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Brian Birk</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06/21/2022</w:t>
            </w:r>
          </w:p>
        </w:tc>
      </w:tr>
      <w:tr>
        <w:trPr>
          <w:trHeight w:val="20"/>
        </w:trPr>
        <w:tc>
          <w:tcPr>
            <w:tcW w:w="90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16007" TargetMode="External"/><Relationship Id="rId13" Type="http://schemas.openxmlformats.org/officeDocument/2006/relationships/hyperlink" Target="http://www.sec.gov/cgi-bin/browse-edgar?action=getcompany&amp;CIK=00012747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2022-06-21T07:34:00Z</dcterms:created>
  <dcterms:modified xsi:type="dcterms:W3CDTF">2022-06-21T07:34:00Z</dcterms:modified>
</cp:coreProperties>
</file>