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22, 2021</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253" w:right="339" w:bottom="1440" w:gutter="0" w:footer="0" w:header="0"/>
        </w:sectPr>
      </w:pPr>
    </w:p>
    <w:p>
      <w:pPr>
        <w:spacing w:after="0" w:line="29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001-39049</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20-0434866</w:t>
      </w:r>
    </w:p>
    <w:p>
      <w:pPr>
        <w:spacing w:after="0" w:line="47" w:lineRule="exact"/>
        <w:rPr>
          <w:sz w:val="24"/>
          <w:szCs w:val="24"/>
          <w:color w:val="auto"/>
        </w:rPr>
      </w:pPr>
    </w:p>
    <w:p>
      <w:pPr>
        <w:sectPr>
          <w:pgSz w:w="11900" w:h="16838" w:orient="portrait"/>
          <w:cols w:equalWidth="0" w:num="3">
            <w:col w:w="4620" w:space="720"/>
            <w:col w:w="2620" w:space="720"/>
            <w:col w:w="2560"/>
          </w:cols>
          <w:pgMar w:left="320" w:top="1253" w:right="339" w:bottom="1440" w:gutter="0" w:footer="0" w:header="0"/>
          <w:type w:val="continuous"/>
        </w:sect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00" w:space="720"/>
            <w:col w:w="2520" w:space="720"/>
            <w:col w:w="2680"/>
          </w:cols>
          <w:pgMar w:left="320" w:top="1253" w:right="339" w:bottom="1440" w:gutter="0" w:footer="0" w:header="0"/>
          <w:type w:val="continuous"/>
        </w:sectPr>
      </w:pP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1261 Liberty Way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(760) 560-1501</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include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253" w:right="339" w:bottom="1440" w:gutter="0" w:footer="0" w:header="0"/>
          <w:type w:val="continuous"/>
        </w:sectPr>
      </w:pP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8"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22"/>
        </w:trPr>
        <w:tc>
          <w:tcPr>
            <w:tcW w:w="3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7"/>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tc>
        <w:tc>
          <w:tcPr>
            <w:tcW w:w="16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16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bl>
    <w:p>
      <w:pPr>
        <w:spacing w:after="0" w:line="166"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pacing w:after="0" w:line="229" w:lineRule="exact"/>
        <w:rPr>
          <w:sz w:val="24"/>
          <w:szCs w:val="24"/>
          <w:color w:val="auto"/>
        </w:rPr>
      </w:pPr>
    </w:p>
    <w:p>
      <w:pPr>
        <w:ind w:right="58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240"/>
          </w:cols>
          <w:pgMar w:left="320" w:top="125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Effective March 22, 2021, the Board of Directors of Exagen Inc. (the “Company”) adopted an amendment and restatement of the Company’s bylaws (the “Amended and Restated Bylaws”) pursuant to which a new Article XI was added, which provides that, unless the Company consents in writing to the selection of an alternative forum, the federal district courts of the United States of America shall be the exclusive forum for the resolution of any complaint asserting a cause of action arising under the Securities Act of 1933, as amended.</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amendments made in the Amended and Restated Bylaws is qualified by reference to the Amended and Restated Bylaws, a copy of which is attached hereto as Exhibit 3.1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0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44"/>
        </w:trPr>
        <w:tc>
          <w:tcPr>
            <w:tcW w:w="96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tcPr>
          <w:p>
            <w:pPr>
              <w:spacing w:after="0"/>
              <w:rPr>
                <w:sz w:val="24"/>
                <w:szCs w:val="24"/>
                <w:color w:val="auto"/>
              </w:rPr>
            </w:pPr>
          </w:p>
        </w:tc>
        <w:tc>
          <w:tcPr>
            <w:tcW w:w="334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w:anchor="page4">
              <w:r>
                <w:rPr>
                  <w:rFonts w:ascii="Times New Roman" w:cs="Times New Roman" w:eastAsia="Times New Roman" w:hAnsi="Times New Roman"/>
                  <w:sz w:val="18"/>
                  <w:szCs w:val="18"/>
                  <w:color w:val="0000FF"/>
                  <w:w w:val="98"/>
                </w:rPr>
                <w:t>Amended and Restated Bylaws of Exagen Inc.</w:t>
              </w:r>
            </w:hyperlink>
          </w:p>
        </w:tc>
      </w:tr>
    </w:tbl>
    <w:p>
      <w:pPr>
        <w:sectPr>
          <w:pgSz w:w="11900" w:h="16838" w:orient="portrait"/>
          <w:cols w:equalWidth="0" w:num="1">
            <w:col w:w="11180"/>
          </w:cols>
          <w:pgMar w:left="320" w:top="1332" w:right="3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Times New Roman" w:cs="Times New Roman" w:eastAsia="Times New Roman" w:hAnsi="Times New Roman"/>
          <w:sz w:val="18"/>
          <w:szCs w:val="18"/>
          <w:color w:val="auto"/>
        </w:rPr>
        <w:t>Date: March 22,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2837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Kamal Adawi</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1093" w:right="379" w:bottom="1440" w:gutter="0" w:footer="0" w:header="0"/>
        </w:sectPr>
      </w:pPr>
    </w:p>
    <w:bookmarkStart w:id="3" w:name="page4"/>
    <w:bookmarkEnd w:id="3"/>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AMENDED AND RESTATED</w:t>
      </w:r>
    </w:p>
    <w:p>
      <w:pPr>
        <w:spacing w:after="0" w:line="2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BYLAWS</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EXAGEN INC.</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 Delaware corporation)</w:t>
      </w:r>
    </w:p>
    <w:p>
      <w:pPr>
        <w:sectPr>
          <w:pgSz w:w="11900" w:h="16838" w:orient="portrait"/>
          <w:cols w:equalWidth="0" w:num="1">
            <w:col w:w="10120"/>
          </w:cols>
          <w:pgMar w:left="1440" w:top="1440" w:right="339" w:bottom="1440" w:gutter="0" w:footer="0" w:header="0"/>
        </w:sectPr>
      </w:pPr>
    </w:p>
    <w:bookmarkStart w:id="4" w:name="page5"/>
    <w:bookmarkEnd w:id="4"/>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40" w:type="dxa"/>
            <w:vAlign w:val="bottom"/>
          </w:tcPr>
          <w:p>
            <w:pPr>
              <w:spacing w:after="0"/>
              <w:rPr>
                <w:sz w:val="24"/>
                <w:szCs w:val="24"/>
                <w:color w:val="auto"/>
              </w:rPr>
            </w:pPr>
          </w:p>
        </w:tc>
        <w:tc>
          <w:tcPr>
            <w:tcW w:w="8220" w:type="dxa"/>
            <w:vAlign w:val="bottom"/>
          </w:tcPr>
          <w:p>
            <w:pPr>
              <w:ind w:left="338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77"/>
        </w:trPr>
        <w:tc>
          <w:tcPr>
            <w:tcW w:w="104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1360" w:type="dxa"/>
            <w:vAlign w:val="bottom"/>
            <w:gridSpan w:val="4"/>
          </w:tcPr>
          <w:p>
            <w:pPr>
              <w:ind w:left="740"/>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467"/>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 - CORPORATE OFFICES</w:t>
            </w:r>
          </w:p>
        </w:tc>
        <w:tc>
          <w:tcPr>
            <w:tcW w:w="1260" w:type="dxa"/>
            <w:vAlign w:val="bottom"/>
            <w:gridSpan w:val="2"/>
          </w:tcPr>
          <w:p>
            <w:pPr>
              <w:ind w:left="1160"/>
              <w:spacing w:after="0"/>
              <w:rPr>
                <w:sz w:val="20"/>
                <w:szCs w:val="20"/>
                <w:color w:val="auto"/>
              </w:rPr>
            </w:pPr>
            <w:r>
              <w:rPr>
                <w:rFonts w:ascii="Times New Roman" w:cs="Times New Roman" w:eastAsia="Times New Roman" w:hAnsi="Times New Roman"/>
                <w:sz w:val="20"/>
                <w:szCs w:val="20"/>
                <w:color w:val="auto"/>
                <w:w w:val="79"/>
              </w:rPr>
              <w:t>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1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1.1</w:t>
            </w:r>
          </w:p>
        </w:tc>
        <w:tc>
          <w:tcPr>
            <w:tcW w:w="8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REGISTERED OFFICE</w:t>
            </w:r>
          </w:p>
        </w:tc>
        <w:tc>
          <w:tcPr>
            <w:tcW w:w="1260" w:type="dxa"/>
            <w:vAlign w:val="bottom"/>
            <w:gridSpan w:val="2"/>
          </w:tcPr>
          <w:p>
            <w:pPr>
              <w:ind w:left="1160"/>
              <w:spacing w:after="0"/>
              <w:rPr>
                <w:sz w:val="20"/>
                <w:szCs w:val="20"/>
                <w:color w:val="auto"/>
              </w:rPr>
            </w:pPr>
            <w:r>
              <w:rPr>
                <w:rFonts w:ascii="Times New Roman" w:cs="Times New Roman" w:eastAsia="Times New Roman" w:hAnsi="Times New Roman"/>
                <w:sz w:val="20"/>
                <w:szCs w:val="20"/>
                <w:color w:val="auto"/>
                <w:w w:val="79"/>
              </w:rPr>
              <w:t>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1.2</w:t>
            </w:r>
          </w:p>
        </w:tc>
        <w:tc>
          <w:tcPr>
            <w:tcW w:w="8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OFFICES</w:t>
            </w:r>
          </w:p>
        </w:tc>
        <w:tc>
          <w:tcPr>
            <w:tcW w:w="1260" w:type="dxa"/>
            <w:vAlign w:val="bottom"/>
            <w:gridSpan w:val="2"/>
          </w:tcPr>
          <w:p>
            <w:pPr>
              <w:ind w:left="1160"/>
              <w:spacing w:after="0"/>
              <w:rPr>
                <w:sz w:val="20"/>
                <w:szCs w:val="20"/>
                <w:color w:val="auto"/>
              </w:rPr>
            </w:pPr>
            <w:r>
              <w:rPr>
                <w:rFonts w:ascii="Times New Roman" w:cs="Times New Roman" w:eastAsia="Times New Roman" w:hAnsi="Times New Roman"/>
                <w:sz w:val="20"/>
                <w:szCs w:val="20"/>
                <w:color w:val="auto"/>
                <w:w w:val="79"/>
              </w:rPr>
              <w:t>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II - MEETINGS OF STOCKHOLDERS</w:t>
            </w:r>
          </w:p>
        </w:tc>
        <w:tc>
          <w:tcPr>
            <w:tcW w:w="1260" w:type="dxa"/>
            <w:vAlign w:val="bottom"/>
            <w:gridSpan w:val="2"/>
          </w:tcPr>
          <w:p>
            <w:pPr>
              <w:ind w:left="1160"/>
              <w:spacing w:after="0"/>
              <w:rPr>
                <w:sz w:val="20"/>
                <w:szCs w:val="20"/>
                <w:color w:val="auto"/>
              </w:rPr>
            </w:pPr>
            <w:r>
              <w:rPr>
                <w:rFonts w:ascii="Times New Roman" w:cs="Times New Roman" w:eastAsia="Times New Roman" w:hAnsi="Times New Roman"/>
                <w:sz w:val="20"/>
                <w:szCs w:val="20"/>
                <w:color w:val="auto"/>
                <w:w w:val="79"/>
              </w:rPr>
              <w:t>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1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2.1</w:t>
            </w:r>
          </w:p>
        </w:tc>
        <w:tc>
          <w:tcPr>
            <w:tcW w:w="8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PLACE OF MEETINGS</w:t>
            </w:r>
          </w:p>
        </w:tc>
        <w:tc>
          <w:tcPr>
            <w:tcW w:w="1260" w:type="dxa"/>
            <w:vAlign w:val="bottom"/>
            <w:gridSpan w:val="2"/>
          </w:tcPr>
          <w:p>
            <w:pPr>
              <w:ind w:left="1160"/>
              <w:spacing w:after="0"/>
              <w:rPr>
                <w:sz w:val="20"/>
                <w:szCs w:val="20"/>
                <w:color w:val="auto"/>
              </w:rPr>
            </w:pPr>
            <w:r>
              <w:rPr>
                <w:rFonts w:ascii="Times New Roman" w:cs="Times New Roman" w:eastAsia="Times New Roman" w:hAnsi="Times New Roman"/>
                <w:sz w:val="20"/>
                <w:szCs w:val="20"/>
                <w:color w:val="auto"/>
                <w:w w:val="79"/>
              </w:rPr>
              <w:t>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2.2</w:t>
            </w:r>
          </w:p>
        </w:tc>
        <w:tc>
          <w:tcPr>
            <w:tcW w:w="8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ANNUAL MEETING</w:t>
            </w:r>
          </w:p>
        </w:tc>
        <w:tc>
          <w:tcPr>
            <w:tcW w:w="1260" w:type="dxa"/>
            <w:vAlign w:val="bottom"/>
            <w:gridSpan w:val="2"/>
          </w:tcPr>
          <w:p>
            <w:pPr>
              <w:ind w:left="1160"/>
              <w:spacing w:after="0"/>
              <w:rPr>
                <w:sz w:val="20"/>
                <w:szCs w:val="20"/>
                <w:color w:val="auto"/>
              </w:rPr>
            </w:pPr>
            <w:r>
              <w:rPr>
                <w:rFonts w:ascii="Times New Roman" w:cs="Times New Roman" w:eastAsia="Times New Roman" w:hAnsi="Times New Roman"/>
                <w:sz w:val="20"/>
                <w:szCs w:val="20"/>
                <w:color w:val="auto"/>
                <w:w w:val="79"/>
              </w:rPr>
              <w:t>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1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2.3</w:t>
            </w:r>
          </w:p>
        </w:tc>
        <w:tc>
          <w:tcPr>
            <w:tcW w:w="8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SPECIAL MEETING</w:t>
            </w:r>
          </w:p>
        </w:tc>
        <w:tc>
          <w:tcPr>
            <w:tcW w:w="1260" w:type="dxa"/>
            <w:vAlign w:val="bottom"/>
            <w:gridSpan w:val="2"/>
          </w:tcPr>
          <w:p>
            <w:pPr>
              <w:ind w:left="1160"/>
              <w:spacing w:after="0"/>
              <w:rPr>
                <w:sz w:val="20"/>
                <w:szCs w:val="20"/>
                <w:color w:val="auto"/>
              </w:rPr>
            </w:pPr>
            <w:r>
              <w:rPr>
                <w:rFonts w:ascii="Times New Roman" w:cs="Times New Roman" w:eastAsia="Times New Roman" w:hAnsi="Times New Roman"/>
                <w:sz w:val="20"/>
                <w:szCs w:val="20"/>
                <w:color w:val="auto"/>
                <w:w w:val="79"/>
              </w:rPr>
              <w:t>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2.4</w:t>
            </w:r>
          </w:p>
        </w:tc>
        <w:tc>
          <w:tcPr>
            <w:tcW w:w="8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ADVANCE NOTICE PROCEDURES FOR BUSINESS BROUGHT BEFORE A MEETING</w:t>
            </w:r>
          </w:p>
        </w:tc>
        <w:tc>
          <w:tcPr>
            <w:tcW w:w="1260" w:type="dxa"/>
            <w:vAlign w:val="bottom"/>
            <w:gridSpan w:val="2"/>
          </w:tcPr>
          <w:p>
            <w:pPr>
              <w:ind w:left="1160"/>
              <w:spacing w:after="0"/>
              <w:rPr>
                <w:sz w:val="20"/>
                <w:szCs w:val="20"/>
                <w:color w:val="auto"/>
              </w:rPr>
            </w:pPr>
            <w:r>
              <w:rPr>
                <w:rFonts w:ascii="Times New Roman" w:cs="Times New Roman" w:eastAsia="Times New Roman" w:hAnsi="Times New Roman"/>
                <w:sz w:val="20"/>
                <w:szCs w:val="20"/>
                <w:color w:val="auto"/>
                <w:w w:val="79"/>
              </w:rPr>
              <w:t>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2.5</w:t>
            </w:r>
          </w:p>
        </w:tc>
        <w:tc>
          <w:tcPr>
            <w:tcW w:w="8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ADVANCE NOTICE PROCEDURES FOR NOMINATIONS OF DIRECTORS</w:t>
            </w:r>
          </w:p>
        </w:tc>
        <w:tc>
          <w:tcPr>
            <w:tcW w:w="1260" w:type="dxa"/>
            <w:vAlign w:val="bottom"/>
            <w:gridSpan w:val="2"/>
          </w:tcPr>
          <w:p>
            <w:pPr>
              <w:ind w:left="1160"/>
              <w:spacing w:after="0"/>
              <w:rPr>
                <w:sz w:val="20"/>
                <w:szCs w:val="20"/>
                <w:color w:val="auto"/>
              </w:rPr>
            </w:pPr>
            <w:r>
              <w:rPr>
                <w:rFonts w:ascii="Times New Roman" w:cs="Times New Roman" w:eastAsia="Times New Roman" w:hAnsi="Times New Roman"/>
                <w:sz w:val="20"/>
                <w:szCs w:val="20"/>
                <w:color w:val="auto"/>
                <w:w w:val="79"/>
              </w:rPr>
              <w:t>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1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2.6</w:t>
            </w:r>
          </w:p>
        </w:tc>
        <w:tc>
          <w:tcPr>
            <w:tcW w:w="8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NOTICE OF STOCKHOLDERS’ MEETINGS</w:t>
            </w:r>
          </w:p>
        </w:tc>
        <w:tc>
          <w:tcPr>
            <w:tcW w:w="134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w w:val="79"/>
              </w:rPr>
              <w:t>11</w:t>
            </w: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2.7</w:t>
            </w:r>
          </w:p>
        </w:tc>
        <w:tc>
          <w:tcPr>
            <w:tcW w:w="8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MANNER OF GIVING NOTICE; AFFIDAVIT OF NOTICE</w:t>
            </w:r>
          </w:p>
        </w:tc>
        <w:tc>
          <w:tcPr>
            <w:tcW w:w="1360" w:type="dxa"/>
            <w:vAlign w:val="bottom"/>
            <w:gridSpan w:val="4"/>
          </w:tcPr>
          <w:p>
            <w:pPr>
              <w:ind w:left="1160"/>
              <w:spacing w:after="0"/>
              <w:rPr>
                <w:rFonts w:ascii="Times New Roman" w:cs="Times New Roman" w:eastAsia="Times New Roman" w:hAnsi="Times New Roman"/>
                <w:sz w:val="20"/>
                <w:szCs w:val="20"/>
                <w:color w:val="auto"/>
                <w:w w:val="89"/>
              </w:rPr>
            </w:pPr>
            <w:hyperlink w:anchor="page9">
              <w:r>
                <w:rPr>
                  <w:rFonts w:ascii="Times New Roman" w:cs="Times New Roman" w:eastAsia="Times New Roman" w:hAnsi="Times New Roman"/>
                  <w:sz w:val="20"/>
                  <w:szCs w:val="20"/>
                  <w:color w:val="auto"/>
                  <w:w w:val="89"/>
                </w:rPr>
                <w:t>12</w:t>
              </w:r>
            </w:hyperlink>
          </w:p>
        </w:tc>
      </w:tr>
      <w:tr>
        <w:trPr>
          <w:trHeight w:val="20"/>
        </w:trPr>
        <w:tc>
          <w:tcPr>
            <w:tcW w:w="10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r>
      <w:tr>
        <w:trPr>
          <w:trHeight w:val="480"/>
        </w:trPr>
        <w:tc>
          <w:tcPr>
            <w:tcW w:w="1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2.8</w:t>
            </w:r>
          </w:p>
        </w:tc>
        <w:tc>
          <w:tcPr>
            <w:tcW w:w="8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QUORUM</w:t>
            </w:r>
          </w:p>
        </w:tc>
        <w:tc>
          <w:tcPr>
            <w:tcW w:w="1360" w:type="dxa"/>
            <w:vAlign w:val="bottom"/>
            <w:gridSpan w:val="4"/>
          </w:tcPr>
          <w:p>
            <w:pPr>
              <w:ind w:left="1160"/>
              <w:spacing w:after="0"/>
              <w:rPr>
                <w:sz w:val="20"/>
                <w:szCs w:val="20"/>
                <w:color w:val="auto"/>
              </w:rPr>
            </w:pPr>
            <w:r>
              <w:rPr>
                <w:rFonts w:ascii="Times New Roman" w:cs="Times New Roman" w:eastAsia="Times New Roman" w:hAnsi="Times New Roman"/>
                <w:sz w:val="20"/>
                <w:szCs w:val="20"/>
                <w:color w:val="auto"/>
                <w:w w:val="89"/>
              </w:rPr>
              <w:t>12</w:t>
            </w:r>
          </w:p>
        </w:tc>
      </w:tr>
      <w:tr>
        <w:trPr>
          <w:trHeight w:val="20"/>
        </w:trPr>
        <w:tc>
          <w:tcPr>
            <w:tcW w:w="10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r>
      <w:tr>
        <w:trPr>
          <w:trHeight w:val="479"/>
        </w:trPr>
        <w:tc>
          <w:tcPr>
            <w:tcW w:w="1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2.9</w:t>
            </w:r>
          </w:p>
        </w:tc>
        <w:tc>
          <w:tcPr>
            <w:tcW w:w="8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ADJOURNED MEETING; NOTICE</w:t>
            </w:r>
          </w:p>
        </w:tc>
        <w:tc>
          <w:tcPr>
            <w:tcW w:w="1360" w:type="dxa"/>
            <w:vAlign w:val="bottom"/>
            <w:gridSpan w:val="4"/>
          </w:tcPr>
          <w:p>
            <w:pPr>
              <w:ind w:left="1160"/>
              <w:spacing w:after="0"/>
              <w:rPr>
                <w:sz w:val="20"/>
                <w:szCs w:val="20"/>
                <w:color w:val="auto"/>
              </w:rPr>
            </w:pPr>
            <w:r>
              <w:rPr>
                <w:rFonts w:ascii="Times New Roman" w:cs="Times New Roman" w:eastAsia="Times New Roman" w:hAnsi="Times New Roman"/>
                <w:sz w:val="20"/>
                <w:szCs w:val="20"/>
                <w:color w:val="auto"/>
                <w:w w:val="89"/>
              </w:rPr>
              <w:t>12</w:t>
            </w:r>
          </w:p>
        </w:tc>
      </w:tr>
      <w:tr>
        <w:trPr>
          <w:trHeight w:val="20"/>
        </w:trPr>
        <w:tc>
          <w:tcPr>
            <w:tcW w:w="9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r>
      <w:tr>
        <w:trPr>
          <w:trHeight w:val="480"/>
        </w:trPr>
        <w:tc>
          <w:tcPr>
            <w:tcW w:w="92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2.10  CONDUCT OF BUSINESS</w:t>
            </w:r>
          </w:p>
        </w:tc>
        <w:tc>
          <w:tcPr>
            <w:tcW w:w="1360" w:type="dxa"/>
            <w:vAlign w:val="bottom"/>
            <w:gridSpan w:val="4"/>
          </w:tcPr>
          <w:p>
            <w:pPr>
              <w:ind w:left="1160"/>
              <w:spacing w:after="0"/>
              <w:rPr>
                <w:rFonts w:ascii="Times New Roman" w:cs="Times New Roman" w:eastAsia="Times New Roman" w:hAnsi="Times New Roman"/>
                <w:sz w:val="20"/>
                <w:szCs w:val="20"/>
                <w:color w:val="auto"/>
                <w:w w:val="89"/>
              </w:rPr>
            </w:pPr>
            <w:hyperlink w:anchor="page9">
              <w:r>
                <w:rPr>
                  <w:rFonts w:ascii="Times New Roman" w:cs="Times New Roman" w:eastAsia="Times New Roman" w:hAnsi="Times New Roman"/>
                  <w:sz w:val="20"/>
                  <w:szCs w:val="20"/>
                  <w:color w:val="auto"/>
                  <w:w w:val="89"/>
                </w:rPr>
                <w:t>13</w:t>
              </w:r>
            </w:hyperlink>
          </w:p>
        </w:tc>
      </w:tr>
      <w:tr>
        <w:trPr>
          <w:trHeight w:val="20"/>
        </w:trPr>
        <w:tc>
          <w:tcPr>
            <w:tcW w:w="10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r>
      <w:tr>
        <w:trPr>
          <w:trHeight w:val="480"/>
        </w:trPr>
        <w:tc>
          <w:tcPr>
            <w:tcW w:w="1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2.11</w:t>
            </w:r>
          </w:p>
        </w:tc>
        <w:tc>
          <w:tcPr>
            <w:tcW w:w="8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VOTING</w:t>
            </w:r>
          </w:p>
        </w:tc>
        <w:tc>
          <w:tcPr>
            <w:tcW w:w="1360" w:type="dxa"/>
            <w:vAlign w:val="bottom"/>
            <w:gridSpan w:val="4"/>
          </w:tcPr>
          <w:p>
            <w:pPr>
              <w:ind w:left="1160"/>
              <w:spacing w:after="0"/>
              <w:rPr>
                <w:sz w:val="20"/>
                <w:szCs w:val="20"/>
                <w:color w:val="auto"/>
              </w:rPr>
            </w:pPr>
            <w:r>
              <w:rPr>
                <w:rFonts w:ascii="Times New Roman" w:cs="Times New Roman" w:eastAsia="Times New Roman" w:hAnsi="Times New Roman"/>
                <w:sz w:val="20"/>
                <w:szCs w:val="20"/>
                <w:color w:val="auto"/>
                <w:w w:val="89"/>
              </w:rPr>
              <w:t>13</w:t>
            </w:r>
          </w:p>
        </w:tc>
      </w:tr>
      <w:tr>
        <w:trPr>
          <w:trHeight w:val="20"/>
        </w:trPr>
        <w:tc>
          <w:tcPr>
            <w:tcW w:w="9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r>
      <w:tr>
        <w:trPr>
          <w:trHeight w:val="480"/>
        </w:trPr>
        <w:tc>
          <w:tcPr>
            <w:tcW w:w="92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2.12  STOCKHOLDER ACTION BY WRITTEN CONSENT WITHOUT A MEETING</w:t>
            </w:r>
          </w:p>
        </w:tc>
        <w:tc>
          <w:tcPr>
            <w:tcW w:w="1360" w:type="dxa"/>
            <w:vAlign w:val="bottom"/>
            <w:gridSpan w:val="4"/>
          </w:tcPr>
          <w:p>
            <w:pPr>
              <w:ind w:left="1160"/>
              <w:spacing w:after="0"/>
              <w:rPr>
                <w:sz w:val="20"/>
                <w:szCs w:val="20"/>
                <w:color w:val="auto"/>
              </w:rPr>
            </w:pPr>
            <w:r>
              <w:rPr>
                <w:rFonts w:ascii="Times New Roman" w:cs="Times New Roman" w:eastAsia="Times New Roman" w:hAnsi="Times New Roman"/>
                <w:sz w:val="20"/>
                <w:szCs w:val="20"/>
                <w:color w:val="auto"/>
                <w:w w:val="89"/>
              </w:rPr>
              <w:t>14</w:t>
            </w:r>
          </w:p>
        </w:tc>
      </w:tr>
      <w:tr>
        <w:trPr>
          <w:trHeight w:val="20"/>
        </w:trPr>
        <w:tc>
          <w:tcPr>
            <w:tcW w:w="9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r>
      <w:tr>
        <w:trPr>
          <w:trHeight w:val="479"/>
        </w:trPr>
        <w:tc>
          <w:tcPr>
            <w:tcW w:w="92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2.13  RECORD DATE FOR STOCKHOLDER NOTICE; VOTING</w:t>
            </w:r>
          </w:p>
        </w:tc>
        <w:tc>
          <w:tcPr>
            <w:tcW w:w="1360" w:type="dxa"/>
            <w:vAlign w:val="bottom"/>
            <w:gridSpan w:val="4"/>
          </w:tcPr>
          <w:p>
            <w:pPr>
              <w:ind w:left="1160"/>
              <w:spacing w:after="0"/>
              <w:rPr>
                <w:sz w:val="20"/>
                <w:szCs w:val="20"/>
                <w:color w:val="auto"/>
              </w:rPr>
            </w:pPr>
            <w:r>
              <w:rPr>
                <w:rFonts w:ascii="Times New Roman" w:cs="Times New Roman" w:eastAsia="Times New Roman" w:hAnsi="Times New Roman"/>
                <w:sz w:val="20"/>
                <w:szCs w:val="20"/>
                <w:color w:val="auto"/>
                <w:w w:val="89"/>
              </w:rPr>
              <w:t>14</w:t>
            </w:r>
          </w:p>
        </w:tc>
      </w:tr>
      <w:tr>
        <w:trPr>
          <w:trHeight w:val="20"/>
        </w:trPr>
        <w:tc>
          <w:tcPr>
            <w:tcW w:w="10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r>
      <w:tr>
        <w:trPr>
          <w:trHeight w:val="480"/>
        </w:trPr>
        <w:tc>
          <w:tcPr>
            <w:tcW w:w="1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2.14</w:t>
            </w:r>
          </w:p>
        </w:tc>
        <w:tc>
          <w:tcPr>
            <w:tcW w:w="8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PROXIES</w:t>
            </w:r>
          </w:p>
        </w:tc>
        <w:tc>
          <w:tcPr>
            <w:tcW w:w="1360" w:type="dxa"/>
            <w:vAlign w:val="bottom"/>
            <w:gridSpan w:val="4"/>
          </w:tcPr>
          <w:p>
            <w:pPr>
              <w:ind w:left="1160"/>
              <w:spacing w:after="0"/>
              <w:rPr>
                <w:rFonts w:ascii="Times New Roman" w:cs="Times New Roman" w:eastAsia="Times New Roman" w:hAnsi="Times New Roman"/>
                <w:sz w:val="20"/>
                <w:szCs w:val="20"/>
                <w:color w:val="auto"/>
                <w:w w:val="89"/>
              </w:rPr>
            </w:pPr>
            <w:hyperlink w:anchor="page9">
              <w:r>
                <w:rPr>
                  <w:rFonts w:ascii="Times New Roman" w:cs="Times New Roman" w:eastAsia="Times New Roman" w:hAnsi="Times New Roman"/>
                  <w:sz w:val="20"/>
                  <w:szCs w:val="20"/>
                  <w:color w:val="auto"/>
                  <w:w w:val="89"/>
                </w:rPr>
                <w:t>15</w:t>
              </w:r>
            </w:hyperlink>
          </w:p>
        </w:tc>
      </w:tr>
      <w:tr>
        <w:trPr>
          <w:trHeight w:val="20"/>
        </w:trPr>
        <w:tc>
          <w:tcPr>
            <w:tcW w:w="9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r>
      <w:tr>
        <w:trPr>
          <w:trHeight w:val="479"/>
        </w:trPr>
        <w:tc>
          <w:tcPr>
            <w:tcW w:w="92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2.15  LIST OF STOCKHOLDERS ENTITLED TO VOTE</w:t>
            </w:r>
          </w:p>
        </w:tc>
        <w:tc>
          <w:tcPr>
            <w:tcW w:w="1360" w:type="dxa"/>
            <w:vAlign w:val="bottom"/>
            <w:gridSpan w:val="4"/>
          </w:tcPr>
          <w:p>
            <w:pPr>
              <w:ind w:left="1160"/>
              <w:spacing w:after="0"/>
              <w:rPr>
                <w:sz w:val="20"/>
                <w:szCs w:val="20"/>
                <w:color w:val="auto"/>
              </w:rPr>
            </w:pPr>
            <w:r>
              <w:rPr>
                <w:rFonts w:ascii="Times New Roman" w:cs="Times New Roman" w:eastAsia="Times New Roman" w:hAnsi="Times New Roman"/>
                <w:sz w:val="20"/>
                <w:szCs w:val="20"/>
                <w:color w:val="auto"/>
                <w:w w:val="89"/>
              </w:rPr>
              <w:t>15</w:t>
            </w:r>
          </w:p>
        </w:tc>
      </w:tr>
      <w:tr>
        <w:trPr>
          <w:trHeight w:val="20"/>
        </w:trPr>
        <w:tc>
          <w:tcPr>
            <w:tcW w:w="9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r>
      <w:tr>
        <w:trPr>
          <w:trHeight w:val="480"/>
        </w:trPr>
        <w:tc>
          <w:tcPr>
            <w:tcW w:w="92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2.16  POSTPONEMENT, ADJOURNMENT AND CANCELLATION OF MEETING.</w:t>
            </w:r>
          </w:p>
        </w:tc>
        <w:tc>
          <w:tcPr>
            <w:tcW w:w="1360" w:type="dxa"/>
            <w:vAlign w:val="bottom"/>
            <w:gridSpan w:val="4"/>
          </w:tcPr>
          <w:p>
            <w:pPr>
              <w:ind w:left="1160"/>
              <w:spacing w:after="0"/>
              <w:rPr>
                <w:sz w:val="20"/>
                <w:szCs w:val="20"/>
                <w:color w:val="auto"/>
              </w:rPr>
            </w:pPr>
            <w:r>
              <w:rPr>
                <w:rFonts w:ascii="Times New Roman" w:cs="Times New Roman" w:eastAsia="Times New Roman" w:hAnsi="Times New Roman"/>
                <w:sz w:val="20"/>
                <w:szCs w:val="20"/>
                <w:color w:val="auto"/>
                <w:w w:val="89"/>
              </w:rPr>
              <w:t>15</w:t>
            </w:r>
          </w:p>
        </w:tc>
      </w:tr>
      <w:tr>
        <w:trPr>
          <w:trHeight w:val="20"/>
        </w:trPr>
        <w:tc>
          <w:tcPr>
            <w:tcW w:w="10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r>
      <w:tr>
        <w:trPr>
          <w:trHeight w:val="479"/>
        </w:trPr>
        <w:tc>
          <w:tcPr>
            <w:tcW w:w="1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2.17</w:t>
            </w:r>
          </w:p>
        </w:tc>
        <w:tc>
          <w:tcPr>
            <w:tcW w:w="8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INSPECTORS OF ELECTION</w:t>
            </w:r>
          </w:p>
        </w:tc>
        <w:tc>
          <w:tcPr>
            <w:tcW w:w="1360" w:type="dxa"/>
            <w:vAlign w:val="bottom"/>
            <w:gridSpan w:val="4"/>
          </w:tcPr>
          <w:p>
            <w:pPr>
              <w:ind w:left="1160"/>
              <w:spacing w:after="0"/>
              <w:rPr>
                <w:rFonts w:ascii="Times New Roman" w:cs="Times New Roman" w:eastAsia="Times New Roman" w:hAnsi="Times New Roman"/>
                <w:sz w:val="20"/>
                <w:szCs w:val="20"/>
                <w:color w:val="auto"/>
                <w:w w:val="89"/>
              </w:rPr>
            </w:pPr>
            <w:hyperlink w:anchor="page9">
              <w:r>
                <w:rPr>
                  <w:rFonts w:ascii="Times New Roman" w:cs="Times New Roman" w:eastAsia="Times New Roman" w:hAnsi="Times New Roman"/>
                  <w:sz w:val="20"/>
                  <w:szCs w:val="20"/>
                  <w:color w:val="auto"/>
                  <w:w w:val="89"/>
                </w:rPr>
                <w:t>16</w:t>
              </w:r>
            </w:hyperlink>
          </w:p>
        </w:tc>
      </w:tr>
      <w:tr>
        <w:trPr>
          <w:trHeight w:val="20"/>
        </w:trPr>
        <w:tc>
          <w:tcPr>
            <w:tcW w:w="9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r>
      <w:tr>
        <w:trPr>
          <w:trHeight w:val="479"/>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III - DIRECTORS</w:t>
            </w:r>
          </w:p>
        </w:tc>
        <w:tc>
          <w:tcPr>
            <w:tcW w:w="1360" w:type="dxa"/>
            <w:vAlign w:val="bottom"/>
            <w:gridSpan w:val="4"/>
          </w:tcPr>
          <w:p>
            <w:pPr>
              <w:ind w:left="1160"/>
              <w:spacing w:after="0"/>
              <w:rPr>
                <w:sz w:val="20"/>
                <w:szCs w:val="20"/>
                <w:color w:val="auto"/>
              </w:rPr>
            </w:pPr>
            <w:r>
              <w:rPr>
                <w:rFonts w:ascii="Times New Roman" w:cs="Times New Roman" w:eastAsia="Times New Roman" w:hAnsi="Times New Roman"/>
                <w:sz w:val="20"/>
                <w:szCs w:val="20"/>
                <w:color w:val="auto"/>
                <w:w w:val="89"/>
              </w:rPr>
              <w:t>16</w:t>
            </w:r>
          </w:p>
        </w:tc>
      </w:tr>
      <w:tr>
        <w:trPr>
          <w:trHeight w:val="20"/>
        </w:trPr>
        <w:tc>
          <w:tcPr>
            <w:tcW w:w="10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r>
      <w:tr>
        <w:trPr>
          <w:trHeight w:val="480"/>
        </w:trPr>
        <w:tc>
          <w:tcPr>
            <w:tcW w:w="1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3.1</w:t>
            </w:r>
          </w:p>
        </w:tc>
        <w:tc>
          <w:tcPr>
            <w:tcW w:w="8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POWERS</w:t>
            </w:r>
          </w:p>
        </w:tc>
        <w:tc>
          <w:tcPr>
            <w:tcW w:w="1360" w:type="dxa"/>
            <w:vAlign w:val="bottom"/>
            <w:gridSpan w:val="4"/>
          </w:tcPr>
          <w:p>
            <w:pPr>
              <w:ind w:left="1160"/>
              <w:spacing w:after="0"/>
              <w:rPr>
                <w:sz w:val="20"/>
                <w:szCs w:val="20"/>
                <w:color w:val="auto"/>
              </w:rPr>
            </w:pPr>
            <w:r>
              <w:rPr>
                <w:rFonts w:ascii="Times New Roman" w:cs="Times New Roman" w:eastAsia="Times New Roman" w:hAnsi="Times New Roman"/>
                <w:sz w:val="20"/>
                <w:szCs w:val="20"/>
                <w:color w:val="auto"/>
                <w:w w:val="89"/>
              </w:rPr>
              <w:t>16</w:t>
            </w:r>
          </w:p>
        </w:tc>
      </w:tr>
      <w:tr>
        <w:trPr>
          <w:trHeight w:val="20"/>
        </w:trPr>
        <w:tc>
          <w:tcPr>
            <w:tcW w:w="10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r>
      <w:tr>
        <w:trPr>
          <w:trHeight w:val="479"/>
        </w:trPr>
        <w:tc>
          <w:tcPr>
            <w:tcW w:w="1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3.2</w:t>
            </w:r>
          </w:p>
        </w:tc>
        <w:tc>
          <w:tcPr>
            <w:tcW w:w="8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NUMBER OF DIRECTORS</w:t>
            </w:r>
          </w:p>
        </w:tc>
        <w:tc>
          <w:tcPr>
            <w:tcW w:w="1360" w:type="dxa"/>
            <w:vAlign w:val="bottom"/>
            <w:gridSpan w:val="4"/>
          </w:tcPr>
          <w:p>
            <w:pPr>
              <w:ind w:left="1160"/>
              <w:spacing w:after="0"/>
              <w:rPr>
                <w:sz w:val="20"/>
                <w:szCs w:val="20"/>
                <w:color w:val="auto"/>
              </w:rPr>
            </w:pPr>
            <w:r>
              <w:rPr>
                <w:rFonts w:ascii="Times New Roman" w:cs="Times New Roman" w:eastAsia="Times New Roman" w:hAnsi="Times New Roman"/>
                <w:sz w:val="20"/>
                <w:szCs w:val="20"/>
                <w:color w:val="auto"/>
                <w:w w:val="89"/>
              </w:rPr>
              <w:t>16</w:t>
            </w:r>
          </w:p>
        </w:tc>
      </w:tr>
      <w:tr>
        <w:trPr>
          <w:trHeight w:val="20"/>
        </w:trPr>
        <w:tc>
          <w:tcPr>
            <w:tcW w:w="10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r>
      <w:tr>
        <w:trPr>
          <w:trHeight w:val="479"/>
        </w:trPr>
        <w:tc>
          <w:tcPr>
            <w:tcW w:w="1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3.3</w:t>
            </w:r>
          </w:p>
        </w:tc>
        <w:tc>
          <w:tcPr>
            <w:tcW w:w="8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ELECTION, QUALIFICATION AND TERM OF OFFICE OF DIRECTORS</w:t>
            </w:r>
          </w:p>
        </w:tc>
        <w:tc>
          <w:tcPr>
            <w:tcW w:w="1360" w:type="dxa"/>
            <w:vAlign w:val="bottom"/>
            <w:gridSpan w:val="4"/>
          </w:tcPr>
          <w:p>
            <w:pPr>
              <w:ind w:left="1160"/>
              <w:spacing w:after="0"/>
              <w:rPr>
                <w:sz w:val="20"/>
                <w:szCs w:val="20"/>
                <w:color w:val="auto"/>
              </w:rPr>
            </w:pPr>
            <w:r>
              <w:rPr>
                <w:rFonts w:ascii="Times New Roman" w:cs="Times New Roman" w:eastAsia="Times New Roman" w:hAnsi="Times New Roman"/>
                <w:sz w:val="20"/>
                <w:szCs w:val="20"/>
                <w:color w:val="auto"/>
                <w:w w:val="89"/>
              </w:rPr>
              <w:t>16</w:t>
            </w:r>
          </w:p>
        </w:tc>
      </w:tr>
      <w:tr>
        <w:trPr>
          <w:trHeight w:val="20"/>
        </w:trPr>
        <w:tc>
          <w:tcPr>
            <w:tcW w:w="10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r>
      <w:tr>
        <w:trPr>
          <w:trHeight w:val="480"/>
        </w:trPr>
        <w:tc>
          <w:tcPr>
            <w:tcW w:w="1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3.4</w:t>
            </w:r>
          </w:p>
        </w:tc>
        <w:tc>
          <w:tcPr>
            <w:tcW w:w="8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RESIGNATION AND VACANCIES</w:t>
            </w:r>
          </w:p>
        </w:tc>
        <w:tc>
          <w:tcPr>
            <w:tcW w:w="1360" w:type="dxa"/>
            <w:vAlign w:val="bottom"/>
            <w:gridSpan w:val="4"/>
          </w:tcPr>
          <w:p>
            <w:pPr>
              <w:ind w:left="1160"/>
              <w:spacing w:after="0"/>
              <w:rPr>
                <w:sz w:val="20"/>
                <w:szCs w:val="20"/>
                <w:color w:val="auto"/>
              </w:rPr>
            </w:pPr>
            <w:r>
              <w:rPr>
                <w:rFonts w:ascii="Times New Roman" w:cs="Times New Roman" w:eastAsia="Times New Roman" w:hAnsi="Times New Roman"/>
                <w:sz w:val="20"/>
                <w:szCs w:val="20"/>
                <w:color w:val="auto"/>
                <w:w w:val="89"/>
              </w:rPr>
              <w:t>16</w:t>
            </w:r>
          </w:p>
        </w:tc>
      </w:tr>
      <w:tr>
        <w:trPr>
          <w:trHeight w:val="20"/>
        </w:trPr>
        <w:tc>
          <w:tcPr>
            <w:tcW w:w="10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r>
      <w:tr>
        <w:trPr>
          <w:trHeight w:val="479"/>
        </w:trPr>
        <w:tc>
          <w:tcPr>
            <w:tcW w:w="1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3.5</w:t>
            </w:r>
          </w:p>
        </w:tc>
        <w:tc>
          <w:tcPr>
            <w:tcW w:w="8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PLACE OF MEETINGS; MEETINGS BY TELEPHONE</w:t>
            </w:r>
          </w:p>
        </w:tc>
        <w:tc>
          <w:tcPr>
            <w:tcW w:w="1360" w:type="dxa"/>
            <w:vAlign w:val="bottom"/>
            <w:gridSpan w:val="4"/>
          </w:tcPr>
          <w:p>
            <w:pPr>
              <w:ind w:left="1160"/>
              <w:spacing w:after="0"/>
              <w:rPr>
                <w:sz w:val="20"/>
                <w:szCs w:val="20"/>
                <w:color w:val="auto"/>
              </w:rPr>
            </w:pPr>
            <w:r>
              <w:rPr>
                <w:rFonts w:ascii="Times New Roman" w:cs="Times New Roman" w:eastAsia="Times New Roman" w:hAnsi="Times New Roman"/>
                <w:sz w:val="20"/>
                <w:szCs w:val="20"/>
                <w:color w:val="auto"/>
                <w:w w:val="89"/>
              </w:rPr>
              <w:t>17</w:t>
            </w:r>
          </w:p>
        </w:tc>
      </w:tr>
      <w:tr>
        <w:trPr>
          <w:trHeight w:val="20"/>
        </w:trPr>
        <w:tc>
          <w:tcPr>
            <w:tcW w:w="10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r>
      <w:tr>
        <w:trPr>
          <w:trHeight w:val="479"/>
        </w:trPr>
        <w:tc>
          <w:tcPr>
            <w:tcW w:w="1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3.6</w:t>
            </w:r>
          </w:p>
        </w:tc>
        <w:tc>
          <w:tcPr>
            <w:tcW w:w="8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REGULAR MEETINGS</w:t>
            </w:r>
          </w:p>
        </w:tc>
        <w:tc>
          <w:tcPr>
            <w:tcW w:w="1360" w:type="dxa"/>
            <w:vAlign w:val="bottom"/>
            <w:gridSpan w:val="4"/>
          </w:tcPr>
          <w:p>
            <w:pPr>
              <w:ind w:left="1160"/>
              <w:spacing w:after="0"/>
              <w:rPr>
                <w:sz w:val="20"/>
                <w:szCs w:val="20"/>
                <w:color w:val="auto"/>
              </w:rPr>
            </w:pPr>
            <w:r>
              <w:rPr>
                <w:rFonts w:ascii="Times New Roman" w:cs="Times New Roman" w:eastAsia="Times New Roman" w:hAnsi="Times New Roman"/>
                <w:sz w:val="20"/>
                <w:szCs w:val="20"/>
                <w:color w:val="auto"/>
                <w:w w:val="89"/>
              </w:rPr>
              <w:t>17</w:t>
            </w:r>
          </w:p>
        </w:tc>
      </w:tr>
      <w:tr>
        <w:trPr>
          <w:trHeight w:val="20"/>
        </w:trPr>
        <w:tc>
          <w:tcPr>
            <w:tcW w:w="10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ectPr>
          <w:pgSz w:w="11900" w:h="16864" w:orient="portrait"/>
          <w:cols w:equalWidth="0" w:num="1">
            <w:col w:w="10620"/>
          </w:cols>
          <w:pgMar w:left="360" w:top="1440" w:right="91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3.7</w:t>
            </w:r>
          </w:p>
        </w:tc>
        <w:tc>
          <w:tcPr>
            <w:tcW w:w="9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SPECIAL MEETINGS; NOTICE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9"/>
              </w:rPr>
              <w:t>17</w:t>
            </w:r>
          </w:p>
        </w:tc>
      </w:tr>
      <w:tr>
        <w:trPr>
          <w:trHeight w:val="479"/>
        </w:trPr>
        <w:tc>
          <w:tcPr>
            <w:tcW w:w="10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3.8</w:t>
            </w:r>
          </w:p>
        </w:tc>
        <w:tc>
          <w:tcPr>
            <w:tcW w:w="9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QUORUM</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9"/>
              </w:rPr>
              <w:t>18</w:t>
            </w:r>
          </w:p>
        </w:tc>
      </w:tr>
      <w:tr>
        <w:trPr>
          <w:trHeight w:val="480"/>
        </w:trPr>
        <w:tc>
          <w:tcPr>
            <w:tcW w:w="10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3.9</w:t>
            </w:r>
          </w:p>
        </w:tc>
        <w:tc>
          <w:tcPr>
            <w:tcW w:w="9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BOARD ACTION BY CONSENT WITHOUT A MEETING</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9"/>
              </w:rPr>
              <w:t>18</w:t>
            </w:r>
          </w:p>
        </w:tc>
      </w:tr>
      <w:tr>
        <w:trPr>
          <w:trHeight w:val="479"/>
        </w:trPr>
        <w:tc>
          <w:tcPr>
            <w:tcW w:w="104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3.10  FEES AND COMPENSATION OF DIRECTORS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9"/>
              </w:rPr>
              <w:t>18</w:t>
            </w:r>
          </w:p>
        </w:tc>
      </w:tr>
      <w:tr>
        <w:trPr>
          <w:trHeight w:val="479"/>
        </w:trPr>
        <w:tc>
          <w:tcPr>
            <w:tcW w:w="104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3.11  REMOVAL OF DIRECTORS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9"/>
              </w:rPr>
              <w:t>18</w:t>
            </w:r>
          </w:p>
        </w:tc>
      </w:tr>
      <w:tr>
        <w:trPr>
          <w:trHeight w:val="480"/>
        </w:trPr>
        <w:tc>
          <w:tcPr>
            <w:tcW w:w="10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IV - COMMITTEES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9"/>
              </w:rPr>
              <w:t>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0620"/>
          </w:cols>
          <w:pgMar w:left="360" w:top="342" w:right="919" w:bottom="1440" w:gutter="0" w:footer="0" w:header="0"/>
        </w:sectPr>
      </w:pPr>
    </w:p>
    <w:bookmarkStart w:id="6" w:name="page7"/>
    <w:bookmarkEnd w:id="6"/>
    <w:p>
      <w:pPr>
        <w:spacing w:after="0" w:line="20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0"/>
          <w:szCs w:val="20"/>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100" w:type="dxa"/>
            <w:vAlign w:val="bottom"/>
          </w:tcPr>
          <w:p>
            <w:pPr>
              <w:spacing w:after="0"/>
              <w:rPr>
                <w:sz w:val="22"/>
                <w:szCs w:val="22"/>
                <w:color w:val="auto"/>
              </w:rPr>
            </w:pPr>
          </w:p>
        </w:tc>
        <w:tc>
          <w:tcPr>
            <w:tcW w:w="7340" w:type="dxa"/>
            <w:vAlign w:val="bottom"/>
          </w:tcPr>
          <w:p>
            <w:pPr>
              <w:spacing w:after="0"/>
              <w:rPr>
                <w:sz w:val="22"/>
                <w:szCs w:val="22"/>
                <w:color w:val="auto"/>
              </w:rPr>
            </w:pPr>
          </w:p>
        </w:tc>
        <w:tc>
          <w:tcPr>
            <w:tcW w:w="21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466"/>
        </w:trPr>
        <w:tc>
          <w:tcPr>
            <w:tcW w:w="1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4.1</w:t>
            </w:r>
          </w:p>
        </w:tc>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COMMITTEES OF DIRECTORS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0"/>
        </w:trPr>
        <w:tc>
          <w:tcPr>
            <w:tcW w:w="11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80"/>
        </w:trPr>
        <w:tc>
          <w:tcPr>
            <w:tcW w:w="1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4.2</w:t>
            </w:r>
          </w:p>
        </w:tc>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COMMITTEE MINUTES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0"/>
        </w:trPr>
        <w:tc>
          <w:tcPr>
            <w:tcW w:w="11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79"/>
        </w:trPr>
        <w:tc>
          <w:tcPr>
            <w:tcW w:w="1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4.3</w:t>
            </w:r>
          </w:p>
        </w:tc>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MEETINGS AND ACTION OF COMMITTEES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0"/>
        </w:trPr>
        <w:tc>
          <w:tcPr>
            <w:tcW w:w="84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80"/>
        </w:trPr>
        <w:tc>
          <w:tcPr>
            <w:tcW w:w="8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 - OFFICERS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0"/>
        </w:trPr>
        <w:tc>
          <w:tcPr>
            <w:tcW w:w="11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79"/>
        </w:trPr>
        <w:tc>
          <w:tcPr>
            <w:tcW w:w="1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5.1</w:t>
            </w:r>
          </w:p>
        </w:tc>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OFFICERS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0"/>
        </w:trPr>
        <w:tc>
          <w:tcPr>
            <w:tcW w:w="11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79"/>
        </w:trPr>
        <w:tc>
          <w:tcPr>
            <w:tcW w:w="1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5.2</w:t>
            </w:r>
          </w:p>
        </w:tc>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APPOINTMENT OF OFFICERS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0"/>
        </w:trPr>
        <w:tc>
          <w:tcPr>
            <w:tcW w:w="11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80"/>
        </w:trPr>
        <w:tc>
          <w:tcPr>
            <w:tcW w:w="1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5.3</w:t>
            </w:r>
          </w:p>
        </w:tc>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SUBORDINATE OFFICERS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0"/>
        </w:trPr>
        <w:tc>
          <w:tcPr>
            <w:tcW w:w="11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79"/>
        </w:trPr>
        <w:tc>
          <w:tcPr>
            <w:tcW w:w="1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5.4</w:t>
            </w:r>
          </w:p>
        </w:tc>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REMOVAL AND RESIGNATION OF OFFICERS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0"/>
        </w:trPr>
        <w:tc>
          <w:tcPr>
            <w:tcW w:w="11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79"/>
        </w:trPr>
        <w:tc>
          <w:tcPr>
            <w:tcW w:w="1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5.5</w:t>
            </w:r>
          </w:p>
        </w:tc>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VACANCIES IN OFFICES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0"/>
        </w:trPr>
        <w:tc>
          <w:tcPr>
            <w:tcW w:w="11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80"/>
        </w:trPr>
        <w:tc>
          <w:tcPr>
            <w:tcW w:w="1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5.6</w:t>
            </w:r>
          </w:p>
        </w:tc>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REPRESENTATION OF SHARES OF OTHER ENTITIES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0"/>
        </w:trPr>
        <w:tc>
          <w:tcPr>
            <w:tcW w:w="11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80"/>
        </w:trPr>
        <w:tc>
          <w:tcPr>
            <w:tcW w:w="1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5.7</w:t>
            </w:r>
          </w:p>
        </w:tc>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AUTHORITY AND DUTIES OF OFFICERS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0"/>
        </w:trPr>
        <w:tc>
          <w:tcPr>
            <w:tcW w:w="84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80"/>
        </w:trPr>
        <w:tc>
          <w:tcPr>
            <w:tcW w:w="8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 - RECORDS AND REPORTS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0"/>
        </w:trPr>
        <w:tc>
          <w:tcPr>
            <w:tcW w:w="11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79"/>
        </w:trPr>
        <w:tc>
          <w:tcPr>
            <w:tcW w:w="1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6.1</w:t>
            </w:r>
          </w:p>
        </w:tc>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MAINTENANCE OF RECORDS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0"/>
        </w:trPr>
        <w:tc>
          <w:tcPr>
            <w:tcW w:w="84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80"/>
        </w:trPr>
        <w:tc>
          <w:tcPr>
            <w:tcW w:w="8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 - GENERAL MATTERS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0"/>
        </w:trPr>
        <w:tc>
          <w:tcPr>
            <w:tcW w:w="11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80"/>
        </w:trPr>
        <w:tc>
          <w:tcPr>
            <w:tcW w:w="1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7.1</w:t>
            </w:r>
          </w:p>
        </w:tc>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EXECUTION OF CORPORATE CONTRACTS AND INSTRUMENTS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0"/>
        </w:trPr>
        <w:tc>
          <w:tcPr>
            <w:tcW w:w="11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80"/>
        </w:trPr>
        <w:tc>
          <w:tcPr>
            <w:tcW w:w="1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7.2</w:t>
            </w:r>
          </w:p>
        </w:tc>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STOCK CERTIFICATES; PARTLY PAID SHARES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0"/>
        </w:trPr>
        <w:tc>
          <w:tcPr>
            <w:tcW w:w="11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79"/>
        </w:trPr>
        <w:tc>
          <w:tcPr>
            <w:tcW w:w="1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7.3</w:t>
            </w:r>
          </w:p>
        </w:tc>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MULTIPLES CLASSES OR SERIES OF STOCK</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0"/>
        </w:trPr>
        <w:tc>
          <w:tcPr>
            <w:tcW w:w="11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80"/>
        </w:trPr>
        <w:tc>
          <w:tcPr>
            <w:tcW w:w="1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7.4</w:t>
            </w:r>
          </w:p>
        </w:tc>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LOST CERTIFICATES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0"/>
        </w:trPr>
        <w:tc>
          <w:tcPr>
            <w:tcW w:w="11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80"/>
        </w:trPr>
        <w:tc>
          <w:tcPr>
            <w:tcW w:w="1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7.5</w:t>
            </w:r>
          </w:p>
        </w:tc>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DEFINITIONS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0"/>
        </w:trPr>
        <w:tc>
          <w:tcPr>
            <w:tcW w:w="11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79"/>
        </w:trPr>
        <w:tc>
          <w:tcPr>
            <w:tcW w:w="1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7.6</w:t>
            </w:r>
          </w:p>
        </w:tc>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DIVIDENDS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0"/>
        </w:trPr>
        <w:tc>
          <w:tcPr>
            <w:tcW w:w="11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79"/>
        </w:trPr>
        <w:tc>
          <w:tcPr>
            <w:tcW w:w="1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7.7</w:t>
            </w:r>
          </w:p>
        </w:tc>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FISCAL YEAR</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0"/>
        </w:trPr>
        <w:tc>
          <w:tcPr>
            <w:tcW w:w="11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80"/>
        </w:trPr>
        <w:tc>
          <w:tcPr>
            <w:tcW w:w="1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7.8</w:t>
            </w:r>
          </w:p>
        </w:tc>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SEAL</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0"/>
        </w:trPr>
        <w:tc>
          <w:tcPr>
            <w:tcW w:w="11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79"/>
        </w:trPr>
        <w:tc>
          <w:tcPr>
            <w:tcW w:w="1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7.9</w:t>
            </w:r>
          </w:p>
        </w:tc>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TRANSFER OF STOCK</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0"/>
        </w:trPr>
        <w:tc>
          <w:tcPr>
            <w:tcW w:w="84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80"/>
        </w:trPr>
        <w:tc>
          <w:tcPr>
            <w:tcW w:w="844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7.10  STOCK TRANSFER AGREEMENTS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0"/>
        </w:trPr>
        <w:tc>
          <w:tcPr>
            <w:tcW w:w="11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79"/>
        </w:trPr>
        <w:tc>
          <w:tcPr>
            <w:tcW w:w="1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7.11</w:t>
            </w:r>
          </w:p>
        </w:tc>
        <w:tc>
          <w:tcPr>
            <w:tcW w:w="73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REGISTERED STOCKHOLDERS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0"/>
        </w:trPr>
        <w:tc>
          <w:tcPr>
            <w:tcW w:w="84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79"/>
        </w:trPr>
        <w:tc>
          <w:tcPr>
            <w:tcW w:w="844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7.12  WAIVER OF NOTICE</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0"/>
        </w:trPr>
        <w:tc>
          <w:tcPr>
            <w:tcW w:w="84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79"/>
        </w:trPr>
        <w:tc>
          <w:tcPr>
            <w:tcW w:w="8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VIII - NOTICE BY ELECTRONIC TRANSMISSION</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0"/>
        </w:trPr>
        <w:tc>
          <w:tcPr>
            <w:tcW w:w="11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79"/>
        </w:trPr>
        <w:tc>
          <w:tcPr>
            <w:tcW w:w="1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8.1</w:t>
            </w:r>
          </w:p>
        </w:tc>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NOTICE BY ELECTRONIC TRANSMISSION</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0"/>
        </w:trPr>
        <w:tc>
          <w:tcPr>
            <w:tcW w:w="11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79"/>
        </w:trPr>
        <w:tc>
          <w:tcPr>
            <w:tcW w:w="1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8.2</w:t>
            </w:r>
          </w:p>
        </w:tc>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DEFINITION OF ELECTRONIC TRANSMISSION</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0"/>
        </w:trPr>
        <w:tc>
          <w:tcPr>
            <w:tcW w:w="11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519"/>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w w:val="97"/>
              </w:rPr>
              <w:t>ARTICLE IX</w:t>
            </w:r>
          </w:p>
        </w:tc>
        <w:tc>
          <w:tcPr>
            <w:tcW w:w="7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INDEMNIFICATION AND ADVANCEMENT</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w:t>
            </w:r>
          </w:p>
        </w:tc>
      </w:tr>
    </w:tbl>
    <w:p>
      <w:pPr>
        <w:sectPr>
          <w:pgSz w:w="11900" w:h="17038" w:orient="portrait"/>
          <w:cols w:equalWidth="0" w:num="1">
            <w:col w:w="10620"/>
          </w:cols>
          <w:pgMar w:left="360" w:top="114" w:right="919" w:bottom="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6841490</wp:posOffset>
            </wp:positionH>
            <wp:positionV relativeFrom="page">
              <wp:posOffset>140335</wp:posOffset>
            </wp:positionV>
            <wp:extent cx="1257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9.1</w:t>
            </w:r>
          </w:p>
        </w:tc>
        <w:tc>
          <w:tcPr>
            <w:tcW w:w="94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ACTIONS, SUITS AND PROCEEDINGS OTHER THAN BY OR IN THE RIGHT OF THE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9"/>
              </w:rPr>
              <w:t>26</w:t>
            </w:r>
          </w:p>
        </w:tc>
      </w:tr>
      <w:tr>
        <w:trPr>
          <w:trHeight w:val="256"/>
        </w:trPr>
        <w:tc>
          <w:tcPr>
            <w:tcW w:w="10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CORPORATION.</w:t>
            </w:r>
          </w:p>
        </w:tc>
        <w:tc>
          <w:tcPr>
            <w:tcW w:w="200" w:type="dxa"/>
            <w:vAlign w:val="bottom"/>
          </w:tcPr>
          <w:p>
            <w:pPr>
              <w:spacing w:after="0"/>
              <w:rPr>
                <w:sz w:val="22"/>
                <w:szCs w:val="22"/>
                <w:color w:val="auto"/>
              </w:rPr>
            </w:pPr>
          </w:p>
        </w:tc>
      </w:tr>
      <w:tr>
        <w:trPr>
          <w:trHeight w:val="453"/>
        </w:trPr>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9.2</w:t>
            </w:r>
          </w:p>
        </w:tc>
        <w:tc>
          <w:tcPr>
            <w:tcW w:w="9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ACTIONS OR SUITS BY OR IN THE RIGHT OF THE CORPORATION.</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9"/>
              </w:rPr>
              <w:t>26</w:t>
            </w:r>
          </w:p>
        </w:tc>
      </w:tr>
      <w:tr>
        <w:trPr>
          <w:trHeight w:val="479"/>
        </w:trPr>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9.3</w:t>
            </w:r>
          </w:p>
        </w:tc>
        <w:tc>
          <w:tcPr>
            <w:tcW w:w="9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INDEMNIFICATION FOR EXPENSES OF SUCCESSFUL PARTY.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9"/>
              </w:rPr>
              <w:t>27</w:t>
            </w:r>
          </w:p>
        </w:tc>
      </w:tr>
      <w:tr>
        <w:trPr>
          <w:trHeight w:val="480"/>
        </w:trPr>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9.4</w:t>
            </w:r>
          </w:p>
        </w:tc>
        <w:tc>
          <w:tcPr>
            <w:tcW w:w="9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NOTIFICATION AND DEFENSE OF CLAIM.</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9"/>
              </w:rPr>
              <w:t>27</w:t>
            </w:r>
          </w:p>
        </w:tc>
      </w:tr>
      <w:tr>
        <w:trPr>
          <w:trHeight w:val="479"/>
        </w:trPr>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9.5</w:t>
            </w:r>
          </w:p>
        </w:tc>
        <w:tc>
          <w:tcPr>
            <w:tcW w:w="9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ADVANCE OF EXPENSES.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9"/>
              </w:rPr>
              <w:t>28</w:t>
            </w:r>
          </w:p>
        </w:tc>
      </w:tr>
      <w:tr>
        <w:trPr>
          <w:trHeight w:val="479"/>
        </w:trPr>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9.6</w:t>
            </w:r>
          </w:p>
        </w:tc>
        <w:tc>
          <w:tcPr>
            <w:tcW w:w="9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PROCEDURE FOR INDEMNIFICATION AND ADVANCEMENT OF EXPENSES.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9"/>
              </w:rPr>
              <w:t>28</w:t>
            </w:r>
          </w:p>
        </w:tc>
      </w:tr>
      <w:tr>
        <w:trPr>
          <w:trHeight w:val="480"/>
        </w:trPr>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9.7</w:t>
            </w:r>
          </w:p>
        </w:tc>
        <w:tc>
          <w:tcPr>
            <w:tcW w:w="9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REMEDIES.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9"/>
              </w:rPr>
              <w:t>29</w:t>
            </w:r>
          </w:p>
        </w:tc>
      </w:tr>
      <w:tr>
        <w:trPr>
          <w:trHeight w:val="479"/>
        </w:trPr>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9.8</w:t>
            </w:r>
          </w:p>
        </w:tc>
        <w:tc>
          <w:tcPr>
            <w:tcW w:w="9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LIMITATIONS.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9"/>
              </w:rPr>
              <w:t>29</w:t>
            </w:r>
          </w:p>
        </w:tc>
      </w:tr>
      <w:tr>
        <w:trPr>
          <w:trHeight w:val="479"/>
        </w:trPr>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9.9</w:t>
            </w:r>
          </w:p>
        </w:tc>
        <w:tc>
          <w:tcPr>
            <w:tcW w:w="9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SUBSEQUENT AMENDMENT.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9"/>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0620"/>
          </w:cols>
          <w:pgMar w:left="360" w:top="490" w:right="919" w:bottom="1440" w:gutter="0" w:footer="0" w:header="0"/>
        </w:sectPr>
      </w:pPr>
    </w:p>
    <w:bookmarkStart w:id="8" w:name="page9"/>
    <w:bookmarkEnd w:id="8"/>
    <w:p>
      <w:pPr>
        <w:jc w:val="center"/>
        <w:ind w:right="-53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0"/>
          <w:szCs w:val="20"/>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100" w:type="dxa"/>
            <w:vAlign w:val="bottom"/>
          </w:tcPr>
          <w:p>
            <w:pPr>
              <w:spacing w:after="0"/>
              <w:rPr>
                <w:sz w:val="22"/>
                <w:szCs w:val="22"/>
                <w:color w:val="auto"/>
              </w:rPr>
            </w:pPr>
          </w:p>
        </w:tc>
        <w:tc>
          <w:tcPr>
            <w:tcW w:w="5840" w:type="dxa"/>
            <w:vAlign w:val="bottom"/>
          </w:tcPr>
          <w:p>
            <w:pPr>
              <w:spacing w:after="0"/>
              <w:rPr>
                <w:sz w:val="22"/>
                <w:szCs w:val="22"/>
                <w:color w:val="auto"/>
              </w:rPr>
            </w:pPr>
          </w:p>
        </w:tc>
        <w:tc>
          <w:tcPr>
            <w:tcW w:w="36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467"/>
        </w:trPr>
        <w:tc>
          <w:tcPr>
            <w:tcW w:w="1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9.10</w:t>
            </w:r>
          </w:p>
        </w:tc>
        <w:tc>
          <w:tcPr>
            <w:tcW w:w="5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 RIGHTS.</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0"/>
        </w:trPr>
        <w:tc>
          <w:tcPr>
            <w:tcW w:w="11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79"/>
        </w:trPr>
        <w:tc>
          <w:tcPr>
            <w:tcW w:w="1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9.11</w:t>
            </w:r>
          </w:p>
        </w:tc>
        <w:tc>
          <w:tcPr>
            <w:tcW w:w="5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PARTIAL INDEMNIFICATION.</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0"/>
        </w:trPr>
        <w:tc>
          <w:tcPr>
            <w:tcW w:w="11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79"/>
        </w:trPr>
        <w:tc>
          <w:tcPr>
            <w:tcW w:w="1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9.12</w:t>
            </w:r>
          </w:p>
        </w:tc>
        <w:tc>
          <w:tcPr>
            <w:tcW w:w="5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INSURANCE.</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0"/>
        </w:trPr>
        <w:tc>
          <w:tcPr>
            <w:tcW w:w="11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80"/>
        </w:trPr>
        <w:tc>
          <w:tcPr>
            <w:tcW w:w="1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9.13</w:t>
            </w:r>
          </w:p>
        </w:tc>
        <w:tc>
          <w:tcPr>
            <w:tcW w:w="5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SAVINGS CLAUSE.</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0"/>
        </w:trPr>
        <w:tc>
          <w:tcPr>
            <w:tcW w:w="11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79"/>
        </w:trPr>
        <w:tc>
          <w:tcPr>
            <w:tcW w:w="1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9.14</w:t>
            </w:r>
          </w:p>
        </w:tc>
        <w:tc>
          <w:tcPr>
            <w:tcW w:w="5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DEFINITIONS.</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0"/>
        </w:trPr>
        <w:tc>
          <w:tcPr>
            <w:tcW w:w="694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79"/>
        </w:trPr>
        <w:tc>
          <w:tcPr>
            <w:tcW w:w="6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 - AMENDMENTS</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0"/>
        </w:trPr>
        <w:tc>
          <w:tcPr>
            <w:tcW w:w="11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0620"/>
          </w:cols>
          <w:pgMar w:left="360" w:top="114" w:right="91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AMENDED AND RESTATED BYLAWS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EXAGEN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6986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6986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 - CORPORATE OFFICES</w:t>
      </w:r>
    </w:p>
    <w:p>
      <w:pPr>
        <w:spacing w:after="0" w:line="22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REGISTERED OFFICE.</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registered office of Exagen Inc.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shall be fixed in the Corporation’s certificate of incorporation, as the same may be amended and/or restated from time to time (the “</w:t>
      </w:r>
      <w:r>
        <w:rPr>
          <w:rFonts w:ascii="Times New Roman" w:cs="Times New Roman" w:eastAsia="Times New Roman" w:hAnsi="Times New Roman"/>
          <w:sz w:val="22"/>
          <w:szCs w:val="22"/>
          <w:u w:val="single" w:color="auto"/>
          <w:color w:val="auto"/>
        </w:rPr>
        <w:t>certificate of incorporation</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OTHER OFFICES.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Corporation may have other offices at any place or places, either within or outside the State of Delaware, as the Corporation’s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from time to time determine or the business of the Corporation may from time to time require.</w:t>
      </w:r>
    </w:p>
    <w:p>
      <w:pPr>
        <w:spacing w:after="0" w:line="385" w:lineRule="exact"/>
        <w:rPr>
          <w:sz w:val="20"/>
          <w:szCs w:val="20"/>
          <w:color w:val="auto"/>
        </w:rPr>
      </w:pPr>
    </w:p>
    <w:p>
      <w:pPr>
        <w:ind w:left="660" w:right="3240" w:firstLine="2588"/>
        <w:spacing w:after="0" w:line="450" w:lineRule="auto"/>
        <w:rPr>
          <w:sz w:val="20"/>
          <w:szCs w:val="20"/>
          <w:color w:val="auto"/>
        </w:rPr>
      </w:pPr>
      <w:r>
        <w:rPr>
          <w:rFonts w:ascii="Times New Roman" w:cs="Times New Roman" w:eastAsia="Times New Roman" w:hAnsi="Times New Roman"/>
          <w:sz w:val="22"/>
          <w:szCs w:val="22"/>
          <w:b w:val="1"/>
          <w:bCs w:val="1"/>
          <w:color w:val="auto"/>
        </w:rPr>
        <w:t xml:space="preserve">ARTICLE II - MEETINGS OF STOCKHOLDERS </w:t>
      </w:r>
      <w:r>
        <w:rPr>
          <w:rFonts w:ascii="Times New Roman" w:cs="Times New Roman" w:eastAsia="Times New Roman" w:hAnsi="Times New Roman"/>
          <w:sz w:val="22"/>
          <w:szCs w:val="22"/>
          <w:color w:val="auto"/>
        </w:rPr>
        <w:t>2.1 PLACE OF MEETINGS.</w:t>
      </w: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 of the General Corporation Law of the State of Delaware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In the absence of any such designation or determination, stockholders’ meetings shall be held at the Corporation’s principal executive office.</w:t>
      </w:r>
    </w:p>
    <w:p>
      <w:pPr>
        <w:spacing w:after="0" w:line="18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color w:val="auto"/>
        </w:rPr>
        <w:t>ANNUAL MEETING.</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Board shall designate the date and time of the annual meeting. At the annual meeting, directors shall be elected and other proper business properly brought before the meeting in accordance with Section 2.4 of these bylaws may be transacted.</w:t>
      </w:r>
    </w:p>
    <w:p>
      <w:pPr>
        <w:spacing w:after="0" w:line="15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color w:val="auto"/>
        </w:rPr>
        <w:t>SPECIAL MEETING.</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 special meeting of the stockholders may be called at any time by the Board, chairperson of the Board, chief executive officer or president (in the absence of a chief executive officer) of the Corporation, but such special meetings may not be called by any other person or persons.</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 business may be transacted at such special meeting other than the business specified in such notice to stockholders. Nothing contained in this paragraph of this Section 2.3 shall be</w:t>
      </w:r>
    </w:p>
    <w:p>
      <w:pPr>
        <w:sectPr>
          <w:pgSz w:w="11900" w:h="16838" w:orient="portrait"/>
          <w:cols w:equalWidth="0" w:num="1">
            <w:col w:w="11240"/>
          </w:cols>
          <w:pgMar w:left="320" w:top="1418" w:right="339" w:bottom="1440" w:gutter="0" w:footer="0" w:header="0"/>
        </w:sectPr>
      </w:pPr>
    </w:p>
    <w:bookmarkStart w:id="10" w:name="page11"/>
    <w:bookmarkEnd w:id="10"/>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construed as limiting, fixing, or affecting the time when a meeting of stockholders called by action of the Board may be held.</w:t>
      </w:r>
    </w:p>
    <w:p>
      <w:pPr>
        <w:spacing w:after="0" w:line="22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color w:val="auto"/>
        </w:rPr>
        <w:t>ADVANCE NOTICE PROCEDURES FOR BUSINESS BROUGHT BEFORE A MEETING.</w:t>
      </w:r>
    </w:p>
    <w:p>
      <w:pPr>
        <w:spacing w:after="0" w:line="220" w:lineRule="exact"/>
        <w:rPr>
          <w:sz w:val="20"/>
          <w:szCs w:val="20"/>
          <w:color w:val="auto"/>
        </w:rPr>
      </w:pPr>
    </w:p>
    <w:p>
      <w:pPr>
        <w:jc w:val="both"/>
        <w:ind w:firstLine="1304"/>
        <w:spacing w:after="0" w:line="257" w:lineRule="auto"/>
        <w:tabs>
          <w:tab w:leader="none" w:pos="1766" w:val="left"/>
        </w:tabs>
        <w:numPr>
          <w:ilvl w:val="1"/>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 annual meeting of the stockholders, only such business shall be conducted as shall have been properly brought before the meeting. To be properly brought before an annual meeting, business must be (i) brought before the meeting by the Corporation and specified in a notice of meeting given by or at the direction of the Board, (ii) brought before the meeting by or at the direction of the Board (or a committee thereof) or (iii) otherwise properly brought before the meeting by a stockholder who (A) was a stockholder of record of the Corporation (and, with respect to any beneficial owner, if different, on whose behalf such business is proposed, only if such beneficial owner was the beneficial owner of shares of the Corporation) both at the time of giving the notice provided for in this Section 2.4 and at the time of the meeting, (B) is entitled to vote at the meeting and (C) has complied with this Section 2.4 as to such business. Except for proposals properly made in accordance with Rule 14a-8 under the Securities Exchange Act of 1934, as amended, and the rules and regulations promulgated thereunder (as so amended and inclusive of such rules and regulations,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and included in the notice of meeting given by or at the direction of the Board, the foregoing clause (iii) shall be the exclusive means for a stockholder to propose business to be brought before an annual meeting of the stockholders. Stockholders shall not be permitted to propose business to be brought before a special meeting of the stockholders, and the only matters that may be brought before a special meeting are the matters specified in the notice of meeting given by or at the direction of the person calling the meeting pursuant to Section 2.3 of these bylaws. Stockholders seeking to nominate persons for election to the Board must comply with Section 2.5 of these bylaws, and this Section 2.4 shall not be applicable to nominations except as expressly provided in Section 2.5 of these bylaws.</w:t>
      </w:r>
    </w:p>
    <w:p>
      <w:pPr>
        <w:spacing w:after="0" w:line="182" w:lineRule="exact"/>
        <w:rPr>
          <w:rFonts w:ascii="Times New Roman" w:cs="Times New Roman" w:eastAsia="Times New Roman" w:hAnsi="Times New Roman"/>
          <w:sz w:val="21"/>
          <w:szCs w:val="21"/>
          <w:color w:val="auto"/>
        </w:rPr>
      </w:pPr>
    </w:p>
    <w:p>
      <w:pPr>
        <w:jc w:val="both"/>
        <w:ind w:firstLine="1304"/>
        <w:spacing w:after="0" w:line="259" w:lineRule="auto"/>
        <w:tabs>
          <w:tab w:leader="none" w:pos="1928" w:val="left"/>
        </w:tabs>
        <w:numPr>
          <w:ilvl w:val="1"/>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qualification, for business to be properly brought before an annual meeting by a stockholder pursuant to clause (iii) of the second sentence of Section 2.4(a) of these bylaws,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by the secretary at, the principal executive offices of the Corporation not less than ninety</w:t>
      </w:r>
    </w:p>
    <w:p>
      <w:pPr>
        <w:spacing w:after="0" w:line="3" w:lineRule="exact"/>
        <w:rPr>
          <w:rFonts w:ascii="Times New Roman" w:cs="Times New Roman" w:eastAsia="Times New Roman" w:hAnsi="Times New Roman"/>
          <w:sz w:val="21"/>
          <w:szCs w:val="21"/>
          <w:color w:val="auto"/>
        </w:rPr>
      </w:pPr>
    </w:p>
    <w:p>
      <w:pPr>
        <w:jc w:val="both"/>
        <w:ind w:firstLine="8"/>
        <w:spacing w:after="0" w:line="228" w:lineRule="auto"/>
        <w:tabs>
          <w:tab w:leader="none" w:pos="437"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nor more than one hundred twenty (120) days prior to the first anniversary of the preceding year’s annual meeting; </w:t>
      </w:r>
      <w:r>
        <w:rPr>
          <w:rFonts w:ascii="Times New Roman" w:cs="Times New Roman" w:eastAsia="Times New Roman" w:hAnsi="Times New Roman"/>
          <w:sz w:val="22"/>
          <w:szCs w:val="22"/>
          <w:i w:val="1"/>
          <w:iCs w:val="1"/>
          <w:u w:val="single" w:color="auto"/>
          <w:color w:val="auto"/>
        </w:rPr>
        <w:t>provided, however</w:t>
      </w:r>
      <w:r>
        <w:rPr>
          <w:rFonts w:ascii="Times New Roman" w:cs="Times New Roman" w:eastAsia="Times New Roman" w:hAnsi="Times New Roman"/>
          <w:sz w:val="22"/>
          <w:szCs w:val="22"/>
          <w:color w:val="auto"/>
        </w:rPr>
        <w:t>, that (x) if the date of the annual meeting is more than thirty (30) days before or more than sixty (60) days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after such anniversary date or (y) with respect to the first annual meeting held after the Company’s initial public offering of its shares pursuant to a registration statement on Form S-1, notice by the stockholder to be timely must be so delivered, or mailed and received, not earlier than the close of business on the one hundred twentieth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prior to such annual meeting and not later than the later of the close of business on the ninetieth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prior to such annual meeting and the close of business on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day on which public disclosure of the date of such annual meeting was first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(such notice within such time periods, “</w:t>
      </w:r>
      <w:r>
        <w:rPr>
          <w:rFonts w:ascii="Times New Roman" w:cs="Times New Roman" w:eastAsia="Times New Roman" w:hAnsi="Times New Roman"/>
          <w:sz w:val="22"/>
          <w:szCs w:val="22"/>
          <w:u w:val="single" w:color="auto"/>
          <w:color w:val="auto"/>
        </w:rPr>
        <w:t>Timely Notice</w:t>
      </w:r>
      <w:r>
        <w:rPr>
          <w:rFonts w:ascii="Times New Roman" w:cs="Times New Roman" w:eastAsia="Times New Roman" w:hAnsi="Times New Roman"/>
          <w:sz w:val="22"/>
          <w:szCs w:val="22"/>
          <w:color w:val="auto"/>
        </w:rPr>
        <w:t>”). In no event shall any adjournment or postponement of an annual meeting or the announcement thereof commence a new time period (or extend any time period) for the giving of Timely Notice as described above.</w:t>
      </w:r>
    </w:p>
    <w:p>
      <w:pPr>
        <w:spacing w:after="0" w:line="173" w:lineRule="exact"/>
        <w:rPr>
          <w:sz w:val="20"/>
          <w:szCs w:val="20"/>
          <w:color w:val="auto"/>
        </w:rPr>
      </w:pPr>
    </w:p>
    <w:p>
      <w:pPr>
        <w:ind w:right="20" w:firstLine="1304"/>
        <w:spacing w:after="0" w:line="271" w:lineRule="auto"/>
        <w:tabs>
          <w:tab w:leader="none" w:pos="192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in proper form for purposes of this Section 2.4, a stockholder’s notice to the secretary of the Corporation shall set forth:</w:t>
      </w:r>
    </w:p>
    <w:p>
      <w:pPr>
        <w:spacing w:after="0" w:line="157" w:lineRule="exact"/>
        <w:rPr>
          <w:rFonts w:ascii="Times New Roman" w:cs="Times New Roman" w:eastAsia="Times New Roman" w:hAnsi="Times New Roman"/>
          <w:sz w:val="22"/>
          <w:szCs w:val="22"/>
          <w:color w:val="auto"/>
        </w:rPr>
      </w:pPr>
    </w:p>
    <w:p>
      <w:pPr>
        <w:jc w:val="both"/>
        <w:ind w:left="1300" w:firstLine="652"/>
        <w:spacing w:after="0" w:line="247" w:lineRule="auto"/>
        <w:tabs>
          <w:tab w:leader="none" w:pos="2388"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Proposing Person (as defined below), (A) the name and address of such Proposing Person (including, without limitation, if applicable, the name and address that appear on the Corporation’s books and records) and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(the disclosures to be made pursuant to the foregoing clauses (A) and (B) are referred to as “</w:t>
      </w:r>
      <w:r>
        <w:rPr>
          <w:rFonts w:ascii="Times New Roman" w:cs="Times New Roman" w:eastAsia="Times New Roman" w:hAnsi="Times New Roman"/>
          <w:sz w:val="22"/>
          <w:szCs w:val="22"/>
          <w:u w:val="single" w:color="auto"/>
          <w:color w:val="auto"/>
        </w:rPr>
        <w:t>Stockholder Information</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22"/>
          <w:szCs w:val="22"/>
          <w:color w:val="auto"/>
        </w:rPr>
      </w:pPr>
    </w:p>
    <w:p>
      <w:pPr>
        <w:jc w:val="both"/>
        <w:ind w:left="1300" w:firstLine="652"/>
        <w:spacing w:after="0" w:line="244" w:lineRule="auto"/>
        <w:tabs>
          <w:tab w:leader="none" w:pos="247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Proposing Person, (A) any derivative, swap or other transaction or series of transactions engaged in, directly or indirectly, by such Proposing Person, the purpose or effect of which is to give such Proposing Person economic risk similar to ownership of shares of any class or series of the Corporation, including, without limitation, due to the fact that the value of such derivative, swap or other transactions are determined by reference to the price, value or volatility of any shares of any class or series of the Corporation, or which derivative, swap or other transactions provide, directly or indirectly, the opportunity to profit from any increase in the price or value of shares of any class or series of the Corporation (“</w:t>
      </w:r>
      <w:r>
        <w:rPr>
          <w:rFonts w:ascii="Times New Roman" w:cs="Times New Roman" w:eastAsia="Times New Roman" w:hAnsi="Times New Roman"/>
          <w:sz w:val="22"/>
          <w:szCs w:val="22"/>
          <w:u w:val="single" w:color="auto"/>
          <w:color w:val="auto"/>
        </w:rPr>
        <w:t>Synthetic Equity Interests</w:t>
      </w:r>
      <w:r>
        <w:rPr>
          <w:rFonts w:ascii="Times New Roman" w:cs="Times New Roman" w:eastAsia="Times New Roman" w:hAnsi="Times New Roman"/>
          <w:sz w:val="22"/>
          <w:szCs w:val="22"/>
          <w:color w:val="auto"/>
        </w:rPr>
        <w:t>”), which Synthetic Equity Interests shall be disclosed without regard to whether (x) the derivative, swap or other transactions convey any voting rights in such shares to such Proposing Person, (y) the derivative, swap or other transactions are required to be, or are capable of being, settled through delivery of such shares or (z) such Proposing Person may have entered into other transactions that hedge or mitigate the economic effect of such derivative, swap or other transactions, (B) any proxy (other than a revocable proxy or consent given in response to a solicitation made pursuant to, and in accordance with, Section 14(a) of the Exchange Act by way of a solicitation statement filed on Schedule 14A), agreement, arrangement, understanding or relationship pursuant to which such Proposing Person has or shares a right to vote any shares of any class or series of the Corporation, (C) any agreement, arrangement, understanding or relationship, including, without limitation, any repurchase or similar so-called “stock borrowing” agreement or arrangement, engaged in, directly or indirectly, by such Proposing Person, the purpose or effect of which is to mitigate loss to, reduce the economic risk (of ownership or otherwise) of shares of any class or series of the Corporation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98"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21"/>
          <w:szCs w:val="21"/>
          <w:color w:val="auto"/>
        </w:rPr>
        <w:t>manage the risk of share price changes for, or increase or decrease the voting power of, such Proposing Person with respect to the shares of any class or series of the Corporation, or which provides, directly or indirectly, the opportunity to profit from any decrease in the price or value of the shares of any class or series of the Corporation (“</w:t>
      </w:r>
      <w:r>
        <w:rPr>
          <w:rFonts w:ascii="Times New Roman" w:cs="Times New Roman" w:eastAsia="Times New Roman" w:hAnsi="Times New Roman"/>
          <w:sz w:val="21"/>
          <w:szCs w:val="21"/>
          <w:u w:val="single" w:color="auto"/>
          <w:color w:val="auto"/>
        </w:rPr>
        <w:t>Short Interests</w:t>
      </w:r>
      <w:r>
        <w:rPr>
          <w:rFonts w:ascii="Times New Roman" w:cs="Times New Roman" w:eastAsia="Times New Roman" w:hAnsi="Times New Roman"/>
          <w:sz w:val="21"/>
          <w:szCs w:val="21"/>
          <w:color w:val="auto"/>
        </w:rPr>
        <w:t>”), (D) any rights to dividends on the shares of any class or series of the Corporation owned beneficially by such Proposing Person that are separated or separable from the underlying shares of the Corporation, (E) any performance related fees (other than an asset based fee) that such Proposing Person is entitled to based on any increase or decrease in the price or value of shares of any class or series of the Corporation, or any Synthetic Equity Interests or Short Interests, if any, (F)(x) if such Proposing Person is not a natural person, the identity of the natural person or persons associated with such Proposing Person responsible for the formulation of and decision to propose the business to be brought before the meeting (such person or persons, the “</w:t>
      </w:r>
      <w:r>
        <w:rPr>
          <w:rFonts w:ascii="Times New Roman" w:cs="Times New Roman" w:eastAsia="Times New Roman" w:hAnsi="Times New Roman"/>
          <w:sz w:val="21"/>
          <w:szCs w:val="21"/>
          <w:u w:val="single" w:color="auto"/>
          <w:color w:val="auto"/>
        </w:rPr>
        <w:t>Responsible Person</w:t>
      </w:r>
      <w:r>
        <w:rPr>
          <w:rFonts w:ascii="Times New Roman" w:cs="Times New Roman" w:eastAsia="Times New Roman" w:hAnsi="Times New Roman"/>
          <w:sz w:val="21"/>
          <w:szCs w:val="21"/>
          <w:color w:val="auto"/>
        </w:rPr>
        <w:t>”), the manner in which such Responsible Person was selected, any fiduciary duties owed by such Responsible Person to the equity holders or other beneficiaries of such Proposing Person, the qualifications and background of such Responsible Person and any material interests or relationships of such Responsible Person that are not shared generally by any other record or beneficial holder of the shares of any class or series of the Corporation and that reasonably could have influenced the decision of such Proposing Person to propose such business to be brought before the meeting, and (y) if such Proposing Person is a natural person, the qualifications and background of such natural person and any material interests or relationships of such natural person that are not shared generally by any other record or beneficial holder of the shares of any class or series of the Corporation and that reasonably could have influenced the decision of such Proposing Person to propose such business to be brought before the meeting, (G) any significant equity interests or any Synthetic Equity Interests or Short Interests in any principal competitor of the Corporation held by such Proposing Persons, (H) any direct or indirect interest of such Proposing Person in any contract with the Corporation, any affiliate of the Corporation or any principal competitor of the Corporation (including, without limitation, in any such case, any employment agreement, collective bargaining agreement or consulting agreement), (I) any pending or threatened litigation in which such Proposing Person is a party or material participant involving the Corporation or any of its officers or directors, or any affiliate of the Corporation, (J) any material transaction occurring during the prior twelve months between such Proposing Person, on the one hand, and the Corporation, any affiliate of the Corporation or any principal competitor of the Corporation, on the other hand, (K) a summary of any material discussions regarding the business proposed to be brought before the meeting (x) between or among any of the Proposing Persons or (y) between or among any Proposing Person and any other record or beneficial holder of the shares of any class or series of the Corporation (including, without limitation, their names) and (L) any other information relating to such Proposing Person that would be required to be disclosed in a proxy statement or other filing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120"/>
          </w:cols>
          <w:pgMar w:left="1440" w:top="1440" w:right="339" w:bottom="1440" w:gutter="0" w:footer="0" w:header="0"/>
        </w:sectPr>
      </w:pPr>
    </w:p>
    <w:bookmarkStart w:id="13" w:name="page14"/>
    <w:bookmarkEnd w:id="13"/>
    <w:p>
      <w:pPr>
        <w:spacing w:after="0" w:line="198" w:lineRule="exact"/>
        <w:rPr>
          <w:sz w:val="20"/>
          <w:szCs w:val="20"/>
          <w:color w:val="auto"/>
        </w:rPr>
      </w:pPr>
    </w:p>
    <w:p>
      <w:pPr>
        <w:jc w:val="both"/>
        <w:ind w:left="1300"/>
        <w:spacing w:after="0" w:line="248" w:lineRule="auto"/>
        <w:rPr>
          <w:sz w:val="20"/>
          <w:szCs w:val="20"/>
          <w:color w:val="auto"/>
        </w:rPr>
      </w:pPr>
      <w:r>
        <w:rPr>
          <w:rFonts w:ascii="Times New Roman" w:cs="Times New Roman" w:eastAsia="Times New Roman" w:hAnsi="Times New Roman"/>
          <w:sz w:val="22"/>
          <w:szCs w:val="22"/>
          <w:color w:val="auto"/>
        </w:rPr>
        <w:t>be made in connection with solicitations of proxies or consents by such Proposing Person in support of the business proposed to be brought before the meeting pursuant to Section 14(a) of the Exchange Act (the disclosures to be made pursuant to the foregoing clauses (A) through (L) are referred to as “</w:t>
      </w:r>
      <w:r>
        <w:rPr>
          <w:rFonts w:ascii="Times New Roman" w:cs="Times New Roman" w:eastAsia="Times New Roman" w:hAnsi="Times New Roman"/>
          <w:sz w:val="22"/>
          <w:szCs w:val="22"/>
          <w:u w:val="single" w:color="auto"/>
          <w:color w:val="auto"/>
        </w:rPr>
        <w:t>Disclosable Interests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that Disclosable Interests shall not include any such disclosures with respect to the ordinary course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182" w:lineRule="exact"/>
        <w:rPr>
          <w:sz w:val="20"/>
          <w:szCs w:val="20"/>
          <w:color w:val="auto"/>
        </w:rPr>
      </w:pPr>
    </w:p>
    <w:p>
      <w:pPr>
        <w:jc w:val="both"/>
        <w:ind w:left="1300" w:firstLine="652"/>
        <w:spacing w:after="0" w:line="244" w:lineRule="auto"/>
        <w:tabs>
          <w:tab w:leader="none" w:pos="2517"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to each item of business that the stockholder proposes to bring before the annual meeting, (A) a reasonably brief description of the business desired to be brought before the annual meeting, the reasons for conducting such business at the annual meeting and any material interest in such business of each Proposing Person, (B) the text of the proposal or business (including, without limitation, the text of any resolutions proposed for consideration and in the event that such business includes a proposal to amend the bylaws of the Corporation, the language of the proposed amendment), (C) a reasonably detailed description of all agreements, arrangements and understandings between or among any of the Proposing Persons or between or among any Proposing Person and any other person or entity (including, without limitation, their names) in connection with the proposal of such business by such stockholder, (D) a representation that the stockholder is a holder of record of stock of the Corporation entitled to vote at such meeting and intends to appear in person or by proxy at the meeting to propose such business, (E) a representation whether the Proposing Person intends or is part of a group which intends (1) to deliver a proxy statement and/or form of proxy to holders of at least the percentage of the Corporation’s outstanding capital stock required to approve or adopt the proposal and/or (2) otherwise to solicit proxies or votes from stockholders in support of such proposal and (F)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cs="Times New Roman" w:eastAsia="Times New Roman" w:hAnsi="Times New Roman"/>
          <w:sz w:val="22"/>
          <w:szCs w:val="22"/>
          <w:i w:val="1"/>
          <w:iCs w:val="1"/>
          <w:u w:val="single" w:color="auto"/>
          <w:color w:val="auto"/>
        </w:rPr>
        <w:t>provided, however</w:t>
      </w:r>
      <w:r>
        <w:rPr>
          <w:rFonts w:ascii="Times New Roman" w:cs="Times New Roman" w:eastAsia="Times New Roman" w:hAnsi="Times New Roman"/>
          <w:sz w:val="22"/>
          <w:szCs w:val="22"/>
          <w:color w:val="auto"/>
        </w:rPr>
        <w:t>, that the disclosures required by this paragraph (c)(iii)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202"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2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2.4, the term “</w:t>
      </w:r>
      <w:r>
        <w:rPr>
          <w:rFonts w:ascii="Times New Roman" w:cs="Times New Roman" w:eastAsia="Times New Roman" w:hAnsi="Times New Roman"/>
          <w:sz w:val="22"/>
          <w:szCs w:val="22"/>
          <w:u w:val="single" w:color="auto"/>
          <w:color w:val="auto"/>
        </w:rPr>
        <w:t>Proposing Person</w:t>
      </w:r>
      <w:r>
        <w:rPr>
          <w:rFonts w:ascii="Times New Roman" w:cs="Times New Roman" w:eastAsia="Times New Roman" w:hAnsi="Times New Roman"/>
          <w:sz w:val="22"/>
          <w:szCs w:val="22"/>
          <w:color w:val="auto"/>
        </w:rPr>
        <w:t>” shall mean (i) the stockholder providing the notice of business proposed to be brought before an annual meeting, (ii) the beneficial owner or beneficial owners, if different, on whose behalf the notice of the business proposed to be brought before the annual meeting is made, (iii) any affiliate or associate (each within the meaning of Rule 12b-2 under the Exchange Act for the purposes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these bylaws) of such stockholder or beneficial owner and (iv) any other person with whom such stockholder or beneficial owner (or any of their respective affiliates or associates) is Acting in Concert (as defined below).</w:t>
      </w:r>
    </w:p>
    <w:p>
      <w:pPr>
        <w:spacing w:after="0" w:line="158" w:lineRule="exact"/>
        <w:rPr>
          <w:sz w:val="20"/>
          <w:szCs w:val="20"/>
          <w:color w:val="auto"/>
        </w:rPr>
      </w:pPr>
    </w:p>
    <w:p>
      <w:pPr>
        <w:jc w:val="both"/>
        <w:ind w:firstLine="1304"/>
        <w:spacing w:after="0" w:line="245" w:lineRule="auto"/>
        <w:tabs>
          <w:tab w:leader="none" w:pos="175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shall be deemed to be “</w:t>
      </w:r>
      <w:r>
        <w:rPr>
          <w:rFonts w:ascii="Times New Roman" w:cs="Times New Roman" w:eastAsia="Times New Roman" w:hAnsi="Times New Roman"/>
          <w:sz w:val="22"/>
          <w:szCs w:val="22"/>
          <w:u w:val="single" w:color="auto"/>
          <w:color w:val="auto"/>
        </w:rPr>
        <w:t>Acting in Concert</w:t>
      </w:r>
      <w:r>
        <w:rPr>
          <w:rFonts w:ascii="Times New Roman" w:cs="Times New Roman" w:eastAsia="Times New Roman" w:hAnsi="Times New Roman"/>
          <w:sz w:val="22"/>
          <w:szCs w:val="22"/>
          <w:color w:val="auto"/>
        </w:rPr>
        <w:t xml:space="preserve">” with another person for purposes of these bylaws if such person knowingly acts (whether or not pursuant to an express agreement, arrangement or understanding) in concert with, or towards a common goal relating to the management, governance or control of the Corporation in parallel with, such other person where (i) each person is conscious of the other person’s conduct or intent and this awareness is an element in their decision-making processes and (ii) at least one additional factor suggests that such persons intend to act in concert or in parallel, which such additional factors may include, without limitation, exchanging information (whether publicly or privately), attending meetings, conducting discussions, or making or soliciting invitations to act in concert or in parallel;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that a person shall not be deemed to be Acting in Concert with any other person solely as a result of the solicitation or receipt of revocable proxies or consents from such other person in response to a solicitation made pursuant to, and in accordance with, Section 14(a) of the Exchange Act by way of a proxy or consent solicitation statement filed on Schedule 14A. A person Acting in Concert with another person shall be deemed to be Acting in Concert with any third party who is also Acting in Concert with such other person.</w:t>
      </w:r>
    </w:p>
    <w:p>
      <w:pPr>
        <w:spacing w:after="0" w:line="195" w:lineRule="exact"/>
        <w:rPr>
          <w:rFonts w:ascii="Times New Roman" w:cs="Times New Roman" w:eastAsia="Times New Roman" w:hAnsi="Times New Roman"/>
          <w:sz w:val="22"/>
          <w:szCs w:val="22"/>
          <w:color w:val="auto"/>
        </w:rPr>
      </w:pPr>
    </w:p>
    <w:p>
      <w:pPr>
        <w:jc w:val="both"/>
        <w:ind w:firstLine="1304"/>
        <w:spacing w:after="0" w:line="246" w:lineRule="auto"/>
        <w:tabs>
          <w:tab w:leader="none" w:pos="17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stockholder providing notice of business proposed to be brought before an annual meeting shall further update and supplement such notice, if necessary, so that the information provided or required to be provided in such notice pursuant to this Section 2.4 shall be true and correct as of the record date for determining stockholders entitled to notice of the annual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determining stockholders entitled to notice of the annual meeting (in the case of the update and supplement required to be made as of the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185" w:lineRule="exact"/>
        <w:rPr>
          <w:rFonts w:ascii="Times New Roman" w:cs="Times New Roman" w:eastAsia="Times New Roman" w:hAnsi="Times New Roman"/>
          <w:sz w:val="22"/>
          <w:szCs w:val="22"/>
          <w:color w:val="auto"/>
        </w:rPr>
      </w:pPr>
    </w:p>
    <w:p>
      <w:pPr>
        <w:jc w:val="both"/>
        <w:ind w:firstLine="1304"/>
        <w:spacing w:after="0" w:line="247" w:lineRule="auto"/>
        <w:tabs>
          <w:tab w:leader="none" w:pos="178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these bylaws to the contrary and except as otherwise expressly provided in any applicable rule or regulation promulgated under the Exchange Act, no business shall be conducted at an annual meeting except in accordance with this Section 2.4. The presiding officer of an annual meeting of stockholders shall have the power and duty (a) to determine that any business was not properly brought before the meeting in accordance with this Section 2.4 (including whether the stockholder or beneficial owner, if any, on whose behalf the business proposed to be brought before the annual meeting is made, solicited (or is part of a group which solicited) or did not so solicit, as the case may be, proxies or votes in support of such stockholder’s business in compliance with such stockholder’s representation as required by clause (c)(iii)(E) of this Section 2.4); and (b) if any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business was not proposed in compliance with this Section 2.4 to declare to the meeting that any such business not properly brought before the meeting shall not be transacted.</w:t>
      </w:r>
    </w:p>
    <w:p>
      <w:pPr>
        <w:spacing w:after="0" w:line="158" w:lineRule="exact"/>
        <w:rPr>
          <w:sz w:val="20"/>
          <w:szCs w:val="20"/>
          <w:color w:val="auto"/>
        </w:rPr>
      </w:pPr>
    </w:p>
    <w:p>
      <w:pPr>
        <w:jc w:val="both"/>
        <w:ind w:firstLine="1304"/>
        <w:spacing w:after="0" w:line="248" w:lineRule="auto"/>
        <w:tabs>
          <w:tab w:leader="none" w:pos="176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notice requirements of this Section 2.4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 Nothing in this Section 2.4 shall be deemed to affect the rights of stockholders to request inclusion of proposals in the Corporation’s proxy statement pursuant to Rule 14a-8 under the Exchange Act.</w:t>
      </w:r>
    </w:p>
    <w:p>
      <w:pPr>
        <w:spacing w:after="0" w:line="18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3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spacing w:after="0" w:line="172"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9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2.4, unless otherwise required by law, if the stockholder (or a qualified representative of the stockholder) does not appear at the annual meeting to present proposed business, such proposed business shall not be transacted, notwithstanding that proxies in respect of such vote may have been received by the Corporation. For purposes of this Section 2.4, except as provided under Rule 14a-8 under the Exchange Act,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annual meeting and such person must produce such writing or electronic transmission, or a reliable reproduction of the writing or electronic transmission, at the annual meeting.</w:t>
      </w:r>
    </w:p>
    <w:p>
      <w:pPr>
        <w:spacing w:after="0" w:line="185"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17"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2.4, a stockholder shall also comply with all applicable requirements of the Exchange Act with respect to the matters set forth in this Section 2.4; provided however, that any references in these bylaws to the Exchange Act are not intended to and shall not limit any requirements applicable to proposals as to any business to be considered pursuant to this Section 2.4 (including paragraph (a)(iii) hereof), and compliance with paragraph (a)(iii) of this Section 2.4 shall be the exclusive means for a stockholder to submit business (other than, as provided in the first sentence of paragraph (h) of this Section 2.4, business brought properly under and in compliance with Rule 14a-8 of the Exchange Act, as may be amended from time to time).</w:t>
      </w:r>
    </w:p>
    <w:p>
      <w:pPr>
        <w:spacing w:after="0" w:line="18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color w:val="auto"/>
        </w:rPr>
        <w:t>ADVANCE NOTICE PROCEDURES FOR NOMINATIONS OF DIRECTORS.</w:t>
      </w:r>
    </w:p>
    <w:p>
      <w:pPr>
        <w:spacing w:after="0" w:line="220" w:lineRule="exact"/>
        <w:rPr>
          <w:sz w:val="20"/>
          <w:szCs w:val="20"/>
          <w:color w:val="auto"/>
        </w:rPr>
      </w:pPr>
    </w:p>
    <w:p>
      <w:pPr>
        <w:jc w:val="both"/>
        <w:ind w:firstLine="1304"/>
        <w:spacing w:after="0" w:line="252" w:lineRule="auto"/>
        <w:tabs>
          <w:tab w:leader="none" w:pos="177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Nominations of any person for election to the Board at an annual meeting or at a special meeting (but, in the case of a special meeting, only if the election of directors is a matter specified in the notice of meeting given by or at the direction of the person calling such special meeting) may be made at such meeting only (i) by or at the direction of the Board or any committee thereof, or (ii) by a stockholder who (A) was a stockholder of record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Corporation (and, with respect to any beneficial owner, if different, on whose behalf such nomination is proposed to be made, only if such beneficial owner was the beneficial owner of shares of the Corporation) both at the time of giving the notice provided for in this Section 2.5 and at the time of the meeting, (B) is entitled to vote at the meeting and (C) has complied with this Section 2.5 as to such nomination. The foregoing clause (ii) shall be the exclusive means for a stockholder to make any nomination of a person or persons for election to the Board to be considered by the stockholders at an annual meeting or special meeting.</w:t>
      </w:r>
    </w:p>
    <w:p>
      <w:pPr>
        <w:spacing w:after="0" w:line="187" w:lineRule="exact"/>
        <w:rPr>
          <w:sz w:val="20"/>
          <w:szCs w:val="20"/>
          <w:color w:val="auto"/>
        </w:rPr>
      </w:pPr>
    </w:p>
    <w:p>
      <w:pPr>
        <w:jc w:val="both"/>
        <w:ind w:firstLine="1304"/>
        <w:spacing w:after="0" w:line="246" w:lineRule="auto"/>
        <w:tabs>
          <w:tab w:leader="none" w:pos="1827"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qualification, for a stockholder to make any nomination of a person or persons for election to the Board at an annual meeting, the stockholder must (i) provide Timely Notice (as defined in Section 2.4(b) of these bylaws) thereof in writing and in proper form to the secretary of the Corporation and (ii) provide any updates or supplements to such notice at the times and in the forms required by this Section 2.5. Notwithstanding anything in this paragraph to the contrary, in the event that the number of directors to be elected to the Board at an annual meeting is increased effective after the time period for which nominations would otherwise by due under this paragraph (b) and there is no public announcement by the Corporation naming the nominees for the additional directorships at least one hundred (100) days prior to the first anniversary of the preceding year’s annual meeting, a stockholder’s notice required by paragraph (b) of this Section 2.5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 Without qualification, if the election of directors is a matter specified in the notice of meeting given by or at the direction of the person calling such special meeting, then for a stockholder to make any nomination of a person or persons for election to such position(s) as specified in the notice of the special meeting, the stockholder must (i) provide timely notice thereof in writing and in proper form to the secretary of the Corporation at the principal executive offices of the Corporation and (ii)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not earlier than the close of business on the one hundred twentieth (120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prior to such special meeting and not later than the later of the close of business on the ninetieth (90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prior to such special meeting and the close of business on the tenth (10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following the day on which public disclosure (as defined in Section 2.4(i) of these bylaws) of the date of such special meeting was first made. In no event shall any adjournment or postponement of an annual meeting or special meeting or the announcement thereof commence a new time period (or extend any time period) for the giving of a stockholder’s notice as described above.</w:t>
      </w:r>
    </w:p>
    <w:p>
      <w:pPr>
        <w:spacing w:after="0" w:line="201" w:lineRule="exact"/>
        <w:rPr>
          <w:rFonts w:ascii="Times New Roman" w:cs="Times New Roman" w:eastAsia="Times New Roman" w:hAnsi="Times New Roman"/>
          <w:sz w:val="21"/>
          <w:szCs w:val="21"/>
          <w:color w:val="auto"/>
        </w:rPr>
      </w:pPr>
    </w:p>
    <w:p>
      <w:pPr>
        <w:ind w:right="20" w:firstLine="1304"/>
        <w:spacing w:after="0" w:line="271" w:lineRule="auto"/>
        <w:tabs>
          <w:tab w:leader="none" w:pos="192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in proper form for purposes of this Section 2.5, a stockholder’s notice to the secretary of the Corporation shall set forth:</w:t>
      </w:r>
    </w:p>
    <w:p>
      <w:pPr>
        <w:spacing w:after="0" w:line="157" w:lineRule="exact"/>
        <w:rPr>
          <w:rFonts w:ascii="Times New Roman" w:cs="Times New Roman" w:eastAsia="Times New Roman" w:hAnsi="Times New Roman"/>
          <w:sz w:val="22"/>
          <w:szCs w:val="22"/>
          <w:color w:val="auto"/>
        </w:rPr>
      </w:pPr>
    </w:p>
    <w:p>
      <w:pPr>
        <w:ind w:left="1300" w:right="20" w:firstLine="652"/>
        <w:spacing w:after="0" w:line="271" w:lineRule="auto"/>
        <w:tabs>
          <w:tab w:leader="none" w:pos="2374"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Nominating Person (as defined below), the Stockholder Information (as defined in Section 2.4(c)(i) of these bylaws) except that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98" w:lineRule="exact"/>
        <w:rPr>
          <w:sz w:val="20"/>
          <w:szCs w:val="20"/>
          <w:color w:val="auto"/>
        </w:rPr>
      </w:pPr>
    </w:p>
    <w:p>
      <w:pPr>
        <w:ind w:left="180"/>
        <w:spacing w:after="0" w:line="271" w:lineRule="auto"/>
        <w:rPr>
          <w:sz w:val="20"/>
          <w:szCs w:val="20"/>
          <w:color w:val="auto"/>
        </w:rPr>
      </w:pPr>
      <w:r>
        <w:rPr>
          <w:rFonts w:ascii="Times New Roman" w:cs="Times New Roman" w:eastAsia="Times New Roman" w:hAnsi="Times New Roman"/>
          <w:sz w:val="22"/>
          <w:szCs w:val="22"/>
          <w:color w:val="auto"/>
        </w:rPr>
        <w:t>purposes of this Section 2.5, the term “Nominating Person” shall be substituted for the term “Proposing Person” in all places it appears in Section 2.4(c)(i);</w:t>
      </w:r>
    </w:p>
    <w:p>
      <w:pPr>
        <w:spacing w:after="0" w:line="158" w:lineRule="exact"/>
        <w:rPr>
          <w:sz w:val="20"/>
          <w:szCs w:val="20"/>
          <w:color w:val="auto"/>
        </w:rPr>
      </w:pPr>
    </w:p>
    <w:p>
      <w:pPr>
        <w:jc w:val="both"/>
        <w:ind w:left="180" w:firstLine="652"/>
        <w:spacing w:after="0" w:line="261" w:lineRule="auto"/>
        <w:tabs>
          <w:tab w:leader="none" w:pos="1317"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to each Nominating Person, any Disclosable Interests (as defined in Section 2.4(c)(ii), except that for purposes of this Section 2.5 the term “Nominating Person” shall be substituted for the term “Proposing Person” in all places it appears in Section 2.4(c)(ii) and the disclosure in clause (L) of Section 2.4(c)(ii) shall be made with respect to the election of directors at the meeting) </w:t>
      </w:r>
      <w:r>
        <w:rPr>
          <w:rFonts w:ascii="Times New Roman" w:cs="Times New Roman" w:eastAsia="Times New Roman" w:hAnsi="Times New Roman"/>
          <w:sz w:val="21"/>
          <w:szCs w:val="21"/>
          <w:i w:val="1"/>
          <w:iCs w:val="1"/>
          <w:u w:val="single" w:color="auto"/>
          <w:color w:val="auto"/>
        </w:rPr>
        <w:t>provided, however</w:t>
      </w:r>
      <w:r>
        <w:rPr>
          <w:rFonts w:ascii="Times New Roman" w:cs="Times New Roman" w:eastAsia="Times New Roman" w:hAnsi="Times New Roman"/>
          <w:sz w:val="21"/>
          <w:szCs w:val="21"/>
          <w:color w:val="auto"/>
        </w:rPr>
        <w:t>, that Disclosable Interests shall not include any such disclosures with respect to the ordinary course business activities of any broker, dealer, commercial bank, trust company or other nominee who is a Nominating Person solely as a result of being the stockholder directed to prepare and submit the notice required by these bylaws on behalf of a beneficial owner; and;</w:t>
      </w:r>
    </w:p>
    <w:p>
      <w:pPr>
        <w:spacing w:after="0" w:line="173" w:lineRule="exact"/>
        <w:rPr>
          <w:rFonts w:ascii="Times New Roman" w:cs="Times New Roman" w:eastAsia="Times New Roman" w:hAnsi="Times New Roman"/>
          <w:sz w:val="21"/>
          <w:szCs w:val="21"/>
          <w:color w:val="auto"/>
        </w:rPr>
      </w:pPr>
    </w:p>
    <w:p>
      <w:pPr>
        <w:jc w:val="both"/>
        <w:ind w:left="180" w:firstLine="652"/>
        <w:spacing w:after="0" w:line="256" w:lineRule="auto"/>
        <w:tabs>
          <w:tab w:leader="none" w:pos="1359"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each person whom a Nominating Person proposes to nominate for election as a director, (A) all information with respect to such proposed nominee that would be required to be set forth in a stockholder’s notice pursuant to this Section 2.5 if such proposed nominee were a Nominating Person, (B) 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(including, without limitation, such proposed nominee’s written consent to being named in the proxy statement as a nominee and to serving as a director if elected), (C) a description of all direct and indirect compensation and other material monetary agreements, arrangements and understandings during the past three (3) years, and any other material relationships, between or among any Nominating Person, on the one hand, and each proposed nominee, his or her respective affiliates and associates and any other persons with whom such proposed nominee (or any of his or her respective affiliates and associates) is Acting in Concert (as defined in Section 2.4(e) of these bylaws), on the other hand, including, without limitation, all information that would be required to be disclosed pursuant to Item 404 under Regulation S-K if such Nominating Person were the “registrant” for purposes of such rule and the proposed nominee were a director or executive officer of such registrant (the disclosures to be made pursuant to the foregoing clauses (A) through (C) are referred to as “</w:t>
      </w:r>
      <w:r>
        <w:rPr>
          <w:rFonts w:ascii="Times New Roman" w:cs="Times New Roman" w:eastAsia="Times New Roman" w:hAnsi="Times New Roman"/>
          <w:sz w:val="21"/>
          <w:szCs w:val="21"/>
          <w:u w:val="single" w:color="auto"/>
          <w:color w:val="auto"/>
        </w:rPr>
        <w:t>Nominee Information</w:t>
      </w:r>
      <w:r>
        <w:rPr>
          <w:rFonts w:ascii="Times New Roman" w:cs="Times New Roman" w:eastAsia="Times New Roman" w:hAnsi="Times New Roman"/>
          <w:sz w:val="21"/>
          <w:szCs w:val="21"/>
          <w:color w:val="auto"/>
        </w:rPr>
        <w:t>”), (D) a representation that the Nominating Person is a holder of record of stock of the Corporation entitled to vote at such meeting and intends to appear in person or by proxy at the meeting to propose such nomination, (E) a representation whether the Nominating Person intends or is part of a group which intends</w:t>
      </w:r>
    </w:p>
    <w:p>
      <w:pPr>
        <w:spacing w:after="0" w:line="4" w:lineRule="exact"/>
        <w:rPr>
          <w:rFonts w:ascii="Times New Roman" w:cs="Times New Roman" w:eastAsia="Times New Roman" w:hAnsi="Times New Roman"/>
          <w:sz w:val="21"/>
          <w:szCs w:val="21"/>
          <w:color w:val="auto"/>
        </w:rPr>
      </w:pPr>
    </w:p>
    <w:p>
      <w:pPr>
        <w:jc w:val="both"/>
        <w:ind w:left="180" w:firstLine="4"/>
        <w:spacing w:after="0" w:line="245" w:lineRule="auto"/>
        <w:tabs>
          <w:tab w:leader="none" w:pos="50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deliver a proxy statement and/or form of proxy to holders of at least the percentage of the Corporation’s outstanding capital stock required to elect the nominee and/or (2) otherwise to solicit proxies or votes from stockholders in support of such nomination and (F) a completed and signed questionnaire, representation and agreement as provided in Section 2.5(g);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120"/>
          </w:cols>
          <w:pgMar w:left="1440" w:top="1440" w:right="339" w:bottom="1440" w:gutter="0" w:footer="0" w:header="0"/>
        </w:sectPr>
      </w:pPr>
    </w:p>
    <w:bookmarkStart w:id="18" w:name="page19"/>
    <w:bookmarkEnd w:id="18"/>
    <w:p>
      <w:pPr>
        <w:spacing w:after="0" w:line="198" w:lineRule="exact"/>
        <w:rPr>
          <w:sz w:val="20"/>
          <w:szCs w:val="20"/>
          <w:color w:val="auto"/>
        </w:rPr>
      </w:pPr>
    </w:p>
    <w:p>
      <w:pPr>
        <w:jc w:val="both"/>
        <w:ind w:left="1300" w:firstLine="652"/>
        <w:spacing w:after="0" w:line="262" w:lineRule="auto"/>
        <w:tabs>
          <w:tab w:leader="none" w:pos="2538"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Corporation may require any proposed nominee to furnish such other information (A) as may reasonably be required by the Corporation to determine the eligibility of such proposed nominee to serve as an independent director of the Corporation in accordance with the Corporation’s Corporate Governance Guidelines or</w:t>
      </w:r>
    </w:p>
    <w:p>
      <w:pPr>
        <w:spacing w:after="0" w:line="2" w:lineRule="exact"/>
        <w:rPr>
          <w:rFonts w:ascii="Times New Roman" w:cs="Times New Roman" w:eastAsia="Times New Roman" w:hAnsi="Times New Roman"/>
          <w:sz w:val="21"/>
          <w:szCs w:val="21"/>
          <w:color w:val="auto"/>
        </w:rPr>
      </w:pPr>
    </w:p>
    <w:p>
      <w:pPr>
        <w:ind w:left="1300" w:right="20" w:firstLine="4"/>
        <w:spacing w:after="0" w:line="248" w:lineRule="auto"/>
        <w:tabs>
          <w:tab w:leader="none" w:pos="172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could be material to a reasonable stockholder’s understanding of the independence or lack of independence of such proposed nominee.</w:t>
      </w:r>
    </w:p>
    <w:p>
      <w:pPr>
        <w:spacing w:after="0" w:line="182" w:lineRule="exact"/>
        <w:rPr>
          <w:sz w:val="20"/>
          <w:szCs w:val="20"/>
          <w:color w:val="auto"/>
        </w:rPr>
      </w:pPr>
    </w:p>
    <w:p>
      <w:pPr>
        <w:jc w:val="both"/>
        <w:ind w:firstLine="1304"/>
        <w:spacing w:after="0" w:line="250" w:lineRule="auto"/>
        <w:tabs>
          <w:tab w:leader="none" w:pos="179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2.5, the term “</w:t>
      </w:r>
      <w:r>
        <w:rPr>
          <w:rFonts w:ascii="Times New Roman" w:cs="Times New Roman" w:eastAsia="Times New Roman" w:hAnsi="Times New Roman"/>
          <w:sz w:val="22"/>
          <w:szCs w:val="22"/>
          <w:u w:val="single" w:color="auto"/>
          <w:color w:val="auto"/>
        </w:rPr>
        <w:t>Nominating Person</w:t>
      </w:r>
      <w:r>
        <w:rPr>
          <w:rFonts w:ascii="Times New Roman" w:cs="Times New Roman" w:eastAsia="Times New Roman" w:hAnsi="Times New Roman"/>
          <w:sz w:val="22"/>
          <w:szCs w:val="22"/>
          <w:color w:val="auto"/>
        </w:rPr>
        <w:t>” shall mean (i) the stockholder providing the notice of the nomination proposed to be made at the meeting, (ii) the beneficial owner or beneficial owners, if different, on whose behalf the notice of the nomination proposed to be made at the meeting is made, (iii) any affiliate or associate of such stockholder or beneficial owner and (iv) any other person with whom such stockholder or such beneficial owner (or any of their respective affiliates or associates) is Acting in Concert.</w:t>
      </w:r>
    </w:p>
    <w:p>
      <w:pPr>
        <w:spacing w:after="0" w:line="180" w:lineRule="exact"/>
        <w:rPr>
          <w:rFonts w:ascii="Times New Roman" w:cs="Times New Roman" w:eastAsia="Times New Roman" w:hAnsi="Times New Roman"/>
          <w:sz w:val="22"/>
          <w:szCs w:val="22"/>
          <w:color w:val="auto"/>
        </w:rPr>
      </w:pPr>
    </w:p>
    <w:p>
      <w:pPr>
        <w:jc w:val="both"/>
        <w:ind w:firstLine="1304"/>
        <w:spacing w:after="0" w:line="259" w:lineRule="auto"/>
        <w:tabs>
          <w:tab w:leader="none" w:pos="1758"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determining stockholders entitled to notice of the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determining stockholders entitled to notice of the meeting (in the case of the update and supplement required to be made as of the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175" w:lineRule="exact"/>
        <w:rPr>
          <w:rFonts w:ascii="Times New Roman" w:cs="Times New Roman" w:eastAsia="Times New Roman" w:hAnsi="Times New Roman"/>
          <w:sz w:val="21"/>
          <w:szCs w:val="21"/>
          <w:color w:val="auto"/>
        </w:rPr>
      </w:pPr>
    </w:p>
    <w:p>
      <w:pPr>
        <w:jc w:val="both"/>
        <w:ind w:firstLine="1304"/>
        <w:spacing w:after="0" w:line="246" w:lineRule="auto"/>
        <w:tabs>
          <w:tab w:leader="none" w:pos="173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these bylaws to the contrary, no person shall be eligible for election as a director of the Corporation unless nominated in accordance with this Section 2.5, except as otherwise expressly provided in any applicable rule or regulation promulgated under the Exchange Act. The presiding officer at any meeting of stockholders shall have the power and duty to (a) determine that a nomination was not properly made in accordance with this Section 2.5 (including whether the stockholder or beneficial owner, if any, on whose behalf the nomination was made, solicited or is part of a group which solicited) or did not so solicit, as the case may be, proxies or votes in support of such stockholder’s nomination in compliance with such stockholder’s representation as required by clause (c)(iii)(E) of this Section 2.5); and (b) if any proposed nomination was not made in compliance with this Section 2.5 to declare such determination to the meeting that the defective nomination shall be disregarded.</w:t>
      </w:r>
    </w:p>
    <w:p>
      <w:pPr>
        <w:spacing w:after="0" w:line="190" w:lineRule="exact"/>
        <w:rPr>
          <w:rFonts w:ascii="Times New Roman" w:cs="Times New Roman" w:eastAsia="Times New Roman" w:hAnsi="Times New Roman"/>
          <w:sz w:val="22"/>
          <w:szCs w:val="22"/>
          <w:color w:val="auto"/>
        </w:rPr>
      </w:pPr>
    </w:p>
    <w:p>
      <w:pPr>
        <w:ind w:firstLine="1304"/>
        <w:spacing w:after="0" w:line="271" w:lineRule="auto"/>
        <w:tabs>
          <w:tab w:leader="none" w:pos="186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eligible to be a nominee for election as a director of the Corporation, the proposed nominee must deliver (in accordance with the time periods prescribed for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of notice under this Section 2.5) to the secretary of the Corporation at the principal executive offices of the Corporation a written questionnaire with respect to the background and qualification of such proposed nominee (which questionnaire shall be provided by the secretary upon written request) and a written representation and agreement (in form provided by the secretary upon written request) that such proposed nominee (i) is not and will not become a party to (A) any agreement, arrangement or understanding with, and has not given any commitment or assurance to, any person or entity as to how such proposed nominee, if elected as a director of the Corporation, will act or vote on any issue or question (a “</w:t>
      </w:r>
      <w:r>
        <w:rPr>
          <w:rFonts w:ascii="Times New Roman" w:cs="Times New Roman" w:eastAsia="Times New Roman" w:hAnsi="Times New Roman"/>
          <w:sz w:val="21"/>
          <w:szCs w:val="21"/>
          <w:u w:val="single" w:color="auto"/>
          <w:color w:val="auto"/>
        </w:rPr>
        <w:t>Voting Commitment</w:t>
      </w:r>
      <w:r>
        <w:rPr>
          <w:rFonts w:ascii="Times New Roman" w:cs="Times New Roman" w:eastAsia="Times New Roman" w:hAnsi="Times New Roman"/>
          <w:sz w:val="21"/>
          <w:szCs w:val="21"/>
          <w:color w:val="auto"/>
        </w:rPr>
        <w:t>”) that has not been disclosed to the Corporation or (B) any Voting Commitment that could limit or interfere with such proposed nominee’s ability to comply, if elected as a director of the Corporation, with such proposed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candidacy, service or action as a director that has not been disclosed to the Corporation and (iii) in such proposed nominee’s individual capacity and on behalf of the stockholder (and the beneficial owner, if different, on whose behalf the nomination is made) would be in compliance, if elected as a director of the Corporation, and will comply with applicable publicly disclosed corporate governance, conflict of interest, confidentiality and stock ownership and trading policies and guidelines of the Corporation.</w:t>
      </w:r>
    </w:p>
    <w:p>
      <w:pPr>
        <w:spacing w:after="0" w:line="173" w:lineRule="exact"/>
        <w:rPr>
          <w:sz w:val="20"/>
          <w:szCs w:val="20"/>
          <w:color w:val="auto"/>
        </w:rPr>
      </w:pPr>
    </w:p>
    <w:p>
      <w:pPr>
        <w:jc w:val="both"/>
        <w:ind w:firstLine="1304"/>
        <w:spacing w:after="0" w:line="257" w:lineRule="auto"/>
        <w:tabs>
          <w:tab w:leader="none" w:pos="180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requirements of this Section 2.5 with respect to any nomination proposed to be made at a meeting, each Nominating Person shall comply with all applicable requirements of the Exchange Act with respect to any such nominations.</w:t>
      </w:r>
    </w:p>
    <w:p>
      <w:pPr>
        <w:spacing w:after="0" w:line="172"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9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2.5, unless otherwise required by law, if the stockholder (or a qualified representative of the stockholder) does not appear at the meeting to present the proposed nomination, such proposed nomination shall not be considered, notwithstanding that proxies in respect of such vote may have been received by the Corporation. For purposes of this Section 2.5,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w:t>
      </w:r>
    </w:p>
    <w:p>
      <w:pPr>
        <w:spacing w:after="0" w:line="18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color w:val="auto"/>
        </w:rPr>
        <w:t>NOTICE OF STOCKHOLDERS’ MEETINGS.</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Unless otherwise provided by law, the certificate of incorporation or these bylaws, the notice of any meeting of stockholders shall be given in accordance with either Section 2.7 or Section 8.1 of these bylaws not less than ten (10) nor more than sixty (60) days before the date of the meeting to each stockholder entitled to vote at such meeting as of the record date for determining the stockholders entitled to notice of the meeting. The notice shall specify the place, if any, date and hour of the meeting, the record date for determining the stockholders entitled to vote at the meeting (if such date is different from the record date for stockholders entitled to notice of the meeting), the means of remote communication, if any, by which stockholders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proxy holders may be deemed to be present in person and vote at such meeting, and, in the case of a special meeting, the purpose or purposes for which the meeting is called.</w:t>
      </w:r>
    </w:p>
    <w:p>
      <w:pPr>
        <w:spacing w:after="0" w:line="15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color w:val="auto"/>
        </w:rPr>
        <w:t>MANNER OF GIVING NOTICE; AFFIDAVIT OF NOTICE.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Notice of any meeting of stockholders shall be deemed given:</w:t>
      </w:r>
    </w:p>
    <w:p>
      <w:pPr>
        <w:spacing w:after="0" w:line="220" w:lineRule="exact"/>
        <w:rPr>
          <w:sz w:val="20"/>
          <w:szCs w:val="20"/>
          <w:color w:val="auto"/>
        </w:rPr>
      </w:pPr>
    </w:p>
    <w:p>
      <w:pPr>
        <w:ind w:right="20" w:firstLine="1304"/>
        <w:spacing w:after="0" w:line="271" w:lineRule="auto"/>
        <w:tabs>
          <w:tab w:leader="none" w:pos="185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mailed, when deposited in the United States mail, postage prepaid, directed to the stockholder at such stockholder’s address as it appears on the Corporation’s records; or</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electronically transmitted, as provided in Section 8.1 of these bylaws.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An affidavit of the secretary or an assistant secretary of the Corporation or of the transfer agent or any other agent of the Corporation that the notice has been given by mail or by a form of electronic transmission, as applicable, shall, in the absence of fraud, be prima facie evidence of the facts stated therein.</w:t>
      </w:r>
    </w:p>
    <w:p>
      <w:pPr>
        <w:spacing w:after="0" w:line="17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color w:val="auto"/>
        </w:rPr>
        <w:t>QUORUM.</w:t>
      </w:r>
    </w:p>
    <w:p>
      <w:pPr>
        <w:spacing w:after="0" w:line="2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Unless otherwise provided by law, the certificate of incorporation or these bylaws, the holders of a majority in voting power of the capital stock issued and outstanding and entitled to vote,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(a) the chairperson of the meeting or (b) a majority in voting power of the stockholders entitled to vote thereon, present in person, or by remote communication, if applicable, or represented by proxy, shall have power to adjourn the meeting from time to time in the manner provided in Section 2.9 of these bylaws until a quorum is present or represented. At such adjourned meeting at which a quorum is present or represented, any business may be transacted that might have been transacted at the meeting as originally noticed.</w:t>
      </w:r>
    </w:p>
    <w:p>
      <w:pPr>
        <w:spacing w:after="0" w:line="17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Times New Roman" w:cs="Times New Roman" w:eastAsia="Times New Roman" w:hAnsi="Times New Roman"/>
          <w:sz w:val="21"/>
          <w:szCs w:val="21"/>
          <w:color w:val="auto"/>
        </w:rPr>
        <w:t>ADJOURNED MEETING; NOTICE.</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for determining the stockholders entitled to vote is fixed for the adjourned meeting, a notice of the adjourned meeting shall be given to each stockholder of record entitled to vote at the adjourned meeting as of the record date for determining the stockholders entitled to notice of the adjourned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9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1"/>
          <w:szCs w:val="21"/>
          <w:color w:val="auto"/>
        </w:rPr>
        <w:t>CONDUCT OF BUSINESS.</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1"/>
          <w:szCs w:val="21"/>
          <w:color w:val="auto"/>
        </w:rPr>
        <w:t>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(a) the establishment of an agenda or order of business for the meeting; (b) rules and procedures for maintaining order at the meeting and the safety of those present (including, without limitation, rules and procedures for removal of disruptive persons from the meeting);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and (e)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93"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1"/>
          <w:szCs w:val="21"/>
          <w:color w:val="auto"/>
        </w:rPr>
        <w:t>VOTING.</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stockholders entitled to vote at any meeting of stockholders shall be determined in accordance with the provisions of Section 2.13 of these bylaws, subject to Section 217 (relating to voting rights of fiduciaries, pledgors and joint owners of stock) and Section 218 (relating to voting trusts and other voting agreements) of the DGCL.</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Except as may be otherwise provided in the certificate of incorporation or these bylaws, each stockholder shall be entitled to one (1) vote for each share of capital stock held by such stockholder.</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At all duly called or convened meetings of stockholders, at which a quorum is present, for the election of directors, a plurality of the votes cast shall be sufficient to elect a director. All other elections and questions presented to the stockholders at a duly called or convened meeting, at which a quorum is present, shall, unless a different or minimum vote is required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certificate of incorporation, these bylaws, the rules or regulations of any stock exchange applicable to the Corporation, or any law or regulation applicable to the Corporation or its securities, in which case such different or minimum vote shall be the applicable vote on the matter, be decided by the affirmative vote of the holders of a majority in voting power of the votes cast affirmatively or negatively (excluding abstentions) at the meeting by the holders entitled to vote thereon.</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color w:val="auto"/>
        </w:rPr>
        <w:t>STOCKHOLDER ACTION BY WRITTEN CONSENT WITHOUT A MEETING.</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7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1"/>
          <w:szCs w:val="21"/>
          <w:color w:val="auto"/>
        </w:rPr>
        <w:t>RECORD DATE FOR STOCKHOLDER NOTICE; VOTING.</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that the Board may fix a new record date for determination of stockholders entitled to vote at the adjourned meeting,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shall not be more than sixty (60) days prior to such other action. If no such record date is fixed, the record date for determining stockholders for any such purpose shall be at the close of business on the day on which the Board adopts the resolution relating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9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2.14</w:t>
      </w:r>
      <w:r>
        <w:rPr>
          <w:sz w:val="20"/>
          <w:szCs w:val="20"/>
          <w:color w:val="auto"/>
        </w:rPr>
        <w:tab/>
      </w:r>
      <w:r>
        <w:rPr>
          <w:rFonts w:ascii="Times New Roman" w:cs="Times New Roman" w:eastAsia="Times New Roman" w:hAnsi="Times New Roman"/>
          <w:sz w:val="21"/>
          <w:szCs w:val="21"/>
          <w:color w:val="auto"/>
        </w:rPr>
        <w:t>PROXIES.</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Each stockholder entitled to vote at a meeting of stockholders may authorize another person or persons to act for such stockholder by proxy,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 telegram, cablegram or other means of electronic transmission which sets forth or is submitted with information from which it can be determined that the telegram, cablegram or other means of electronic transmission was authorized by the stockholder.</w:t>
      </w:r>
    </w:p>
    <w:p>
      <w:pPr>
        <w:spacing w:after="0" w:line="187"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2.15</w:t>
      </w:r>
      <w:r>
        <w:rPr>
          <w:sz w:val="20"/>
          <w:szCs w:val="20"/>
          <w:color w:val="auto"/>
        </w:rPr>
        <w:tab/>
      </w:r>
      <w:r>
        <w:rPr>
          <w:rFonts w:ascii="Times New Roman" w:cs="Times New Roman" w:eastAsia="Times New Roman" w:hAnsi="Times New Roman"/>
          <w:sz w:val="21"/>
          <w:szCs w:val="21"/>
          <w:color w:val="auto"/>
        </w:rPr>
        <w:t>LIST OF STOCKHOLDERS ENTITLED TO VOTE.</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The Corporation shall prepare, at least ten (10) days before every meeting of stockholders, a complete list of the stockholders entitled to vote at the meeting (</w:t>
      </w:r>
      <w:r>
        <w:rPr>
          <w:rFonts w:ascii="Times New Roman" w:cs="Times New Roman" w:eastAsia="Times New Roman" w:hAnsi="Times New Roman"/>
          <w:sz w:val="21"/>
          <w:szCs w:val="21"/>
          <w:i w:val="1"/>
          <w:iCs w:val="1"/>
          <w:u w:val="single" w:color="auto"/>
          <w:color w:val="auto"/>
        </w:rPr>
        <w:t>provided, however</w:t>
      </w:r>
      <w:r>
        <w:rPr>
          <w:rFonts w:ascii="Times New Roman" w:cs="Times New Roman" w:eastAsia="Times New Roman" w:hAnsi="Times New Roman"/>
          <w:sz w:val="21"/>
          <w:szCs w:val="21"/>
          <w:color w:val="auto"/>
        </w:rPr>
        <w:t>, if the record date for determining the stockholders entitled to vote is less than ten (10) days before the date of the meeting, the list shall reflect the stockholders entitled to vote as of the tenth day before the date of the meeting),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the meeting, or</w:t>
      </w:r>
    </w:p>
    <w:p>
      <w:pPr>
        <w:spacing w:after="0" w:line="7" w:lineRule="exact"/>
        <w:rPr>
          <w:sz w:val="20"/>
          <w:szCs w:val="20"/>
          <w:color w:val="auto"/>
        </w:rPr>
      </w:pPr>
    </w:p>
    <w:p>
      <w:pPr>
        <w:jc w:val="both"/>
        <w:ind w:firstLine="8"/>
        <w:spacing w:after="0" w:line="243" w:lineRule="auto"/>
        <w:tabs>
          <w:tab w:leader="none" w:pos="30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the identity of the stockholders entitled to vote in person or by proxy and the number of shares held by each of them, and as to the stockholders entitled to examine the list of stockholders.</w:t>
      </w:r>
    </w:p>
    <w:p>
      <w:pPr>
        <w:spacing w:after="0" w:line="195"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2.16</w:t>
      </w:r>
      <w:r>
        <w:rPr>
          <w:sz w:val="20"/>
          <w:szCs w:val="20"/>
          <w:color w:val="auto"/>
        </w:rPr>
        <w:tab/>
      </w:r>
      <w:r>
        <w:rPr>
          <w:rFonts w:ascii="Times New Roman" w:cs="Times New Roman" w:eastAsia="Times New Roman" w:hAnsi="Times New Roman"/>
          <w:sz w:val="21"/>
          <w:szCs w:val="21"/>
          <w:color w:val="auto"/>
        </w:rPr>
        <w:t>POSTPONEMENT, ADJOURNMENT AND CANCELLATION OF MEETING.</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Any previously scheduled annual or special meeting of the stockholders may be postponed or adjourned, and any previously scheduled annual or special meeting of the stockholders may be canceled, by resolution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9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2.17</w:t>
      </w:r>
      <w:r>
        <w:rPr>
          <w:sz w:val="20"/>
          <w:szCs w:val="20"/>
          <w:color w:val="auto"/>
        </w:rPr>
        <w:tab/>
      </w:r>
      <w:r>
        <w:rPr>
          <w:rFonts w:ascii="Times New Roman" w:cs="Times New Roman" w:eastAsia="Times New Roman" w:hAnsi="Times New Roman"/>
          <w:sz w:val="21"/>
          <w:szCs w:val="21"/>
          <w:color w:val="auto"/>
        </w:rPr>
        <w:t>INSPECTORS OF ELECTION.</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Before any meeting of stockholders, the Board shall appoint an inspector or inspectors of election to act at the meeting or its adjournment or postponement and make a written report thereof. The number of inspectors shall be either one (1) or three (3). If any person appointed as inspector fails to appear or fails or refuses to act, then the chairperson of the meeting may, and upon the request of any stockholder or a stockholder’s proxy shall, appoint a person to fill that vacancy. Unless otherwise required by law, inspectors may be officers, employees or agents of the Corporation. Such inspectors shall have the duties prescribed by law. Each inspector, before entering upon the discharge of his or her duties, shall take and sign an oath to execute faithfully the duties of inspector with strict impartiality and according to the best of his or her ability. If there are three (3) inspectors of election, the decision, act or certificate of a majority is effective in all respects as the decision, act or certificate of all. Any report or certificate made by the inspectors of election is prima facie evidence of the facts stated therein.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 - DIRECTORS</w:t>
      </w:r>
    </w:p>
    <w:p>
      <w:pPr>
        <w:spacing w:after="0" w:line="22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color w:val="auto"/>
        </w:rPr>
        <w:t>POWERS.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Subject to the provisions of the DGCL and any limitations in the certificate of incorporation, the business and affairs of the Corporation shall be managed and all corporate powers shall be exercised by or under the direction of the Board.</w:t>
      </w:r>
    </w:p>
    <w:p>
      <w:pPr>
        <w:spacing w:after="0" w:line="15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color w:val="auto"/>
        </w:rPr>
        <w:t>NUMBER OF DIRECTORS.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authorized number of directors shall be determined from time to time by resolution of the Board, provided the Board shall consist of at least one (1) member. No reduction of the authorized number of directors shall have the effect of removing any director before that director’s term of office expires.</w:t>
      </w:r>
    </w:p>
    <w:p>
      <w:pPr>
        <w:spacing w:after="0" w:line="17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color w:val="auto"/>
        </w:rPr>
        <w:t>ELECTION, QUALIFICATION AND TERM OF OFFICE OF DIRECTORS.</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Except as provided in Section 3.4 of these bylaws, each director, including, without limitation,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Corporation may also have, at the discretion of the Board, a chairperson of the Board and a vice chairperson of the Board. The certificate of incorporation or these bylaws may prescribe other qualifications for directors.</w:t>
      </w:r>
    </w:p>
    <w:p>
      <w:pPr>
        <w:spacing w:after="0" w:line="18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color w:val="auto"/>
        </w:rPr>
        <w:t>RESIGNATION AND VACANCIES.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Any director may resign at any time upon notice given in writing or by electronic transmission to the chairperson of the Board or the Corporation’s chief executive officer, president or secretary. When one or more directors so resigns and the resignation is effective at a future date, a majority of the directors then in office, including those who have so resigned,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have power to fill such vacancy or vacancies, the vote thereon to take effect when such resignation or resignations shall become effective, and each director so chosen shall hold office as provided in this section in the filling of other vacancies.</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Unless otherwise provided in the certificate of incorporation or these bylaws, vacancies and newly created directorships resulting from any increase in the authorized number of directors shall, unless the Board determines by resolution that any such vacancies or newly created directorships shall be filled by stockholders, be filled only by a majority of the directors then in office, although less than a quorum, or by a sole remaining director. Any director elected in accordance with the preceding sentence shall hold office for the remainder of the full term of the director for which the vacancy was created or occurred and until such director’s successor shall have been elected and qualified. A vacancy in the Board shall be deemed to exist under these bylaws in the case of the death, removal or resignation of any director.</w:t>
      </w:r>
    </w:p>
    <w:p>
      <w:pPr>
        <w:spacing w:after="0" w:line="18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color w:val="auto"/>
        </w:rPr>
        <w:t>PLACE OF MEETINGS; MEETINGS BY TELEPHONE.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Board may hold meetings, both regular and special, either within or outside the State of Delaware.</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17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21"/>
          <w:szCs w:val="21"/>
          <w:color w:val="auto"/>
        </w:rPr>
        <w:t>REGULAR MEETINGS.</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Regular meetings of the Board may be held without notice at such time and at such place as shall from time to time be determined by the Board;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any director who is absent when such determination is made shall be given notice of the determination. A regular meeting of the Board may be held without notice immediately after and at the same place as the annual meeting of stockholders.</w:t>
      </w:r>
    </w:p>
    <w:p>
      <w:pPr>
        <w:spacing w:after="0" w:line="17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3.7</w:t>
      </w:r>
      <w:r>
        <w:rPr>
          <w:sz w:val="20"/>
          <w:szCs w:val="20"/>
          <w:color w:val="auto"/>
        </w:rPr>
        <w:tab/>
      </w:r>
      <w:r>
        <w:rPr>
          <w:rFonts w:ascii="Times New Roman" w:cs="Times New Roman" w:eastAsia="Times New Roman" w:hAnsi="Times New Roman"/>
          <w:sz w:val="21"/>
          <w:szCs w:val="21"/>
          <w:color w:val="auto"/>
        </w:rPr>
        <w:t>SPECIAL MEETINGS; NOTICE.</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Special meetings of the Board for any purpose or purposes may be called at any time by the chairperson of the Board, the chief executive officer, the president, the secretary or a majority of the authorized number of directors.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Notice of the time and place of special meetings shall be:</w:t>
      </w:r>
    </w:p>
    <w:p>
      <w:pPr>
        <w:spacing w:after="0" w:line="220" w:lineRule="exact"/>
        <w:rPr>
          <w:sz w:val="20"/>
          <w:szCs w:val="20"/>
          <w:color w:val="auto"/>
        </w:rPr>
      </w:pPr>
    </w:p>
    <w:p>
      <w:pPr>
        <w:ind w:left="1760" w:hanging="456"/>
        <w:spacing w:after="0"/>
        <w:tabs>
          <w:tab w:leader="none" w:pos="17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delivered personally by hand, by courier or by telephone;</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sent by United States first-class mail, postage prepaid;</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sent by facsimile;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98" w:lineRule="exact"/>
        <w:rPr>
          <w:sz w:val="20"/>
          <w:szCs w:val="20"/>
          <w:color w:val="auto"/>
        </w:rPr>
      </w:pPr>
    </w:p>
    <w:p>
      <w:pPr>
        <w:ind w:left="1300"/>
        <w:spacing w:after="0"/>
        <w:tabs>
          <w:tab w:leader="none" w:pos="176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sent by electronic mail, electronic transmission or other similar means,</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directed to each director at that director’s address, telephone number, facsimile number or electronic mail or other electronic address, as the case may be, as shown on the Corporation’s records.</w:t>
      </w:r>
    </w:p>
    <w:p>
      <w:pPr>
        <w:spacing w:after="0" w:line="15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If the notice is (a) delivered personally by hand, by courier or by telephone, (b) sent by facsimile or (c) sent by electronic mail or electronic transmission, it shall be delivered or sent at least twenty-four (24) hours before the time of the holding of the meeting. If the notice is sent by United States mail, it shall be deposited in the United States mail at least four (4) days before the time of the holding of the meeting. Any oral notice may be communicated to the director. The notice need not specify the place of the meeting (if the meeting is to be held at the Corporation’s principal executive office) nor the purpose of the meeting.</w:t>
      </w:r>
    </w:p>
    <w:p>
      <w:pPr>
        <w:spacing w:after="0" w:line="16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3.8</w:t>
      </w:r>
      <w:r>
        <w:rPr>
          <w:sz w:val="20"/>
          <w:szCs w:val="20"/>
          <w:color w:val="auto"/>
        </w:rPr>
        <w:tab/>
      </w:r>
      <w:r>
        <w:rPr>
          <w:rFonts w:ascii="Times New Roman" w:cs="Times New Roman" w:eastAsia="Times New Roman" w:hAnsi="Times New Roman"/>
          <w:sz w:val="21"/>
          <w:szCs w:val="21"/>
          <w:color w:val="auto"/>
        </w:rPr>
        <w:t>QUORUM.</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greater of (a) a majority of the directors at any time in office and (b) one-third of the number of directors established by the Board pursuant to Section 3.2 of these bylaws shall constitute a quorum of the Board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8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3.9</w:t>
      </w:r>
      <w:r>
        <w:rPr>
          <w:sz w:val="20"/>
          <w:szCs w:val="20"/>
          <w:color w:val="auto"/>
        </w:rPr>
        <w:tab/>
      </w:r>
      <w:r>
        <w:rPr>
          <w:rFonts w:ascii="Times New Roman" w:cs="Times New Roman" w:eastAsia="Times New Roman" w:hAnsi="Times New Roman"/>
          <w:sz w:val="21"/>
          <w:szCs w:val="21"/>
          <w:color w:val="auto"/>
        </w:rPr>
        <w:t>BOARD ACTION BY CONSENT WITHOUT A MEETING.</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65"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3.10</w:t>
      </w:r>
      <w:r>
        <w:rPr>
          <w:sz w:val="20"/>
          <w:szCs w:val="20"/>
          <w:color w:val="auto"/>
        </w:rPr>
        <w:tab/>
      </w:r>
      <w:r>
        <w:rPr>
          <w:rFonts w:ascii="Times New Roman" w:cs="Times New Roman" w:eastAsia="Times New Roman" w:hAnsi="Times New Roman"/>
          <w:sz w:val="21"/>
          <w:szCs w:val="21"/>
          <w:color w:val="auto"/>
        </w:rPr>
        <w:t>FEES AND COMPENSATION OF DIRECTORS.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Unless otherwise restricted by the certificate of incorporation or these bylaws, the Board shall have the authority to fix the compensation of directors.</w:t>
      </w:r>
    </w:p>
    <w:p>
      <w:pPr>
        <w:spacing w:after="0" w:line="158"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auto"/>
        </w:rPr>
        <w:t>3.11</w:t>
      </w:r>
      <w:r>
        <w:rPr>
          <w:sz w:val="20"/>
          <w:szCs w:val="20"/>
          <w:color w:val="auto"/>
        </w:rPr>
        <w:tab/>
      </w:r>
      <w:r>
        <w:rPr>
          <w:rFonts w:ascii="Times New Roman" w:cs="Times New Roman" w:eastAsia="Times New Roman" w:hAnsi="Times New Roman"/>
          <w:sz w:val="21"/>
          <w:szCs w:val="21"/>
          <w:color w:val="auto"/>
        </w:rPr>
        <w:t>REMOVAL OF DIRECTORS.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Subject to the rights of the holders of the shares of any series of preferred stock of the Corporation, the Board or any individual director may be removed from office only for cause and only by the affirmative vote of the holders of at least two-thirds in voting power of the outstanding shares of capital stock of the Corporation entitled to vote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27" w:name="page28"/>
    <w:bookmarkEnd w:id="27"/>
    <w:p>
      <w:pPr>
        <w:spacing w:after="0" w:line="200" w:lineRule="exact"/>
        <w:rPr>
          <w:sz w:val="20"/>
          <w:szCs w:val="20"/>
          <w:color w:val="auto"/>
        </w:rPr>
      </w:pPr>
    </w:p>
    <w:p>
      <w:pPr>
        <w:spacing w:after="0" w:line="2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ARTICLE IV - COMMITTEES</w:t>
      </w:r>
    </w:p>
    <w:p>
      <w:pPr>
        <w:spacing w:after="0" w:line="22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color w:val="auto"/>
        </w:rPr>
        <w:t>COMMITTEES OF DIRECTORS.</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Corporation.</w:t>
      </w:r>
    </w:p>
    <w:p>
      <w:pPr>
        <w:spacing w:after="0" w:line="18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color w:val="auto"/>
        </w:rPr>
        <w:t>COMMITTEE MINUTES.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committee shall keep regular minutes of its meetings and report the same to the Board when required.</w:t>
      </w:r>
    </w:p>
    <w:p>
      <w:pPr>
        <w:spacing w:after="0" w:line="22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color w:val="auto"/>
        </w:rPr>
        <w:t>MEETINGS AND ACTION OF COMMITTEES.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Meetings and actions of committees shall be governed by, and held and taken in accordance with, the provisions of:</w:t>
      </w:r>
    </w:p>
    <w:p>
      <w:pPr>
        <w:spacing w:after="0" w:line="220" w:lineRule="exact"/>
        <w:rPr>
          <w:sz w:val="20"/>
          <w:szCs w:val="20"/>
          <w:color w:val="auto"/>
        </w:rPr>
      </w:pPr>
    </w:p>
    <w:p>
      <w:pPr>
        <w:ind w:left="1760" w:hanging="456"/>
        <w:spacing w:after="0"/>
        <w:tabs>
          <w:tab w:leader="none" w:pos="17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3.5 of these bylaws (place of meetings and meetings by telephone);</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3.6 of these bylaws (regular meetings);</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3.7 of these bylaws (special meetings and notice);</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3.8 of these bylaws (quorum);</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7.12 of these bylaws (waiver of notice); and</w:t>
      </w:r>
    </w:p>
    <w:p>
      <w:pPr>
        <w:spacing w:after="0" w:line="219"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3.9 of these bylaws (action without a meeting),</w:t>
      </w:r>
    </w:p>
    <w:p>
      <w:pPr>
        <w:spacing w:after="0" w:line="22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 xml:space="preserve">with such changes in the context of those bylaws as are necessary to substitute the committee and its members for the Board and its members.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98" w:lineRule="exact"/>
        <w:rPr>
          <w:sz w:val="20"/>
          <w:szCs w:val="20"/>
          <w:color w:val="auto"/>
        </w:rPr>
      </w:pPr>
    </w:p>
    <w:p>
      <w:pPr>
        <w:ind w:left="1300" w:firstLine="652"/>
        <w:spacing w:after="0" w:line="271" w:lineRule="auto"/>
        <w:tabs>
          <w:tab w:leader="none" w:pos="238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time of regular meetings of committees may be determined either by resolution of the Board or by resolution of the committee;</w:t>
      </w:r>
    </w:p>
    <w:p>
      <w:pPr>
        <w:spacing w:after="0" w:line="157"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special meetings of committees may also be called by resolution of the Board; and</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49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special meetings of committees shall also be given to all alternate members, who shall have the right to attend all meetings of the committee. The Board may adopt rules for the governance of any committee not inconsistent with the provisions (or any part thereof) of these bylaws.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 - OFFICERS</w:t>
      </w:r>
    </w:p>
    <w:p>
      <w:pPr>
        <w:spacing w:after="0" w:line="22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color w:val="auto"/>
        </w:rPr>
        <w:t>OFFICERS.</w:t>
      </w: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The officers of the Corporation shall be a president and a secretary. The Corporation may also have, at the discretion of the Board, a chief executive officer, a chief financial officer or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w:t>
      </w:r>
    </w:p>
    <w:p>
      <w:pPr>
        <w:spacing w:after="0" w:line="16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color w:val="auto"/>
        </w:rPr>
        <w:t>APPOINTMENT OF OFFICERS.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Board shall appoint the officers of the Corporation, except such officers as may be appointed in accordance with the provisions of Section 5.3 of these bylaws, subject to the rights, if any, of an officer under any contract of employment.</w:t>
      </w:r>
    </w:p>
    <w:p>
      <w:pPr>
        <w:spacing w:after="0" w:line="15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color w:val="auto"/>
        </w:rPr>
        <w:t>SUBORDINATE OFFICERS.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Board may appoint, or empower the chief executive officer or, in the absence of a chief executive officer, the president, to appoint, such other officers and agents as the business of the Corporation may require. Each of such officers shall hold office for such period, as is provided in these bylaws or as the Board may from time to time determine.</w:t>
      </w:r>
    </w:p>
    <w:p>
      <w:pPr>
        <w:spacing w:after="0" w:line="17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color w:val="auto"/>
        </w:rPr>
        <w:t>REMOVAL AND RESIGNATION OF OFFICERS.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Subject to the rights, if any, of an officer under any contract of employment, any officer may be removed, either with or without cause, by the Board at any regular or special meeting of the Board or, except in the case of an officer chosen by the Board, by any officer upon whom such power of removal may be conferred by the Board.</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resignation shall not be necessary to make it effective. Any resignation is without prejudice to the rights, if any, of the Corporation under any contract to which the officer is a party.</w:t>
      </w:r>
    </w:p>
    <w:p>
      <w:pPr>
        <w:spacing w:after="0" w:line="15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1"/>
          <w:szCs w:val="21"/>
          <w:color w:val="auto"/>
        </w:rPr>
        <w:t>VACANCIES IN OFFICES.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Any vacancy occurring in any office of the Corporation shall be filled by the Board or as provided in Section 5.3 of these bylaws.</w:t>
      </w:r>
    </w:p>
    <w:p>
      <w:pPr>
        <w:spacing w:after="0" w:line="15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1"/>
          <w:szCs w:val="21"/>
          <w:color w:val="auto"/>
        </w:rPr>
        <w:t>REPRESENTATION OF SHARES OF OTHER ENTITIES.</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chairperson of the Board, the president, any vice president, the treasurer, the secretary or assistant secretary of this Corporation, or any other person authorized by the Board or the president or a vice president, is authorized to vote, represent and exercise on behalf of this Corporation all rights incident to any and all securities of any other entity or entities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21"/>
          <w:szCs w:val="21"/>
          <w:color w:val="auto"/>
        </w:rPr>
        <w:t>AUTHORITY AND DUTIES OF OFFICERS.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All officers of the Corporation shall respectively have such authority and perform such duties in the management of the business of the Corporation as may be designated from time to time by the Board and, to the extent not so provided, as generally pertain to their respective offices, subject to the control of the Board.</w:t>
      </w:r>
    </w:p>
    <w:p>
      <w:pPr>
        <w:spacing w:after="0" w:line="385" w:lineRule="exact"/>
        <w:rPr>
          <w:sz w:val="20"/>
          <w:szCs w:val="20"/>
          <w:color w:val="auto"/>
        </w:rPr>
      </w:pPr>
    </w:p>
    <w:p>
      <w:pPr>
        <w:ind w:left="660" w:right="3560" w:firstLine="2920"/>
        <w:spacing w:after="0" w:line="450" w:lineRule="auto"/>
        <w:rPr>
          <w:sz w:val="20"/>
          <w:szCs w:val="20"/>
          <w:color w:val="auto"/>
        </w:rPr>
      </w:pPr>
      <w:r>
        <w:rPr>
          <w:rFonts w:ascii="Times New Roman" w:cs="Times New Roman" w:eastAsia="Times New Roman" w:hAnsi="Times New Roman"/>
          <w:sz w:val="22"/>
          <w:szCs w:val="22"/>
          <w:b w:val="1"/>
          <w:bCs w:val="1"/>
          <w:color w:val="auto"/>
        </w:rPr>
        <w:t xml:space="preserve">ARTICLE VI - RECORDS AND REPORTS </w:t>
      </w:r>
      <w:r>
        <w:rPr>
          <w:rFonts w:ascii="Times New Roman" w:cs="Times New Roman" w:eastAsia="Times New Roman" w:hAnsi="Times New Roman"/>
          <w:sz w:val="22"/>
          <w:szCs w:val="22"/>
          <w:color w:val="auto"/>
        </w:rPr>
        <w:t>6.1 MAINTENANCE OF RECORDS.</w:t>
      </w: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Subject to applicable law, the Corporation shall, either at its principal executive office or at such place or places as designated by the Board, keep a record of its stockholders listing their names and addresses and the number and class of shares held by each stockholder, a copy of these bylaws as amended to date, accounting books and other records.</w:t>
      </w:r>
    </w:p>
    <w:p>
      <w:pPr>
        <w:spacing w:after="0" w:line="385" w:lineRule="exact"/>
        <w:rPr>
          <w:sz w:val="20"/>
          <w:szCs w:val="20"/>
          <w:color w:val="auto"/>
        </w:rPr>
      </w:pPr>
    </w:p>
    <w:p>
      <w:pPr>
        <w:jc w:val="right"/>
        <w:ind w:left="660" w:right="3740"/>
        <w:spacing w:after="0" w:line="450" w:lineRule="auto"/>
        <w:rPr>
          <w:sz w:val="20"/>
          <w:szCs w:val="20"/>
          <w:color w:val="auto"/>
        </w:rPr>
      </w:pPr>
      <w:r>
        <w:rPr>
          <w:rFonts w:ascii="Times New Roman" w:cs="Times New Roman" w:eastAsia="Times New Roman" w:hAnsi="Times New Roman"/>
          <w:sz w:val="22"/>
          <w:szCs w:val="22"/>
          <w:b w:val="1"/>
          <w:bCs w:val="1"/>
          <w:color w:val="auto"/>
        </w:rPr>
        <w:t xml:space="preserve">ARTICLE VII - GENERAL MATTERS </w:t>
      </w:r>
      <w:r>
        <w:rPr>
          <w:rFonts w:ascii="Times New Roman" w:cs="Times New Roman" w:eastAsia="Times New Roman" w:hAnsi="Times New Roman"/>
          <w:sz w:val="22"/>
          <w:szCs w:val="22"/>
          <w:color w:val="auto"/>
        </w:rPr>
        <w:t>7.1  EXECUTION OF CORPORATE CONTRACTS AND INSTRUMENTS.</w:t>
      </w: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9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color w:val="auto"/>
        </w:rPr>
        <w:t>STOCK CERTIFICATES; PARTLY PAID SHARES.</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The shares of the Corporation shall be represented by certificates provided that the Board may provide by resolution or resolutions that some or all of any or all classes or series of stock shall be uncertificated shares.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authorized officers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w:t>
      </w:r>
    </w:p>
    <w:p>
      <w:pPr>
        <w:spacing w:after="0" w:line="19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8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color w:val="auto"/>
        </w:rPr>
        <w:t>MULTIPLES CLASSES OR SERIES OF STOCK.</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Times New Roman" w:cs="Times New Roman" w:eastAsia="Times New Roman" w:hAnsi="Times New Roman"/>
          <w:sz w:val="22"/>
          <w:szCs w:val="22"/>
          <w:i w:val="1"/>
          <w:iCs w:val="1"/>
          <w:u w:val="single" w:color="auto"/>
          <w:color w:val="auto"/>
        </w:rPr>
        <w:t>provided, however</w:t>
      </w:r>
      <w:r>
        <w:rPr>
          <w:rFonts w:ascii="Times New Roman" w:cs="Times New Roman" w:eastAsia="Times New Roman" w:hAnsi="Times New Roman"/>
          <w:sz w:val="22"/>
          <w:szCs w:val="22"/>
          <w:color w:val="auto"/>
        </w:rPr>
        <w:t>, that, except as otherwise provided in Section 202 of the DGCL, in lieu of the foregoing requirements, there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the DGCL or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9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1"/>
          <w:szCs w:val="21"/>
          <w:color w:val="auto"/>
        </w:rPr>
        <w:t>LOST CERTIFICATES.</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Except as provided in this Section 7.4, no new certificates for shares shall be issued to replace a previously issued certificate unless the latter is surrendered to the Corporation in accordance with applicable law.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6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7.5</w:t>
      </w:r>
      <w:r>
        <w:rPr>
          <w:sz w:val="20"/>
          <w:szCs w:val="20"/>
          <w:color w:val="auto"/>
        </w:rPr>
        <w:tab/>
      </w:r>
      <w:r>
        <w:rPr>
          <w:rFonts w:ascii="Times New Roman" w:cs="Times New Roman" w:eastAsia="Times New Roman" w:hAnsi="Times New Roman"/>
          <w:sz w:val="21"/>
          <w:szCs w:val="21"/>
          <w:color w:val="auto"/>
        </w:rPr>
        <w:t>CONSTRUCTION; DEFINITIONS.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17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7.6</w:t>
      </w:r>
      <w:r>
        <w:rPr>
          <w:sz w:val="20"/>
          <w:szCs w:val="20"/>
          <w:color w:val="auto"/>
        </w:rPr>
        <w:tab/>
      </w:r>
      <w:r>
        <w:rPr>
          <w:rFonts w:ascii="Times New Roman" w:cs="Times New Roman" w:eastAsia="Times New Roman" w:hAnsi="Times New Roman"/>
          <w:sz w:val="21"/>
          <w:szCs w:val="21"/>
          <w:color w:val="auto"/>
        </w:rPr>
        <w:t>DIVIDENDS.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Board, subject to any restrictions contained in either (a) the DGCL or (b) the certificate of incorporation, may declare and pay dividends upon the shares of its capital stock. Dividends may be paid in cash, in property or in shares of the Corporation’s capital stock.</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7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7.7</w:t>
      </w:r>
      <w:r>
        <w:rPr>
          <w:sz w:val="20"/>
          <w:szCs w:val="20"/>
          <w:color w:val="auto"/>
        </w:rPr>
        <w:tab/>
      </w:r>
      <w:r>
        <w:rPr>
          <w:rFonts w:ascii="Times New Roman" w:cs="Times New Roman" w:eastAsia="Times New Roman" w:hAnsi="Times New Roman"/>
          <w:sz w:val="21"/>
          <w:szCs w:val="21"/>
          <w:color w:val="auto"/>
        </w:rPr>
        <w:t>FISCAL YEAR.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fiscal year of the Corporation shall be fixed by resolution of the Board and may be changed by the Board.</w:t>
      </w:r>
    </w:p>
    <w:p>
      <w:pPr>
        <w:spacing w:after="0" w:line="22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7.8</w:t>
      </w:r>
      <w:r>
        <w:rPr>
          <w:sz w:val="20"/>
          <w:szCs w:val="20"/>
          <w:color w:val="auto"/>
        </w:rPr>
        <w:tab/>
      </w:r>
      <w:r>
        <w:rPr>
          <w:rFonts w:ascii="Times New Roman" w:cs="Times New Roman" w:eastAsia="Times New Roman" w:hAnsi="Times New Roman"/>
          <w:sz w:val="21"/>
          <w:szCs w:val="21"/>
          <w:color w:val="auto"/>
        </w:rPr>
        <w:t>SEAL.</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7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7.9</w:t>
      </w:r>
      <w:r>
        <w:rPr>
          <w:sz w:val="20"/>
          <w:szCs w:val="20"/>
          <w:color w:val="auto"/>
        </w:rPr>
        <w:tab/>
      </w:r>
      <w:r>
        <w:rPr>
          <w:rFonts w:ascii="Times New Roman" w:cs="Times New Roman" w:eastAsia="Times New Roman" w:hAnsi="Times New Roman"/>
          <w:sz w:val="21"/>
          <w:szCs w:val="21"/>
          <w:color w:val="auto"/>
        </w:rPr>
        <w:t>TRANSFER OF STOCK.</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To the fullest extent permitted by law, no transfer of stock shall be valid as against the Corporation for any purpose until it shall have been entered in the stock records of the Corporation by an entry showing the names of the persons from and to whom it was transferred.</w:t>
      </w:r>
    </w:p>
    <w:p>
      <w:pPr>
        <w:spacing w:after="0" w:line="165"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7.10</w:t>
      </w:r>
      <w:r>
        <w:rPr>
          <w:sz w:val="20"/>
          <w:szCs w:val="20"/>
          <w:color w:val="auto"/>
        </w:rPr>
        <w:tab/>
      </w:r>
      <w:r>
        <w:rPr>
          <w:rFonts w:ascii="Times New Roman" w:cs="Times New Roman" w:eastAsia="Times New Roman" w:hAnsi="Times New Roman"/>
          <w:sz w:val="21"/>
          <w:szCs w:val="21"/>
          <w:color w:val="auto"/>
        </w:rPr>
        <w:t>STOCK TRANSFER AGREEMENTS.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73"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auto"/>
        </w:rPr>
        <w:t>7.11</w:t>
      </w:r>
      <w:r>
        <w:rPr>
          <w:sz w:val="20"/>
          <w:szCs w:val="20"/>
          <w:color w:val="auto"/>
        </w:rPr>
        <w:tab/>
      </w:r>
      <w:r>
        <w:rPr>
          <w:rFonts w:ascii="Times New Roman" w:cs="Times New Roman" w:eastAsia="Times New Roman" w:hAnsi="Times New Roman"/>
          <w:sz w:val="21"/>
          <w:szCs w:val="21"/>
          <w:color w:val="auto"/>
        </w:rPr>
        <w:t>REGISTERED STOCKHOLDERS.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Corporation, to the fullest extent permitted by law,:</w:t>
      </w:r>
    </w:p>
    <w:p>
      <w:pPr>
        <w:spacing w:after="0" w:line="220" w:lineRule="exact"/>
        <w:rPr>
          <w:sz w:val="20"/>
          <w:szCs w:val="20"/>
          <w:color w:val="auto"/>
        </w:rPr>
      </w:pPr>
    </w:p>
    <w:p>
      <w:pPr>
        <w:ind w:firstLine="1304"/>
        <w:spacing w:after="0" w:line="271" w:lineRule="auto"/>
        <w:tabs>
          <w:tab w:leader="none" w:pos="182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entitled to recognize the exclusive right of a person registered on its books as the owner of shares to receive dividends and to vote as such owner;</w:t>
      </w:r>
    </w:p>
    <w:p>
      <w:pPr>
        <w:spacing w:after="0" w:line="157"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entitled to hold liable for calls and assessments the person registered on its books as the owner of</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and</w:t>
      </w:r>
    </w:p>
    <w:p>
      <w:pPr>
        <w:spacing w:after="0" w:line="195"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7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73"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auto"/>
        </w:rPr>
        <w:t>7.12</w:t>
      </w:r>
      <w:r>
        <w:rPr>
          <w:sz w:val="20"/>
          <w:szCs w:val="20"/>
          <w:color w:val="auto"/>
        </w:rPr>
        <w:tab/>
      </w:r>
      <w:r>
        <w:rPr>
          <w:rFonts w:ascii="Times New Roman" w:cs="Times New Roman" w:eastAsia="Times New Roman" w:hAnsi="Times New Roman"/>
          <w:sz w:val="21"/>
          <w:szCs w:val="21"/>
          <w:color w:val="auto"/>
        </w:rPr>
        <w:t>WAIVER OF NOTICE.</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40" w:right="339" w:bottom="1440" w:gutter="0" w:footer="0" w:header="0"/>
        </w:sectPr>
      </w:pPr>
    </w:p>
    <w:bookmarkStart w:id="33" w:name="page34"/>
    <w:bookmarkEnd w:id="33"/>
    <w:p>
      <w:pPr>
        <w:spacing w:after="0" w:line="200" w:lineRule="exact"/>
        <w:rPr>
          <w:sz w:val="20"/>
          <w:szCs w:val="20"/>
          <w:color w:val="auto"/>
        </w:rPr>
      </w:pPr>
    </w:p>
    <w:p>
      <w:pPr>
        <w:spacing w:after="0" w:line="210" w:lineRule="exact"/>
        <w:rPr>
          <w:sz w:val="20"/>
          <w:szCs w:val="20"/>
          <w:color w:val="auto"/>
        </w:rPr>
      </w:pPr>
    </w:p>
    <w:p>
      <w:pPr>
        <w:ind w:left="660" w:right="2580" w:firstLine="1941"/>
        <w:spacing w:after="0" w:line="450" w:lineRule="auto"/>
        <w:rPr>
          <w:sz w:val="20"/>
          <w:szCs w:val="20"/>
          <w:color w:val="auto"/>
        </w:rPr>
      </w:pPr>
      <w:r>
        <w:rPr>
          <w:rFonts w:ascii="Times New Roman" w:cs="Times New Roman" w:eastAsia="Times New Roman" w:hAnsi="Times New Roman"/>
          <w:sz w:val="22"/>
          <w:szCs w:val="22"/>
          <w:b w:val="1"/>
          <w:bCs w:val="1"/>
          <w:color w:val="auto"/>
        </w:rPr>
        <w:t xml:space="preserve">ARTICLE VIII - NOTICE BY ELECTRONIC TRANSMISSION </w:t>
      </w:r>
      <w:r>
        <w:rPr>
          <w:rFonts w:ascii="Times New Roman" w:cs="Times New Roman" w:eastAsia="Times New Roman" w:hAnsi="Times New Roman"/>
          <w:sz w:val="22"/>
          <w:szCs w:val="22"/>
          <w:color w:val="auto"/>
        </w:rPr>
        <w:t>8.1 NOTICE BY ELECTRONIC TRANSMISSION.</w:t>
      </w: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w:t>
      </w:r>
    </w:p>
    <w:p>
      <w:pPr>
        <w:spacing w:after="0" w:line="181" w:lineRule="exact"/>
        <w:rPr>
          <w:sz w:val="20"/>
          <w:szCs w:val="20"/>
          <w:color w:val="auto"/>
        </w:rPr>
      </w:pPr>
    </w:p>
    <w:p>
      <w:pPr>
        <w:ind w:firstLine="1304"/>
        <w:spacing w:after="0" w:line="271" w:lineRule="auto"/>
        <w:tabs>
          <w:tab w:leader="none" w:pos="186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is unable to deliver by electronic transmission two (2) consecutive notices given by the Corporation in accordance with such consent; and</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80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inability becomes known to the secretary or an assistant secretary of the Corporation or to the transfer agent, or other person responsible for the giving of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However, the inadvertent failure to treat such inability as a revocation shall not invalidate any meeting or other action.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notice given pursuant to the preceding paragraph shall be deemed given:</w:t>
      </w:r>
    </w:p>
    <w:p>
      <w:pPr>
        <w:spacing w:after="0" w:line="220" w:lineRule="exact"/>
        <w:rPr>
          <w:sz w:val="20"/>
          <w:szCs w:val="20"/>
          <w:color w:val="auto"/>
        </w:rPr>
      </w:pPr>
    </w:p>
    <w:p>
      <w:pPr>
        <w:ind w:left="1960" w:hanging="656"/>
        <w:spacing w:after="0" w:line="271" w:lineRule="auto"/>
        <w:tabs>
          <w:tab w:leader="none" w:pos="186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by facsimile telecommunication, when directed to a number at which the stockholder has consented to receive notice;</w:t>
      </w:r>
    </w:p>
    <w:p>
      <w:pPr>
        <w:spacing w:after="0" w:line="157" w:lineRule="exact"/>
        <w:rPr>
          <w:rFonts w:ascii="Times New Roman" w:cs="Times New Roman" w:eastAsia="Times New Roman" w:hAnsi="Times New Roman"/>
          <w:sz w:val="22"/>
          <w:szCs w:val="22"/>
          <w:color w:val="auto"/>
        </w:rPr>
      </w:pPr>
    </w:p>
    <w:p>
      <w:pPr>
        <w:ind w:left="1960" w:hanging="656"/>
        <w:spacing w:after="0" w:line="271" w:lineRule="auto"/>
        <w:tabs>
          <w:tab w:leader="none" w:pos="182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by electronic mail, when directed to an electronic mail address at which the stockholder has consented to receive notice;</w:t>
      </w:r>
    </w:p>
    <w:p>
      <w:pPr>
        <w:spacing w:after="0" w:line="157" w:lineRule="exact"/>
        <w:rPr>
          <w:rFonts w:ascii="Times New Roman" w:cs="Times New Roman" w:eastAsia="Times New Roman" w:hAnsi="Times New Roman"/>
          <w:sz w:val="22"/>
          <w:szCs w:val="22"/>
          <w:color w:val="auto"/>
        </w:rPr>
      </w:pPr>
    </w:p>
    <w:p>
      <w:pPr>
        <w:ind w:left="1960" w:hanging="656"/>
        <w:spacing w:after="0" w:line="271" w:lineRule="auto"/>
        <w:tabs>
          <w:tab w:leader="none" w:pos="18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by a posting on an electronic network together with separate notice to the stockholder of such specific posting, upon the later of (i) such posting and (ii) the giving of such separate notice; and</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by any other form of electronic transmission, when directed to the stockholder.</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An affidavit of the secretary or an assistant secretary of the Corporation or of the transfer agent or other agent of the Corporation that the notice has been given by a form of electronic transmission shall, in the absence of fraud, be prima facie evidence of the facts stated therein.</w:t>
      </w:r>
    </w:p>
    <w:p>
      <w:pPr>
        <w:spacing w:after="0" w:line="17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color w:val="auto"/>
        </w:rPr>
        <w:t>DEFINITION OF ELECTRONIC TRANSMISSION.</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For the purposes of these bylaws,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40" w:right="339" w:bottom="1440" w:gutter="0" w:footer="0" w:header="0"/>
        </w:sectPr>
      </w:pPr>
    </w:p>
    <w:bookmarkStart w:id="34" w:name="page35"/>
    <w:bookmarkEnd w:id="34"/>
    <w:p>
      <w:pPr>
        <w:spacing w:after="0" w:line="200" w:lineRule="exact"/>
        <w:rPr>
          <w:sz w:val="20"/>
          <w:szCs w:val="20"/>
          <w:color w:val="auto"/>
        </w:rPr>
      </w:pPr>
    </w:p>
    <w:p>
      <w:pPr>
        <w:spacing w:after="0" w:line="21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b w:val="1"/>
          <w:bCs w:val="1"/>
          <w:color w:val="auto"/>
        </w:rPr>
        <w:t>ARTICLE IX - INDEMNIFICATION AND ADVANCEMENT</w:t>
      </w:r>
    </w:p>
    <w:p>
      <w:pPr>
        <w:spacing w:after="0" w:line="22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1"/>
          <w:szCs w:val="21"/>
          <w:color w:val="auto"/>
        </w:rPr>
        <w:t>ACTIONS, SUITS AND PROCEEDINGS OTHER THAN BY OR IN THE RIGHT OF THE CORPORATION.</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The Corporation shall indemnify each person who was or is a party or threatened to be made a party to any threatened, pending or completed action, suit or proceeding, whether civil, criminal, administrative or investigative (other than an action by or in the right of the Corporation) by reason of the fact that he or she is or was, or has agreed to become, a director or officer of the Corporation, or, while a director or officer of the Corporation, is or was serving, or has agreed to serve, at the request of the Corporation, as a director, officer, partner, employee or trustee of, or in a similar capacity with, another corporation, partnership, joint venture, trust or other enterprise (including, without limitation, any employee benefit plan) (all such persons being referred to hereafter as an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xml:space="preserve">”), or by reason of any action alleged to have been taken or omitted in such capacity, against all expenses (including, without limitation, attorneys’ fees), liabilities, losses, judgments, fines (including, without limitation, excise taxes and penalties arising under the Employee Retirement Income Security Act of 1974),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w:t>
      </w:r>
      <w:r>
        <w:rPr>
          <w:rFonts w:ascii="Times New Roman" w:cs="Times New Roman" w:eastAsia="Times New Roman" w:hAnsi="Times New Roman"/>
          <w:sz w:val="21"/>
          <w:szCs w:val="21"/>
          <w:u w:val="single" w:color="auto"/>
          <w:color w:val="auto"/>
        </w:rPr>
        <w:t>nolo contendere</w:t>
      </w:r>
      <w:r>
        <w:rPr>
          <w:rFonts w:ascii="Times New Roman" w:cs="Times New Roman" w:eastAsia="Times New Roman" w:hAnsi="Times New Roman"/>
          <w:sz w:val="21"/>
          <w:szCs w:val="21"/>
          <w:color w:val="auto"/>
        </w:rPr>
        <w:t xml:space="preserve"> 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his or her conduct was unlawful.</w:t>
      </w:r>
    </w:p>
    <w:p>
      <w:pPr>
        <w:spacing w:after="0" w:line="18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color w:val="auto"/>
        </w:rPr>
        <w:t>ACTIONS OR SUITS BY OR IN THE RIGHT OF THE CORPORATION.</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The Corporation shall indemnify any Indemnitee who was or is a party to or threatened to be made a party to any threatened, pending or completed action or suit by or in the right of the Corporation to procure a judgment in its favor by reason of the fact that Indemnitee is or was, or has agreed to become, a director or officer of the Corporation, or, while a director or officer of the Corporation, is or was serving, or has agreed to serve, at the request of the Corporation, as a director, officer, partner, employee or trustee of, or in a similar capacity with, another corporation, partnership, joint venture, trust or other enterprise (including, without limitation, any employee benefit plan), or by reason of any action alleged to have been taken or omitted in such capacity, against all expenses (including, without limitation, attorneys’ fees)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except that no indemnification shall be made under this Section 9.2 in respect of any claim, issue or matter as to which Indemnitee shall have been adjudged to be liable to the Corporation, unless, and only to the extent, that the Court of Chancery of Delaware or the court in which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action or suit was brought shall determine upon application that, despite the adjudication of such liability but in view of all the circumstances of the case, Indemnitee is fairly and reasonably entitled to indemnity for such expenses (including, without limitation, attorneys’ fees) which the Court of Chancery of Delaware or such other court shall deem proper.</w:t>
      </w:r>
    </w:p>
    <w:p>
      <w:pPr>
        <w:spacing w:after="0" w:line="17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1"/>
          <w:szCs w:val="21"/>
          <w:color w:val="auto"/>
        </w:rPr>
        <w:t>INDEMNIFICATION FOR EXPENSES OF SUCCESSFUL PARTY.</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Notwithstanding any other provisions of this Article IX, to the extent that an Indemnitee has been successful, on the merits or otherwise, in defense of any action, suit or proceeding referred to in Sections 9.1 and 9.2 of these bylaws, or in defense of any claim, issue or matter therein, or on appeal from any such action, suit or proceeding, Indemnitee shall be indemnified to the fullest extent permitted by law against all expenses (including, without limitation, attorneys’ fees) actually and reasonably incurred by or on behalf of Indemnitee in connection therewith.</w:t>
      </w:r>
    </w:p>
    <w:p>
      <w:pPr>
        <w:spacing w:after="0" w:line="18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1"/>
          <w:szCs w:val="21"/>
          <w:color w:val="auto"/>
        </w:rPr>
        <w:t>NOTIFICATION AND DEFENSE OF CLAIM.</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As a condition precedent to an Indemnitee’s right to be indemnified, such Indemnitee must notify the Corporation in writing as soon as practicable of any action, suit, proceeding or investigation involving such Indemnitee for which indemnity will or could be sought. With respect to any action, suit, proceeding or investigation of which the Corporation is so notified, the Corporation will be entitled to participate therein at its own expense and/or to assume the defense thereof at its own expense, with legal counsel reasonably acceptable to Indemnitee. After notice from the Corporation to Indemnitee of its election so to assume such defense, the Corporation shall not be liable to Indemnitee for any legal or other expenses subsequently incurred by Indemnitee in connection with such action, suit, proceeding or investigation, other than as provided below in this Section 9.4. Indemnitee shall have the right to employ his or her own counsel in connection with such action, suit, proceeding or investigation, but the fees and expenses of such counsel incurred after notice from the Corporation of its assumption of the defense thereof shall be at the expense of Indemnitee unless (a) the employment of counsel by Indemnitee has been authorized by the Corporation, (b) counsel to Indemnitee shall have reasonably concluded that there may be a conflict of interest or position on any significant issue between the Corporation and Indemnitee in the conduct of the defense of such action, suit, proceeding or investigation or (c) the Corporation shall not in fact have employed counsel to assume the defense of such action, suit, proceeding or investigation, in each of which cases the fees and expenses of counsel for Indemnitee shall be at the expense of the Corporation, except as otherwise expressly provided by this Article IX. The Corporation shall not be entitled, without the consent of Indemnitee, to assume the defense of any claim brought by or in the right of the Corporation or as to which counsel for Indemnitee shall have reasonably made the conclusion provided for in clause (b) above. The Corporation shall not be required to indemnify Indemnitee under this Article IX for any amounts paid in settlement of any action, suit, proceeding or investigation effected without its written consent. The Corporation shall not settle any action, suit, proceeding or investigation in any manner which would impose any penalty or limitation on Indemnitee without Indemnitee’s written consent. Neither the Corporation nor Indemnitee will unreasonably withhold or delay its consent to any proposed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9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9.5</w:t>
      </w:r>
      <w:r>
        <w:rPr>
          <w:sz w:val="20"/>
          <w:szCs w:val="20"/>
          <w:color w:val="auto"/>
        </w:rPr>
        <w:tab/>
      </w:r>
      <w:r>
        <w:rPr>
          <w:rFonts w:ascii="Times New Roman" w:cs="Times New Roman" w:eastAsia="Times New Roman" w:hAnsi="Times New Roman"/>
          <w:sz w:val="21"/>
          <w:szCs w:val="21"/>
          <w:color w:val="auto"/>
        </w:rPr>
        <w:t>ADVANCE OF EXPENSES.</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Subject to the provisions of Sections 9.4 and 9.6 of these bylaws, in the event of any threatened or pending action, suit, proceeding or investigation of which the Corporation receives notice under this Article IX, any expenses (including, without limitation, attorneys’ fees) incurred by or on behalf of Indemnitee in defending an action, suit, proceeding or investigation or any appeal therefrom shall be paid by the Corporation in advance of the final disposition of such matter to the fullest extent permitted by law;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xml:space="preserve">, that, to the extent required by law, the payment of such expenses incurred by or on behalf of Indemnitee in advance of the final disposition of such matter shall be made only upon receipt of an undertaking by or on behalf of Indemnitee to repay all amounts so advanced in the event that it shall ultimately be determined by final judicial decision from which there is no further right to appeal that Indemnitee is not entitled to be indemnified by the Corporation as authorized in this Article IX or otherwise; and </w:t>
      </w:r>
      <w:r>
        <w:rPr>
          <w:rFonts w:ascii="Times New Roman" w:cs="Times New Roman" w:eastAsia="Times New Roman" w:hAnsi="Times New Roman"/>
          <w:sz w:val="22"/>
          <w:szCs w:val="22"/>
          <w:i w:val="1"/>
          <w:iCs w:val="1"/>
          <w:u w:val="single" w:color="auto"/>
          <w:color w:val="auto"/>
        </w:rPr>
        <w:t>provided further</w:t>
      </w:r>
      <w:r>
        <w:rPr>
          <w:rFonts w:ascii="Times New Roman" w:cs="Times New Roman" w:eastAsia="Times New Roman" w:hAnsi="Times New Roman"/>
          <w:sz w:val="22"/>
          <w:szCs w:val="22"/>
          <w:color w:val="auto"/>
        </w:rPr>
        <w:t xml:space="preserve"> that no such advancement of expenses shall be made under this Article IX if it is determined (in the manner described in Section 9.6 of these bylaws) that (a) Indemnitee did not act in good faith and in a manner he or she reasonably believed to be in, or not opposed to, the best interests of the Corporation, or (b) with respect to any criminal action or proceeding, Indemnitee had reasonable cause to believe his or her conduct was unlawful. Such undertaking shall be accepted without reference to the financial ability of Indemnitee to make such repayment.</w:t>
      </w:r>
    </w:p>
    <w:p>
      <w:pPr>
        <w:spacing w:after="0" w:line="19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9.6</w:t>
      </w:r>
      <w:r>
        <w:rPr>
          <w:sz w:val="20"/>
          <w:szCs w:val="20"/>
          <w:color w:val="auto"/>
        </w:rPr>
        <w:tab/>
      </w:r>
      <w:r>
        <w:rPr>
          <w:rFonts w:ascii="Times New Roman" w:cs="Times New Roman" w:eastAsia="Times New Roman" w:hAnsi="Times New Roman"/>
          <w:sz w:val="21"/>
          <w:szCs w:val="21"/>
          <w:color w:val="auto"/>
        </w:rPr>
        <w:t>PROCEDURE FOR INDEMNIFICATION AND ADVANCEMENT OF EXPENSES.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In order to obtain indemnification or advancement of expenses pursuant to Section 9.1, 9.2, 9.3 or 9.5 of these bylaws, an Indemnitee shall submit to the Corporation a written request. Any such advancement of expenses shall be made promptly, and in any event within 60 days after receipt by the Corporation of the written request of Indemnitee, unless (a) the Corporation has assumed the defense pursuant to Section 9.4 of these bylaws (and none of the circumstances described in Section 9.4 of these bylaws that would nonetheless entitle the Indemnitee to indemnification for the fees and expenses of separate counsel have occurred) or (b) the Corporation determines within such 60-day period that Indemnitee did not meet the applicable standard of conduct set forth in Section 9.1, 9.2 or 9.5 of these bylaws, as the case may be. Any such indemnification, unless ordered by a court, shall be made with respect to requests under Section 9.1 or 9.2 of these bylaws only as authorized in the specific case upon a determination by the Corporation that the indemnification of Indemnitee is proper because Indemnitee has met the applicable standard of conduct set forth in Section 9.1 or 9.2 of these bylaws, as the case may be. Such determination shall be made in each instance (a) by a majority vote of the directors of the Corporation consisting of persons who are not at that time parties to the action, suit or proceeding in question (“</w:t>
      </w:r>
      <w:r>
        <w:rPr>
          <w:rFonts w:ascii="Times New Roman" w:cs="Times New Roman" w:eastAsia="Times New Roman" w:hAnsi="Times New Roman"/>
          <w:sz w:val="21"/>
          <w:szCs w:val="21"/>
          <w:u w:val="single" w:color="auto"/>
          <w:color w:val="auto"/>
        </w:rPr>
        <w:t>disinterested directors</w:t>
      </w:r>
      <w:r>
        <w:rPr>
          <w:rFonts w:ascii="Times New Roman" w:cs="Times New Roman" w:eastAsia="Times New Roman" w:hAnsi="Times New Roman"/>
          <w:sz w:val="21"/>
          <w:szCs w:val="21"/>
          <w:color w:val="auto"/>
        </w:rPr>
        <w:t>”), whether or not a quorum, (b) by a committee of disinterested directors designated by majority vote of disinterested directors, whether or not a quorum, (c) if there are no disinterested directors, or if the disinterested directors so direct, by independent legal counsel (who may, to the extent permitted by law, be regular legal counsel to the Corporation) in a written opinion or (d) by the stockholders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9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9.7</w:t>
      </w:r>
      <w:r>
        <w:rPr>
          <w:sz w:val="20"/>
          <w:szCs w:val="20"/>
          <w:color w:val="auto"/>
        </w:rPr>
        <w:tab/>
      </w:r>
      <w:r>
        <w:rPr>
          <w:rFonts w:ascii="Times New Roman" w:cs="Times New Roman" w:eastAsia="Times New Roman" w:hAnsi="Times New Roman"/>
          <w:sz w:val="21"/>
          <w:szCs w:val="21"/>
          <w:color w:val="auto"/>
        </w:rPr>
        <w:t>REMEDIES.</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To the fullest extent permitted by law, the right to indemnification or advancement of expenses as granted by this Article IX shall be enforceable by Indemnitee in any court of competent jurisdiction. Neither the failure of the Corporation to have made a determination prior to the commencement of such action that indemnification is proper in the circumstances because Indemnitee has met the applicable standard of conduct, nor an actual determination by the Corporation pursuant to Section 9.6 of these bylaws that Indemnitee has not met such applicable standard of conduct, shall be a defense to the action or create a presumption that Indemnitee has not met the applicable standard of conduct. In any suit brought by Indemnitee to enforce a right to indemnification or advancement, or brought by the Corporation to recover an advancement of expenses pursuant to the terms of an undertaking, the Corporation shall have the burden of proving that Indemnitee is not entitled to be indemnified, or to such advancement of expenses, under this Article IX. Indemnitee’s expenses (including, without limitation, attorneys’ fees) reasonably incurred in connection with successfully establishing Indemnitee’s right to indemnification or advancement, in whole or in part, in any such proceeding shall also be indemnified by the Corporation to the fullest extent permitted by law. Notwithstanding the foregoing, in any suit brought by Indemnitee to enforce a right to indemnification hereunder it shall be a defense that the Indemnitee has not met any applicable standard for indemnification set forth in the DGCL.</w:t>
      </w:r>
    </w:p>
    <w:p>
      <w:pPr>
        <w:spacing w:after="0" w:line="17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9.8</w:t>
      </w:r>
      <w:r>
        <w:rPr>
          <w:sz w:val="20"/>
          <w:szCs w:val="20"/>
          <w:color w:val="auto"/>
        </w:rPr>
        <w:tab/>
      </w:r>
      <w:r>
        <w:rPr>
          <w:rFonts w:ascii="Times New Roman" w:cs="Times New Roman" w:eastAsia="Times New Roman" w:hAnsi="Times New Roman"/>
          <w:sz w:val="19"/>
          <w:szCs w:val="19"/>
          <w:color w:val="auto"/>
        </w:rPr>
        <w:t>LIMITATIONS.</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Notwithstanding anything to the contrary in this Article IX, except as set forth in Section 9.7 of these bylaws, the Corporation shall not indemnify an Indemnitee pursuant to this Article IX in connection with a proceeding (or part thereof) initiated by such Indemnitee unless the initiation thereof was approved by the Board. Notwithstanding anything to the contrary in this Article IX, the Corporation shall not indemnify (or advance expenses to) an Indemnitee to the extent such Indemnitee is reimbursed (or advanced expenses) from the proceeds of insurance, and in the event the Corporation makes any indemnification (or advancement) payments to an Indemnitee and such Indemnitee is subsequently reimbursed from the proceeds of insurance, such Indemnitee shall promptly refund indemnification (or advancement) payments to the Corporation to the extent of such insurance reimbursement.</w:t>
      </w:r>
    </w:p>
    <w:p>
      <w:pPr>
        <w:spacing w:after="0" w:line="18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9.9</w:t>
      </w:r>
      <w:r>
        <w:rPr>
          <w:sz w:val="20"/>
          <w:szCs w:val="20"/>
          <w:color w:val="auto"/>
        </w:rPr>
        <w:tab/>
      </w:r>
      <w:r>
        <w:rPr>
          <w:rFonts w:ascii="Times New Roman" w:cs="Times New Roman" w:eastAsia="Times New Roman" w:hAnsi="Times New Roman"/>
          <w:sz w:val="21"/>
          <w:szCs w:val="21"/>
          <w:color w:val="auto"/>
        </w:rPr>
        <w:t>SUBSEQUENT AMENDMENT.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No amendment, termination or repeal of this Article IX or of the relevant provisions of the DGCL or any other applicable laws shall adversely affect or diminish in any way the rights of any Indemnitee to indemnification or advancement of expenses under the provisions hereof with respect to any action, suit, proceeding or investigation arising out of or relating to any actions, transactions or facts occurring prior to the final adoption of such amendment, termination or repeal.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9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9.10</w:t>
      </w:r>
      <w:r>
        <w:rPr>
          <w:sz w:val="20"/>
          <w:szCs w:val="20"/>
          <w:color w:val="auto"/>
        </w:rPr>
        <w:tab/>
      </w:r>
      <w:r>
        <w:rPr>
          <w:rFonts w:ascii="Times New Roman" w:cs="Times New Roman" w:eastAsia="Times New Roman" w:hAnsi="Times New Roman"/>
          <w:sz w:val="21"/>
          <w:szCs w:val="21"/>
          <w:color w:val="auto"/>
        </w:rPr>
        <w:t>OTHER RIGHTS.</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The indemnification and advancement of expenses provided by this Article IX shall not be deemed exclusive of any other rights to which an Indemnitee seeking indemnification or advancement of expenses may be entitled under any law (common or statutory), agreement or vote of stockholders or disinterested directors or otherwise, both as to action in Indemnitee’s official capacity and as to action in any other capacity while holding office for the Corporation, and shall continue as to an Indemnitee who has ceased to be a director or officer, and shall inure to the benefit of the estate, heirs, executors and administrators of Indemnitee. Nothing contained in this Article IX shall be deemed to prohibit, and the Corporation is specifically authorized to enter into, agreements with officers and directors providing indemnification and advancement rights and procedures different from those set forth in this Article IX. In addition, the Corporation may, to the extent authorized from time to time by the Board, grant indemnification and advancement rights to other employees or agents of the Corporation or other persons serving the Corporation and such rights may be equivalent to, or greater or less than, those set forth in this Article IX.</w:t>
      </w:r>
    </w:p>
    <w:p>
      <w:pPr>
        <w:spacing w:after="0" w:line="175"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auto"/>
        </w:rPr>
        <w:t>9.11</w:t>
      </w:r>
      <w:r>
        <w:rPr>
          <w:sz w:val="20"/>
          <w:szCs w:val="20"/>
          <w:color w:val="auto"/>
        </w:rPr>
        <w:tab/>
      </w:r>
      <w:r>
        <w:rPr>
          <w:rFonts w:ascii="Times New Roman" w:cs="Times New Roman" w:eastAsia="Times New Roman" w:hAnsi="Times New Roman"/>
          <w:sz w:val="21"/>
          <w:szCs w:val="21"/>
          <w:color w:val="auto"/>
        </w:rPr>
        <w:t>PARTIAL INDEMNIFICATION.</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If an Indemnitee is entitled under any provision of this Article IX to indemnification by the Corporation for some or a portion of the expenses (including, without limitation, attorneys’ fees), liabilities, losses, judgments, fines (including, without limitation, excise taxes and penalties arising under the Employee Retirement Income Security Act of 1974, as amended) or amounts paid in settlement actually and reasonably incurred by or on behalf of Indemnitee in connection with any action, suit, proceeding or investigation and any appeal therefrom but not, however, for the total amount thereof, the Corporation shall nevertheless indemnify Indemnitee for the portion of such expenses (including, without limitation, attorneys’ fees), liabilities, losses, judgments, fines (including, without limitation, excise taxes and penalties arising under the Employee Retirement Income Security Act of 1974, as amended) or amounts paid in settlement to which Indemnitee is entitled.</w:t>
      </w:r>
    </w:p>
    <w:p>
      <w:pPr>
        <w:spacing w:after="0" w:line="185"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9.12</w:t>
      </w:r>
      <w:r>
        <w:rPr>
          <w:sz w:val="20"/>
          <w:szCs w:val="20"/>
          <w:color w:val="auto"/>
        </w:rPr>
        <w:tab/>
      </w:r>
      <w:r>
        <w:rPr>
          <w:rFonts w:ascii="Times New Roman" w:cs="Times New Roman" w:eastAsia="Times New Roman" w:hAnsi="Times New Roman"/>
          <w:sz w:val="21"/>
          <w:szCs w:val="21"/>
          <w:color w:val="auto"/>
        </w:rPr>
        <w:t>INSURANCE.</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Corporation may purchase and maintain insurance, at its expense, to protect itself and any director, officer, employee or agent of the Corporation or another corporation, partnership, joint venture, trust or other enterprise (including, without limitation, any employee benefit plan) against any expense, liability or loss incurred by him or her in any such capacity, or arising out of his or her status as such, whether or not the Corporation would have the power to indemnify such person against such expense, liability or loss under the DGCL.</w:t>
      </w:r>
    </w:p>
    <w:p>
      <w:pPr>
        <w:spacing w:after="0" w:line="18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9.13</w:t>
      </w:r>
      <w:r>
        <w:rPr>
          <w:sz w:val="20"/>
          <w:szCs w:val="20"/>
          <w:color w:val="auto"/>
        </w:rPr>
        <w:tab/>
      </w:r>
      <w:r>
        <w:rPr>
          <w:rFonts w:ascii="Times New Roman" w:cs="Times New Roman" w:eastAsia="Times New Roman" w:hAnsi="Times New Roman"/>
          <w:sz w:val="21"/>
          <w:szCs w:val="21"/>
          <w:color w:val="auto"/>
        </w:rPr>
        <w:t>SAVINGS CLAUSE.</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If this Article IX or any portion hereof shall be invalidated on any ground by any court of competent jurisdiction, then the Corporation shall nevertheless indemnify each Indemnitee as to any expenses (including, without limitation, attorneys’ fees), liabilities, losses, judgments, fines (including, without limitation, excise taxes and penalties arising under the Employee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Income Security Act of 1974, as amended) and amounts paid in settlement in connection with any action, suit, proceeding or investigation, whether civil, criminal or administrative, including, without limitation, an action by or in the right of the Corporation, to the fullest extent permitted by any applicable portion of this Article IX that shall not have been invalidated and to the fullest extent permitted by applicable law.</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9.14</w:t>
      </w:r>
      <w:r>
        <w:rPr>
          <w:sz w:val="20"/>
          <w:szCs w:val="20"/>
          <w:color w:val="auto"/>
        </w:rPr>
        <w:tab/>
      </w:r>
      <w:r>
        <w:rPr>
          <w:rFonts w:ascii="Times New Roman" w:cs="Times New Roman" w:eastAsia="Times New Roman" w:hAnsi="Times New Roman"/>
          <w:sz w:val="21"/>
          <w:szCs w:val="21"/>
          <w:color w:val="auto"/>
        </w:rPr>
        <w:t>DEFINITIONS.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Terms used in this Article IX and defined in Section 145(h) and Section 145(i) of the DGCL shall have the respective meanings assigned to such terms in such Section 145(h) and Section 145(i).</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 - AMENDMENTS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Subject to the limitations set forth in Section 9.9 of these bylaws or the provisions of the certificate of incorporation, the Board is expressly empowered to adopt, amend or repeal the bylaws of the Corporation. The stockholders also shall have power to adopt, amend or repeal the bylaws of the Corporation;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that, in addition to any vote of the holders of any class or series of stock of the Corporation required by law or by the certificate of incorporation, such action by stockholders shall require the affirmative vote of the holders of at least two-thirds in voting power of the outstanding shares of capital stock of the Corporation entitled to vote thereon.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 - EXCLUSIVE FORUM</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 For the avoidance of doubt, this Article XI 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 Any person or entity purchasing or otherwise acquiring any interest in any security of the Corporation shall be deemed to have notice of and consented to this Article XI.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
    </w:lvl>
    <w:lvl w:ilvl="1">
      <w:lvlJc w:val="left"/>
      <w:lvlText w:val="(%2)"/>
      <w:numFmt w:val="lowerLetter"/>
      <w:start w:val="1"/>
    </w:lvl>
  </w:abstractNum>
  <w:abstractNum w:abstractNumId="2">
    <w:nsid w:val="109CF92E"/>
    <w:multiLevelType w:val="hybridMultilevel"/>
    <w:lvl w:ilvl="0">
      <w:lvlJc w:val="left"/>
      <w:lvlText w:val="(%1)"/>
      <w:numFmt w:val="decimal"/>
      <w:start w:val="90"/>
    </w:lvl>
    <w:lvl w:ilvl="1">
      <w:lvlJc w:val="left"/>
      <w:lvlText w:val="%2"/>
      <w:numFmt w:val="lowerLetter"/>
      <w:start w:val="1"/>
    </w:lvl>
  </w:abstractNum>
  <w:abstractNum w:abstractNumId="3">
    <w:nsid w:val="DED7263"/>
    <w:multiLevelType w:val="hybridMultilevel"/>
    <w:lvl w:ilvl="0">
      <w:lvlJc w:val="left"/>
      <w:lvlText w:val="(%1)"/>
      <w:numFmt w:val="lowerLetter"/>
      <w:start w:val="3"/>
    </w:lvl>
    <w:lvl w:ilvl="1">
      <w:lvlJc w:val="left"/>
      <w:lvlText w:val="(%2)"/>
      <w:numFmt w:val="lowerRoman"/>
      <w:start w:val="1"/>
    </w:lvl>
  </w:abstractNum>
  <w:abstractNum w:abstractNumId="4">
    <w:nsid w:val="7FDCC233"/>
    <w:multiLevelType w:val="hybridMultilevel"/>
    <w:lvl w:ilvl="0">
      <w:lvlJc w:val="left"/>
      <w:lvlText w:val="%1"/>
      <w:numFmt w:val="lowerLetter"/>
      <w:start w:val="1"/>
    </w:lvl>
    <w:lvl w:ilvl="1">
      <w:lvlJc w:val="left"/>
      <w:lvlText w:val="(%2)"/>
      <w:numFmt w:val="lowerLetter"/>
      <w:start w:val="61"/>
    </w:lvl>
  </w:abstractNum>
  <w:abstractNum w:abstractNumId="5">
    <w:nsid w:val="1BEFD79F"/>
    <w:multiLevelType w:val="hybridMultilevel"/>
    <w:lvl w:ilvl="0">
      <w:lvlJc w:val="left"/>
      <w:lvlText w:val="(%1)"/>
      <w:numFmt w:val="lowerLetter"/>
      <w:start w:val="4"/>
    </w:lvl>
    <w:lvl w:ilvl="1">
      <w:lvlJc w:val="left"/>
      <w:lvlText w:val="%2"/>
      <w:numFmt w:val="lowerLetter"/>
      <w:start w:val="1"/>
    </w:lvl>
  </w:abstractNum>
  <w:abstractNum w:abstractNumId="6">
    <w:nsid w:val="41A7C4C9"/>
    <w:multiLevelType w:val="hybridMultilevel"/>
    <w:lvl w:ilvl="0">
      <w:lvlJc w:val="left"/>
      <w:lvlText w:val="(%1)"/>
      <w:numFmt w:val="lowerLetter"/>
      <w:start w:val="5"/>
    </w:lvl>
  </w:abstractNum>
  <w:abstractNum w:abstractNumId="7">
    <w:nsid w:val="6B68079A"/>
    <w:multiLevelType w:val="hybridMultilevel"/>
    <w:lvl w:ilvl="0">
      <w:lvlJc w:val="left"/>
      <w:lvlText w:val="(%1)"/>
      <w:numFmt w:val="lowerLetter"/>
      <w:start w:val="8"/>
    </w:lvl>
  </w:abstractNum>
  <w:abstractNum w:abstractNumId="8">
    <w:nsid w:val="4E6AFB66"/>
    <w:multiLevelType w:val="hybridMultilevel"/>
    <w:lvl w:ilvl="0">
      <w:lvlJc w:val="left"/>
      <w:lvlText w:val="(%1)"/>
      <w:numFmt w:val="lowerLetter"/>
      <w:start w:val="1"/>
    </w:lvl>
  </w:abstractNum>
  <w:abstractNum w:abstractNumId="9">
    <w:nsid w:val="25E45D32"/>
    <w:multiLevelType w:val="hybridMultilevel"/>
    <w:lvl w:ilvl="0">
      <w:lvlJc w:val="left"/>
      <w:lvlText w:val="(%1)"/>
      <w:numFmt w:val="lowerLetter"/>
      <w:start w:val="2"/>
    </w:lvl>
    <w:lvl w:ilvl="1">
      <w:lvlJc w:val="left"/>
      <w:lvlText w:val="(%2)"/>
      <w:numFmt w:val="lowerLetter"/>
      <w:start w:val="9"/>
    </w:lvl>
  </w:abstractNum>
  <w:abstractNum w:abstractNumId="10">
    <w:nsid w:val="519B500D"/>
    <w:multiLevelType w:val="hybridMultilevel"/>
    <w:lvl w:ilvl="0">
      <w:lvlJc w:val="left"/>
      <w:lvlText w:val="%1"/>
      <w:numFmt w:val="decimal"/>
      <w:start w:val="1"/>
    </w:lvl>
    <w:lvl w:ilvl="1">
      <w:lvlJc w:val="left"/>
      <w:lvlText w:val="(%2)"/>
      <w:numFmt w:val="lowerRoman"/>
      <w:start w:val="2"/>
    </w:lvl>
  </w:abstractNum>
  <w:abstractNum w:abstractNumId="11">
    <w:nsid w:val="431BD7B7"/>
    <w:multiLevelType w:val="hybridMultilevel"/>
    <w:lvl w:ilvl="0">
      <w:lvlJc w:val="left"/>
      <w:lvlText w:val="(%1)"/>
      <w:numFmt w:val="decimal"/>
      <w:start w:val="1"/>
    </w:lvl>
    <w:lvl w:ilvl="1">
      <w:lvlJc w:val="left"/>
      <w:lvlText w:val="%2"/>
      <w:numFmt w:val="lowerRoman"/>
      <w:start w:val="1"/>
    </w:lvl>
  </w:abstractNum>
  <w:abstractNum w:abstractNumId="12">
    <w:nsid w:val="3F2DBA31"/>
    <w:multiLevelType w:val="hybridMultilevel"/>
    <w:lvl w:ilvl="0">
      <w:lvlJc w:val="left"/>
      <w:lvlText w:val="%1"/>
      <w:numFmt w:val="upperLetter"/>
      <w:start w:val="1"/>
    </w:lvl>
    <w:lvl w:ilvl="1">
      <w:lvlJc w:val="left"/>
      <w:lvlText w:val="(%2)"/>
      <w:numFmt w:val="lowerRoman"/>
      <w:start w:val="4"/>
    </w:lvl>
  </w:abstractNum>
  <w:abstractNum w:abstractNumId="13">
    <w:nsid w:val="7C83E458"/>
    <w:multiLevelType w:val="hybridMultilevel"/>
    <w:lvl w:ilvl="0">
      <w:lvlJc w:val="left"/>
      <w:lvlText w:val="(%1)"/>
      <w:numFmt w:val="upperLetter"/>
      <w:start w:val="2"/>
    </w:lvl>
    <w:lvl w:ilvl="1">
      <w:lvlJc w:val="left"/>
      <w:lvlText w:val="%2"/>
      <w:numFmt w:val="lowerRoman"/>
      <w:start w:val="1"/>
    </w:lvl>
  </w:abstractNum>
  <w:abstractNum w:abstractNumId="14">
    <w:nsid w:val="257130A3"/>
    <w:multiLevelType w:val="hybridMultilevel"/>
    <w:lvl w:ilvl="0">
      <w:lvlJc w:val="left"/>
      <w:lvlText w:val="(%1)"/>
      <w:numFmt w:val="lowerLetter"/>
      <w:start w:val="4"/>
    </w:lvl>
  </w:abstractNum>
  <w:abstractNum w:abstractNumId="15">
    <w:nsid w:val="62BBD95A"/>
    <w:multiLevelType w:val="hybridMultilevel"/>
    <w:lvl w:ilvl="0">
      <w:lvlJc w:val="left"/>
      <w:lvlText w:val="(%1)"/>
      <w:numFmt w:val="lowerLetter"/>
      <w:start w:val="8"/>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2"/>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lowerRoman"/>
      <w:start w:val="1"/>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2021-03-22T15:21:36Z</dcterms:created>
  <dcterms:modified xsi:type="dcterms:W3CDTF">2021-03-22T15:21:36Z</dcterms:modified>
</cp:coreProperties>
</file>