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6, 2023</w:t>
      </w:r>
    </w:p>
    <w:p>
      <w:pPr>
        <w:spacing w:after="0" w:line="1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96" w:lineRule="exact"/>
        <w:rPr>
          <w:sz w:val="24"/>
          <w:szCs w:val="24"/>
          <w:color w:val="auto"/>
        </w:rPr>
      </w:pPr>
    </w:p>
    <w:tbl>
      <w:tblPr>
        <w:tblLayout w:type="fixed"/>
        <w:tblInd w:w="1180" w:type="dxa"/>
        <w:tblCellMar>
          <w:top w:w="0" w:type="dxa"/>
          <w:left w:w="0" w:type="dxa"/>
          <w:bottom w:w="0" w:type="dxa"/>
          <w:right w:w="0" w:type="dxa"/>
        </w:tblCellMar>
      </w:tblPr>
      <w:tr>
        <w:trPr>
          <w:trHeight w:val="238"/>
        </w:trPr>
        <w:tc>
          <w:tcPr>
            <w:tcW w:w="20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001-39049</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w w:val="98"/>
              </w:rPr>
              <w:t>20-0434866</w:t>
            </w:r>
          </w:p>
        </w:tc>
      </w:tr>
      <w:tr>
        <w:trPr>
          <w:trHeight w:val="191"/>
        </w:trPr>
        <w:tc>
          <w:tcPr>
            <w:tcW w:w="20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2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14"/>
        </w:trPr>
        <w:tc>
          <w:tcPr>
            <w:tcW w:w="2020" w:type="dxa"/>
            <w:vAlign w:val="bottom"/>
          </w:tcPr>
          <w:p>
            <w:pPr>
              <w:spacing w:after="0"/>
              <w:rPr>
                <w:sz w:val="24"/>
                <w:szCs w:val="24"/>
                <w:color w:val="auto"/>
              </w:rPr>
            </w:pPr>
          </w:p>
        </w:tc>
        <w:tc>
          <w:tcPr>
            <w:tcW w:w="496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1261 Liberty Way</w:t>
            </w:r>
          </w:p>
        </w:tc>
        <w:tc>
          <w:tcPr>
            <w:tcW w:w="1640" w:type="dxa"/>
            <w:vAlign w:val="bottom"/>
          </w:tcPr>
          <w:p>
            <w:pPr>
              <w:spacing w:after="0"/>
              <w:rPr>
                <w:sz w:val="24"/>
                <w:szCs w:val="24"/>
                <w:color w:val="auto"/>
              </w:rPr>
            </w:pPr>
          </w:p>
        </w:tc>
      </w:tr>
      <w:tr>
        <w:trPr>
          <w:trHeight w:val="214"/>
        </w:trPr>
        <w:tc>
          <w:tcPr>
            <w:tcW w:w="2020" w:type="dxa"/>
            <w:vAlign w:val="bottom"/>
          </w:tcPr>
          <w:p>
            <w:pPr>
              <w:spacing w:after="0"/>
              <w:rPr>
                <w:sz w:val="18"/>
                <w:szCs w:val="18"/>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Vista, CA 92081</w:t>
            </w:r>
          </w:p>
        </w:tc>
        <w:tc>
          <w:tcPr>
            <w:tcW w:w="1640" w:type="dxa"/>
            <w:vAlign w:val="bottom"/>
          </w:tcPr>
          <w:p>
            <w:pPr>
              <w:spacing w:after="0"/>
              <w:rPr>
                <w:sz w:val="18"/>
                <w:szCs w:val="18"/>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40" w:type="dxa"/>
            <w:vAlign w:val="bottom"/>
          </w:tcPr>
          <w:p>
            <w:pPr>
              <w:spacing w:after="0"/>
              <w:rPr>
                <w:sz w:val="16"/>
                <w:szCs w:val="16"/>
                <w:color w:val="auto"/>
              </w:rPr>
            </w:pPr>
          </w:p>
        </w:tc>
      </w:tr>
      <w:tr>
        <w:trPr>
          <w:trHeight w:val="377"/>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(760) 560-1501</w:t>
            </w:r>
          </w:p>
        </w:tc>
        <w:tc>
          <w:tcPr>
            <w:tcW w:w="16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40" w:type="dxa"/>
            <w:vAlign w:val="bottom"/>
          </w:tcPr>
          <w:p>
            <w:pPr>
              <w:spacing w:after="0"/>
              <w:rPr>
                <w:sz w:val="16"/>
                <w:szCs w:val="16"/>
                <w:color w:val="auto"/>
              </w:rPr>
            </w:pPr>
          </w:p>
        </w:tc>
      </w:tr>
      <w:tr>
        <w:trPr>
          <w:trHeight w:val="377"/>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w:t>
            </w:r>
          </w:p>
        </w:tc>
        <w:tc>
          <w:tcPr>
            <w:tcW w:w="1640" w:type="dxa"/>
            <w:vAlign w:val="bottom"/>
          </w:tcPr>
          <w:p>
            <w:pPr>
              <w:spacing w:after="0"/>
              <w:rPr>
                <w:sz w:val="24"/>
                <w:szCs w:val="24"/>
                <w:color w:val="auto"/>
              </w:rPr>
            </w:pPr>
          </w:p>
        </w:tc>
      </w:tr>
      <w:tr>
        <w:trPr>
          <w:trHeight w:val="190"/>
        </w:trPr>
        <w:tc>
          <w:tcPr>
            <w:tcW w:w="2020" w:type="dxa"/>
            <w:vAlign w:val="bottom"/>
          </w:tcPr>
          <w:p>
            <w:pPr>
              <w:spacing w:after="0"/>
              <w:rPr>
                <w:sz w:val="16"/>
                <w:szCs w:val="16"/>
                <w:color w:val="auto"/>
              </w:rPr>
            </w:pPr>
          </w:p>
        </w:tc>
        <w:tc>
          <w:tcPr>
            <w:tcW w:w="49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40" w:type="dxa"/>
            <w:vAlign w:val="bottom"/>
          </w:tcPr>
          <w:p>
            <w:pPr>
              <w:spacing w:after="0"/>
              <w:rPr>
                <w:sz w:val="16"/>
                <w:szCs w:val="16"/>
                <w:color w:val="auto"/>
              </w:rPr>
            </w:pPr>
          </w:p>
        </w:tc>
      </w:tr>
    </w:tbl>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31" w:lineRule="exact"/>
        <w:rPr>
          <w:sz w:val="24"/>
          <w:szCs w:val="24"/>
          <w:color w:val="auto"/>
        </w:rPr>
      </w:pPr>
    </w:p>
    <w:tbl>
      <w:tblPr>
        <w:tblLayout w:type="fixed"/>
        <w:tblInd w:w="38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2"/>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tc>
        <w:tc>
          <w:tcPr>
            <w:tcW w:w="14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4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41" w:lineRule="exact"/>
        <w:rPr>
          <w:sz w:val="24"/>
          <w:szCs w:val="24"/>
          <w:color w:val="auto"/>
        </w:rPr>
      </w:pPr>
    </w:p>
    <w:p>
      <w:pPr>
        <w:ind w:right="52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48" w:right="399" w:bottom="1440" w:gutter="0" w:footer="0" w:header="0"/>
        </w:sectPr>
      </w:pPr>
    </w:p>
    <w:bookmarkStart w:id="1" w:name="page2"/>
    <w:bookmarkEnd w:id="1"/>
    <w:p>
      <w:pPr>
        <w:ind w:left="960" w:right="120" w:hanging="971"/>
        <w:spacing w:after="0" w:line="271"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71"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6, 2023, Mark Hazeltine resigned from his position as the Company’s Chief Business Officer. Mr. Hazeltine is entitled to severance under the Company’s Amended and Restated Executive Change in Control and Severance Plan (the “Severance Plan”), a copy of which was filed as </w:t>
      </w:r>
      <w:hyperlink r:id="rId9">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Quarterly Report on Form 10-Q for the quarter ended March 31, 2022.</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Effective December 6, 2023, in connection with Mr. Hazeltine’s resignation, the Company and Mr. Hazeltine entered into a consulting agreement (the “Consulting Agreement”) and a severance agreement (the “Severance Agreement”). Pursuant to the Consulting Agreement, among other things, (i) each of Mr. Hazeltine’s unvested stock options and restricted stock awards will remain unvested and continue to be eligible to vest during the term of the Consulting Agreement, and (ii) for the period commencing on December 6, 2023 and ending on March 31, 2024, Mr. Hazeltine will provide consulting services to the Company at an hourly rate of $243.00. The Severance Agreement provides, among other things, that Mr. Hazeltine will be entitled to receive, in accordance with the Severance Plan, the following cash payments: (i) $202,441.56, which is equivalent to six months of his current annual base salary and (ii) $182,197.40, which is equivalent to 100% of his cash performance bonus for 2023. The foregoing description is qualified in its entirety by the Consulting Agreement, which is filed herewith as Exhibit 10.1 and incorporated herein by reference.</w:t>
      </w:r>
    </w:p>
    <w:p>
      <w:pPr>
        <w:spacing w:after="0" w:line="17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6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660" w:type="dxa"/>
            <w:vAlign w:val="bottom"/>
          </w:tcPr>
          <w:p>
            <w:pPr>
              <w:jc w:val="right"/>
              <w:ind w:right="759"/>
              <w:spacing w:after="0" w:line="199" w:lineRule="exact"/>
              <w:rPr>
                <w:sz w:val="20"/>
                <w:szCs w:val="20"/>
                <w:color w:val="auto"/>
              </w:rPr>
            </w:pPr>
            <w:r>
              <w:rPr>
                <w:rFonts w:ascii="Times New Roman" w:cs="Times New Roman" w:eastAsia="Times New Roman" w:hAnsi="Times New Roman"/>
                <w:sz w:val="18"/>
                <w:szCs w:val="18"/>
                <w:color w:val="auto"/>
              </w:rPr>
              <w:t>10.1</w:t>
            </w:r>
          </w:p>
        </w:tc>
        <w:tc>
          <w:tcPr>
            <w:tcW w:w="7620" w:type="dxa"/>
            <w:vAlign w:val="bottom"/>
            <w:tcBorders>
              <w:bottom w:val="single" w:sz="8" w:color="0000FF"/>
            </w:tcBorders>
          </w:tcPr>
          <w:p>
            <w:pPr>
              <w:spacing w:after="0" w:line="199" w:lineRule="exact"/>
              <w:rPr>
                <w:sz w:val="20"/>
                <w:szCs w:val="20"/>
                <w:color w:val="auto"/>
              </w:rPr>
            </w:pPr>
            <w:r>
              <w:rPr>
                <w:rFonts w:ascii="Times New Roman" w:cs="Times New Roman" w:eastAsia="Times New Roman" w:hAnsi="Times New Roman"/>
                <w:sz w:val="18"/>
                <w:szCs w:val="18"/>
                <w:color w:val="0000FF"/>
                <w:w w:val="99"/>
              </w:rPr>
              <w:t>Consulting Agreement, dated as of December 6, 2023, by and between the Company and Mark Hazeltine.</w:t>
            </w: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047"/>
        </w:trPr>
        <w:tc>
          <w:tcPr>
            <w:tcW w:w="1660" w:type="dxa"/>
            <w:vAlign w:val="bottom"/>
            <w:tcBorders>
              <w:bottom w:val="single" w:sz="8" w:color="9A9A9A"/>
            </w:tcBorders>
          </w:tcPr>
          <w:p>
            <w:pPr>
              <w:spacing w:after="0"/>
              <w:rPr>
                <w:sz w:val="24"/>
                <w:szCs w:val="24"/>
                <w:color w:val="auto"/>
              </w:rPr>
            </w:pPr>
          </w:p>
        </w:tc>
        <w:tc>
          <w:tcPr>
            <w:tcW w:w="7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Times New Roman" w:cs="Times New Roman" w:eastAsia="Times New Roman" w:hAnsi="Times New Roman"/>
          <w:sz w:val="18"/>
          <w:szCs w:val="18"/>
          <w:color w:val="auto"/>
        </w:rPr>
        <w:t>Date: December 11,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34290</wp:posOffset>
            </wp:positionV>
            <wp:extent cx="2648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Name: Kamal Adawi</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jc w:val="center"/>
        <w:spacing w:after="0" w:line="219" w:lineRule="auto"/>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PROFESSIONAL SERVICES AGREEMENT</w:t>
      </w:r>
    </w:p>
    <w:p>
      <w:pPr>
        <w:spacing w:after="0" w:line="238" w:lineRule="exact"/>
        <w:rPr>
          <w:sz w:val="20"/>
          <w:szCs w:val="20"/>
          <w:color w:val="auto"/>
        </w:rPr>
      </w:pPr>
    </w:p>
    <w:p>
      <w:pPr>
        <w:ind w:right="60" w:firstLine="648"/>
        <w:spacing w:after="0" w:line="236" w:lineRule="auto"/>
        <w:rPr>
          <w:sz w:val="20"/>
          <w:szCs w:val="20"/>
          <w:color w:val="auto"/>
        </w:rPr>
      </w:pPr>
      <w:r>
        <w:rPr>
          <w:rFonts w:ascii="Calibri" w:cs="Calibri" w:eastAsia="Calibri" w:hAnsi="Calibri"/>
          <w:sz w:val="20"/>
          <w:szCs w:val="20"/>
          <w:color w:val="auto"/>
        </w:rPr>
        <w:t>This Professional Services Agreement (the “Agreement”) is efectve as of December 6, 2023, by and between Exagen Inc. (the “Company”), a Delaware corporaton with ofces at 1261 Liberty Way, Vista, CA 92081, and John Mark Hazeltne (the “Consultant”) with a business locaton at .</w:t>
      </w:r>
    </w:p>
    <w:p>
      <w:pPr>
        <w:spacing w:after="0" w:line="238" w:lineRule="exact"/>
        <w:rPr>
          <w:sz w:val="20"/>
          <w:szCs w:val="20"/>
          <w:color w:val="auto"/>
        </w:rPr>
      </w:pPr>
    </w:p>
    <w:p>
      <w:pPr>
        <w:ind w:right="100" w:firstLine="8"/>
        <w:spacing w:after="0" w:line="231" w:lineRule="auto"/>
        <w:tabs>
          <w:tab w:leader="none" w:pos="337" w:val="left"/>
        </w:tabs>
        <w:numPr>
          <w:ilvl w:val="0"/>
          <w:numId w:val="2"/>
        </w:numPr>
        <w:rPr>
          <w:rFonts w:ascii="Calibri" w:cs="Calibri" w:eastAsia="Calibri" w:hAnsi="Calibri"/>
          <w:sz w:val="20"/>
          <w:szCs w:val="20"/>
          <w:color w:val="auto"/>
        </w:rPr>
      </w:pPr>
      <w:r>
        <w:rPr>
          <w:rFonts w:ascii="Calibri" w:cs="Calibri" w:eastAsia="Calibri" w:hAnsi="Calibri"/>
          <w:sz w:val="20"/>
          <w:szCs w:val="20"/>
          <w:u w:val="single" w:color="auto"/>
          <w:color w:val="auto"/>
        </w:rPr>
        <w:t>Consultng Services</w:t>
      </w:r>
      <w:r>
        <w:rPr>
          <w:rFonts w:ascii="Calibri" w:cs="Calibri" w:eastAsia="Calibri" w:hAnsi="Calibri"/>
          <w:sz w:val="20"/>
          <w:szCs w:val="20"/>
          <w:color w:val="auto"/>
        </w:rPr>
        <w:t>. The Company hereby retains the Consultant to perform and the Consultant hereby agrees to perform for the Company consultng services as described on Exhibit A atached hereto and incorporated by reference herein (the “Services”). Company reserves the right to add or delete Services as necessary during the term of this Agreement.</w:t>
      </w:r>
    </w:p>
    <w:p>
      <w:pPr>
        <w:spacing w:after="0" w:line="253" w:lineRule="exact"/>
        <w:rPr>
          <w:rFonts w:ascii="Calibri" w:cs="Calibri" w:eastAsia="Calibri" w:hAnsi="Calibri"/>
          <w:sz w:val="20"/>
          <w:szCs w:val="20"/>
          <w:color w:val="auto"/>
        </w:rPr>
      </w:pPr>
    </w:p>
    <w:p>
      <w:pPr>
        <w:ind w:firstLine="8"/>
        <w:spacing w:after="0" w:line="234" w:lineRule="auto"/>
        <w:tabs>
          <w:tab w:leader="none" w:pos="337" w:val="left"/>
        </w:tabs>
        <w:numPr>
          <w:ilvl w:val="0"/>
          <w:numId w:val="2"/>
        </w:numPr>
        <w:rPr>
          <w:rFonts w:ascii="Calibri" w:cs="Calibri" w:eastAsia="Calibri" w:hAnsi="Calibri"/>
          <w:sz w:val="20"/>
          <w:szCs w:val="20"/>
          <w:color w:val="auto"/>
        </w:rPr>
      </w:pPr>
      <w:r>
        <w:rPr>
          <w:rFonts w:ascii="Calibri" w:cs="Calibri" w:eastAsia="Calibri" w:hAnsi="Calibri"/>
          <w:sz w:val="20"/>
          <w:szCs w:val="20"/>
          <w:u w:val="single" w:color="auto"/>
          <w:color w:val="auto"/>
        </w:rPr>
        <w:t>Time of Performance</w:t>
      </w:r>
      <w:r>
        <w:rPr>
          <w:rFonts w:ascii="Calibri" w:cs="Calibri" w:eastAsia="Calibri" w:hAnsi="Calibri"/>
          <w:sz w:val="20"/>
          <w:szCs w:val="20"/>
          <w:color w:val="auto"/>
        </w:rPr>
        <w:t>. The Consultant will render the Services at such tme or tmes as are mutually convenient to the Consultant and the Company, and the Consultant will spend such amount of tme as is necessary to complete the assigned tasks.</w:t>
      </w:r>
    </w:p>
    <w:p>
      <w:pPr>
        <w:spacing w:after="0" w:line="239" w:lineRule="exact"/>
        <w:rPr>
          <w:rFonts w:ascii="Calibri" w:cs="Calibri" w:eastAsia="Calibri" w:hAnsi="Calibri"/>
          <w:sz w:val="20"/>
          <w:szCs w:val="20"/>
          <w:color w:val="auto"/>
        </w:rPr>
      </w:pPr>
    </w:p>
    <w:p>
      <w:pPr>
        <w:ind w:right="240" w:firstLine="8"/>
        <w:spacing w:after="0" w:line="234" w:lineRule="auto"/>
        <w:tabs>
          <w:tab w:leader="none" w:pos="337" w:val="left"/>
        </w:tabs>
        <w:numPr>
          <w:ilvl w:val="0"/>
          <w:numId w:val="2"/>
        </w:numPr>
        <w:rPr>
          <w:rFonts w:ascii="Calibri" w:cs="Calibri" w:eastAsia="Calibri" w:hAnsi="Calibri"/>
          <w:sz w:val="20"/>
          <w:szCs w:val="20"/>
          <w:color w:val="auto"/>
        </w:rPr>
      </w:pPr>
      <w:r>
        <w:rPr>
          <w:rFonts w:ascii="Calibri" w:cs="Calibri" w:eastAsia="Calibri" w:hAnsi="Calibri"/>
          <w:sz w:val="20"/>
          <w:szCs w:val="20"/>
          <w:u w:val="single" w:color="auto"/>
          <w:color w:val="auto"/>
        </w:rPr>
        <w:t>Term</w:t>
      </w:r>
      <w:r>
        <w:rPr>
          <w:rFonts w:ascii="Calibri" w:cs="Calibri" w:eastAsia="Calibri" w:hAnsi="Calibri"/>
          <w:sz w:val="20"/>
          <w:szCs w:val="20"/>
          <w:color w:val="auto"/>
        </w:rPr>
        <w:t>. The term of this Agreement will commence on the date specifed above and will contnue in full force and efect untl March 31, 2024, unless earlier terminated by either party in accordance with Secton 4 below (“Term”).</w:t>
      </w:r>
    </w:p>
    <w:p>
      <w:pPr>
        <w:spacing w:after="0" w:line="239" w:lineRule="exact"/>
        <w:rPr>
          <w:rFonts w:ascii="Calibri" w:cs="Calibri" w:eastAsia="Calibri" w:hAnsi="Calibri"/>
          <w:sz w:val="20"/>
          <w:szCs w:val="20"/>
          <w:color w:val="auto"/>
        </w:rPr>
      </w:pPr>
    </w:p>
    <w:p>
      <w:pPr>
        <w:ind w:right="140" w:firstLine="8"/>
        <w:spacing w:after="0" w:line="233" w:lineRule="auto"/>
        <w:tabs>
          <w:tab w:leader="none" w:pos="337" w:val="left"/>
        </w:tabs>
        <w:numPr>
          <w:ilvl w:val="0"/>
          <w:numId w:val="2"/>
        </w:numPr>
        <w:rPr>
          <w:rFonts w:ascii="Calibri" w:cs="Calibri" w:eastAsia="Calibri" w:hAnsi="Calibri"/>
          <w:sz w:val="20"/>
          <w:szCs w:val="20"/>
          <w:color w:val="auto"/>
        </w:rPr>
      </w:pPr>
      <w:r>
        <w:rPr>
          <w:rFonts w:ascii="Calibri" w:cs="Calibri" w:eastAsia="Calibri" w:hAnsi="Calibri"/>
          <w:sz w:val="20"/>
          <w:szCs w:val="20"/>
          <w:u w:val="single" w:color="auto"/>
          <w:color w:val="auto"/>
        </w:rPr>
        <w:t>Terminaton</w:t>
      </w:r>
      <w:r>
        <w:rPr>
          <w:rFonts w:ascii="Calibri" w:cs="Calibri" w:eastAsia="Calibri" w:hAnsi="Calibri"/>
          <w:sz w:val="20"/>
          <w:szCs w:val="20"/>
          <w:color w:val="auto"/>
        </w:rPr>
        <w:t>. The Company may immediately terminate this Agreement for Cause upon writen notce of terminaton to the Consultant, with the partcular Cause being specifed in such notce. “Cause” means (a) the Consultant’s act or acts amountng to gross negligence to the detriment of the Company; (b) the Consultant’s fraud or embezzlement of funds or property; (c) the Consultant’s failure to adhere to rules and regulatons established under HIPAA as outlined in paragraph 8(e); or (d) the Consultant’s material breach of any covenant, conditon or provision of this Agreement. Either party may terminate this Agreement, without cause, at any tme for any reason by providing ten (10) days advance writen notce to the other party.</w:t>
      </w:r>
    </w:p>
    <w:p>
      <w:pPr>
        <w:spacing w:after="0" w:line="251" w:lineRule="exact"/>
        <w:rPr>
          <w:rFonts w:ascii="Calibri" w:cs="Calibri" w:eastAsia="Calibri" w:hAnsi="Calibri"/>
          <w:sz w:val="20"/>
          <w:szCs w:val="20"/>
          <w:color w:val="auto"/>
        </w:rPr>
      </w:pPr>
    </w:p>
    <w:p>
      <w:pPr>
        <w:ind w:right="100" w:firstLine="8"/>
        <w:spacing w:after="0" w:line="231" w:lineRule="auto"/>
        <w:tabs>
          <w:tab w:leader="none" w:pos="337" w:val="left"/>
        </w:tabs>
        <w:numPr>
          <w:ilvl w:val="0"/>
          <w:numId w:val="2"/>
        </w:numPr>
        <w:rPr>
          <w:rFonts w:ascii="Calibri" w:cs="Calibri" w:eastAsia="Calibri" w:hAnsi="Calibri"/>
          <w:sz w:val="20"/>
          <w:szCs w:val="20"/>
          <w:color w:val="auto"/>
        </w:rPr>
      </w:pPr>
      <w:r>
        <w:rPr>
          <w:rFonts w:ascii="Calibri" w:cs="Calibri" w:eastAsia="Calibri" w:hAnsi="Calibri"/>
          <w:sz w:val="20"/>
          <w:szCs w:val="20"/>
          <w:u w:val="single" w:color="auto"/>
          <w:color w:val="auto"/>
        </w:rPr>
        <w:t>Compensaton</w:t>
      </w:r>
      <w:r>
        <w:rPr>
          <w:rFonts w:ascii="Calibri" w:cs="Calibri" w:eastAsia="Calibri" w:hAnsi="Calibri"/>
          <w:sz w:val="20"/>
          <w:szCs w:val="20"/>
          <w:color w:val="auto"/>
        </w:rPr>
        <w:t>. In consideraton for the Services, the Company will pay the Consultant the fees as specifed in Exhibit A. Such fees will be paid within thirty (30) days following the performance of Services upon satsfactory evidence of the provision of such Services unless otherwise specifed in Exhibit A. For a period of fve (5) years afer expiraton or terminaton of this Agreement, Company will have the right to conduct an audit of Consultant, reasonable in duraton and scope, to the extent reasonably useful to Company to audit the Services, fees paid and expenses reimbursed hereunder.</w:t>
      </w:r>
    </w:p>
    <w:p>
      <w:pPr>
        <w:spacing w:after="0" w:line="256"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Consultant shall contnue to vest as if he were an employee during the Term for purposes of Consultant’s outstanding Restricted Stock Units (“RSU”) granted to Consultant by the Company in connecton with his employment with the Company. As further compensaton for the services to be rendered pursuant to this Agreement, Consultant’s remaining unvested stock optons shall contnue to be eligible to vest during the term of this Agreement in accordance with the terms of such stock optons. Consultant’s stock optons shall contnue to be governed by the terms and conditons of the stock opton agreements and the Company’s equity plan pursuant to which such stock optons were granted.</w:t>
      </w:r>
    </w:p>
    <w:p>
      <w:pPr>
        <w:spacing w:after="0" w:line="238" w:lineRule="exact"/>
        <w:rPr>
          <w:sz w:val="20"/>
          <w:szCs w:val="20"/>
          <w:color w:val="auto"/>
        </w:rPr>
      </w:pPr>
    </w:p>
    <w:p>
      <w:pPr>
        <w:jc w:val="both"/>
        <w:ind w:right="160" w:firstLine="8"/>
        <w:spacing w:after="0" w:line="233" w:lineRule="auto"/>
        <w:tabs>
          <w:tab w:leader="none" w:pos="337" w:val="left"/>
        </w:tabs>
        <w:numPr>
          <w:ilvl w:val="0"/>
          <w:numId w:val="3"/>
        </w:numPr>
        <w:rPr>
          <w:rFonts w:ascii="Calibri" w:cs="Calibri" w:eastAsia="Calibri" w:hAnsi="Calibri"/>
          <w:sz w:val="20"/>
          <w:szCs w:val="20"/>
          <w:color w:val="auto"/>
        </w:rPr>
      </w:pPr>
      <w:r>
        <w:rPr>
          <w:rFonts w:ascii="Calibri" w:cs="Calibri" w:eastAsia="Calibri" w:hAnsi="Calibri"/>
          <w:sz w:val="20"/>
          <w:szCs w:val="20"/>
          <w:u w:val="single" w:color="auto"/>
          <w:color w:val="auto"/>
        </w:rPr>
        <w:t>Expenses</w:t>
      </w:r>
      <w:r>
        <w:rPr>
          <w:rFonts w:ascii="Calibri" w:cs="Calibri" w:eastAsia="Calibri" w:hAnsi="Calibri"/>
          <w:sz w:val="20"/>
          <w:szCs w:val="20"/>
          <w:color w:val="auto"/>
        </w:rPr>
        <w:t>. The Company will reimburse Consultant for all reasonable travel and other expenses directly related to Consultant’s performance of Services under this Agreement provided that (a) such expenses have been approved in writng, in advance of being incurred, by an ofcer of the Company and (b) such expenses are of a nature (and adequate documentary evidence has been provided) qualifying them as proper deductons on federal and state tax returns of the Company. Company will not reimburse</w:t>
      </w:r>
    </w:p>
    <w:p>
      <w:pPr>
        <w:spacing w:after="0" w:line="1" w:lineRule="exact"/>
        <w:rPr>
          <w:rFonts w:ascii="Calibri" w:cs="Calibri" w:eastAsia="Calibri" w:hAnsi="Calibri"/>
          <w:sz w:val="20"/>
          <w:szCs w:val="20"/>
          <w:color w:val="auto"/>
        </w:rPr>
      </w:pPr>
    </w:p>
    <w:p>
      <w:pPr>
        <w:spacing w:after="0" w:line="212" w:lineRule="auto"/>
        <w:rPr>
          <w:rFonts w:ascii="Calibri" w:cs="Calibri" w:eastAsia="Calibri" w:hAnsi="Calibri"/>
          <w:sz w:val="20"/>
          <w:szCs w:val="20"/>
          <w:color w:val="auto"/>
        </w:rPr>
      </w:pPr>
      <w:r>
        <w:rPr>
          <w:rFonts w:ascii="Calibri" w:cs="Calibri" w:eastAsia="Calibri" w:hAnsi="Calibri"/>
          <w:sz w:val="20"/>
          <w:szCs w:val="20"/>
          <w:color w:val="auto"/>
        </w:rPr>
        <w:t>for tme spent in transit.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ind w:left="11080"/>
        <w:spacing w:after="0" w:line="193" w:lineRule="auto"/>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356" w:right="339" w:bottom="1440" w:gutter="0" w:footer="0" w:header="0"/>
        </w:sectPr>
      </w:pPr>
    </w:p>
    <w:bookmarkStart w:id="4" w:name="page5"/>
    <w:bookmarkEnd w:id="4"/>
    <w:p>
      <w:pPr>
        <w:jc w:val="center"/>
        <w:ind w:right="-59"/>
        <w:spacing w:after="0"/>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8"/>
        <w:spacing w:after="0" w:line="232" w:lineRule="auto"/>
        <w:tabs>
          <w:tab w:leader="none" w:pos="337" w:val="left"/>
        </w:tabs>
        <w:numPr>
          <w:ilvl w:val="0"/>
          <w:numId w:val="4"/>
        </w:numPr>
        <w:rPr>
          <w:rFonts w:ascii="Calibri" w:cs="Calibri" w:eastAsia="Calibri" w:hAnsi="Calibri"/>
          <w:sz w:val="20"/>
          <w:szCs w:val="20"/>
          <w:color w:val="auto"/>
        </w:rPr>
      </w:pPr>
      <w:r>
        <w:rPr>
          <w:rFonts w:ascii="Calibri" w:cs="Calibri" w:eastAsia="Calibri" w:hAnsi="Calibri"/>
          <w:sz w:val="20"/>
          <w:szCs w:val="20"/>
          <w:u w:val="single" w:color="auto"/>
          <w:color w:val="auto"/>
        </w:rPr>
        <w:t>Work Product</w:t>
      </w:r>
      <w:r>
        <w:rPr>
          <w:rFonts w:ascii="Calibri" w:cs="Calibri" w:eastAsia="Calibri" w:hAnsi="Calibri"/>
          <w:sz w:val="20"/>
          <w:szCs w:val="20"/>
          <w:color w:val="auto"/>
        </w:rPr>
        <w:t>. Except as provided below, any work product prepared or developed by Consultant as part of the Services rendered under this Agreement (“Work Product”) will be the sole property of the Company and will be considered “works made for hire” for the Company. To the extent that any Work Product under applicable law may not be considered “works made for hire,” the Consultant hereby assigns (or upon its creaton, automatcally and irrevocably assigns) to the Company, without any further consideraton, all right, ttle and interest in and to such Work Product, including, without limitaton, any inventon, whether patentable or not, any other intellectual property rights, moral rights, all contract and licensing right, and all claims and causes of acton of any kind with respect to such Work Product. The Consultant agrees to take all further actons, and execute all further documents, reasonably necessary to accomplish the intent of the foregoing.</w:t>
      </w:r>
    </w:p>
    <w:p>
      <w:pPr>
        <w:spacing w:after="0" w:line="248" w:lineRule="exact"/>
        <w:rPr>
          <w:rFonts w:ascii="Calibri" w:cs="Calibri" w:eastAsia="Calibri" w:hAnsi="Calibri"/>
          <w:sz w:val="20"/>
          <w:szCs w:val="20"/>
          <w:color w:val="auto"/>
        </w:rPr>
      </w:pPr>
    </w:p>
    <w:p>
      <w:pPr>
        <w:ind w:left="340" w:hanging="332"/>
        <w:spacing w:after="0"/>
        <w:tabs>
          <w:tab w:leader="none" w:pos="340" w:val="left"/>
        </w:tabs>
        <w:numPr>
          <w:ilvl w:val="0"/>
          <w:numId w:val="4"/>
        </w:numPr>
        <w:rPr>
          <w:rFonts w:ascii="Calibri" w:cs="Calibri" w:eastAsia="Calibri" w:hAnsi="Calibri"/>
          <w:sz w:val="20"/>
          <w:szCs w:val="20"/>
          <w:color w:val="auto"/>
        </w:rPr>
      </w:pPr>
      <w:r>
        <w:rPr>
          <w:rFonts w:ascii="Calibri" w:cs="Calibri" w:eastAsia="Calibri" w:hAnsi="Calibri"/>
          <w:sz w:val="20"/>
          <w:szCs w:val="20"/>
          <w:u w:val="single" w:color="auto"/>
          <w:color w:val="auto"/>
        </w:rPr>
        <w:t>Confdentality</w:t>
      </w:r>
      <w:r>
        <w:rPr>
          <w:rFonts w:ascii="Calibri" w:cs="Calibri" w:eastAsia="Calibri" w:hAnsi="Calibri"/>
          <w:sz w:val="20"/>
          <w:szCs w:val="20"/>
          <w:color w:val="auto"/>
        </w:rPr>
        <w:t>.</w:t>
      </w:r>
    </w:p>
    <w:p>
      <w:pPr>
        <w:spacing w:after="0" w:line="238" w:lineRule="exact"/>
        <w:rPr>
          <w:sz w:val="20"/>
          <w:szCs w:val="20"/>
          <w:color w:val="auto"/>
        </w:rPr>
      </w:pPr>
    </w:p>
    <w:p>
      <w:pPr>
        <w:ind w:left="1120" w:right="60" w:hanging="647"/>
        <w:spacing w:after="0" w:line="233" w:lineRule="auto"/>
        <w:tabs>
          <w:tab w:leader="none" w:pos="1100" w:val="left"/>
        </w:tabs>
        <w:rPr>
          <w:sz w:val="20"/>
          <w:szCs w:val="20"/>
          <w:color w:val="auto"/>
        </w:rPr>
      </w:pPr>
      <w:r>
        <w:rPr>
          <w:rFonts w:ascii="Calibri" w:cs="Calibri" w:eastAsia="Calibri" w:hAnsi="Calibri"/>
          <w:sz w:val="20"/>
          <w:szCs w:val="20"/>
          <w:color w:val="auto"/>
        </w:rPr>
        <w:t>(a).</w:t>
        <w:tab/>
        <w:t>The Consultant will hold the Company’s Confdental Informaton, as defned below, in the strictest confdence and will not disclose or use the Confdental Informaton except as permited by this Agreement in connecton with the Services, unless expressly authorized to act otherwise in writng by an ofcer of the Company. The Consultant’s obligatons under this Secton will survive any terminaton of this Agreement.</w:t>
      </w:r>
    </w:p>
    <w:p>
      <w:pPr>
        <w:spacing w:after="0" w:line="253" w:lineRule="exact"/>
        <w:rPr>
          <w:sz w:val="20"/>
          <w:szCs w:val="20"/>
          <w:color w:val="auto"/>
        </w:rPr>
      </w:pPr>
    </w:p>
    <w:p>
      <w:pPr>
        <w:ind w:left="1300" w:right="20" w:hanging="644"/>
        <w:spacing w:after="0" w:line="231" w:lineRule="auto"/>
        <w:tabs>
          <w:tab w:leader="none" w:pos="1064" w:val="left"/>
        </w:tabs>
        <w:numPr>
          <w:ilvl w:val="0"/>
          <w:numId w:val="5"/>
        </w:numPr>
        <w:rPr>
          <w:rFonts w:ascii="Calibri" w:cs="Calibri" w:eastAsia="Calibri" w:hAnsi="Calibri"/>
          <w:sz w:val="20"/>
          <w:szCs w:val="20"/>
          <w:color w:val="auto"/>
        </w:rPr>
      </w:pPr>
      <w:r>
        <w:rPr>
          <w:rFonts w:ascii="Calibri" w:cs="Calibri" w:eastAsia="Calibri" w:hAnsi="Calibri"/>
          <w:sz w:val="20"/>
          <w:szCs w:val="20"/>
          <w:color w:val="auto"/>
        </w:rPr>
        <w:t>The Consultant agrees that all data and informaton about the Company’s business, plans, fnances, equipment, intellectual property, processes and methods of operaton disclosed to, acquired by or developed by the Consultant during performance of the Services hereunder is and shall remain the exclusive property of Company.</w:t>
      </w:r>
    </w:p>
    <w:p>
      <w:pPr>
        <w:spacing w:after="0" w:line="240" w:lineRule="exact"/>
        <w:rPr>
          <w:sz w:val="20"/>
          <w:szCs w:val="20"/>
          <w:color w:val="auto"/>
        </w:rPr>
      </w:pPr>
    </w:p>
    <w:p>
      <w:pPr>
        <w:ind w:left="1100" w:right="80" w:hanging="647"/>
        <w:spacing w:after="0"/>
        <w:tabs>
          <w:tab w:leader="none" w:pos="1080" w:val="left"/>
        </w:tabs>
        <w:rPr>
          <w:sz w:val="20"/>
          <w:szCs w:val="20"/>
          <w:color w:val="auto"/>
        </w:rPr>
      </w:pPr>
      <w:r>
        <w:rPr>
          <w:rFonts w:ascii="Calibri" w:cs="Calibri" w:eastAsia="Calibri" w:hAnsi="Calibri"/>
          <w:sz w:val="20"/>
          <w:szCs w:val="20"/>
          <w:color w:val="auto"/>
        </w:rPr>
        <w:t>(c).</w:t>
        <w:tab/>
        <w:t>“Confdental Informaton” means trade secrets, confdental informaton, data or any other proprietary informaton of the Company. By way of illustraton, but not limitaton, “Confdental Informaton” includes (a) informaton relatng to the Company’s technology, including inventons, ideas, processes, formulas, source and object code, data, know-how, designs and techniques; and (b) informaton regarding plans for research, development, new products, marketng and selling, business plans, budgets and fnancial statements, licenses, prices and costs, suppliers and customers and the skills and compensaton of Company’s employees. However, “Confdental Informaton” does not include informaton that is:</w:t>
      </w:r>
    </w:p>
    <w:p>
      <w:pPr>
        <w:spacing w:after="0" w:line="200" w:lineRule="exact"/>
        <w:rPr>
          <w:sz w:val="20"/>
          <w:szCs w:val="20"/>
          <w:color w:val="auto"/>
        </w:rPr>
      </w:pPr>
    </w:p>
    <w:p>
      <w:pPr>
        <w:spacing w:after="0" w:line="229" w:lineRule="exact"/>
        <w:rPr>
          <w:sz w:val="20"/>
          <w:szCs w:val="20"/>
          <w:color w:val="auto"/>
        </w:rPr>
      </w:pPr>
    </w:p>
    <w:p>
      <w:pPr>
        <w:ind w:left="1580" w:hanging="276"/>
        <w:spacing w:after="0"/>
        <w:tabs>
          <w:tab w:leader="none" w:pos="158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Expressly agreed by the Company to be free of any nondisclosure obligatons; or</w:t>
      </w:r>
    </w:p>
    <w:p>
      <w:pPr>
        <w:spacing w:after="0" w:line="241" w:lineRule="exact"/>
        <w:rPr>
          <w:rFonts w:ascii="Calibri" w:cs="Calibri" w:eastAsia="Calibri" w:hAnsi="Calibri"/>
          <w:sz w:val="20"/>
          <w:szCs w:val="20"/>
          <w:color w:val="auto"/>
        </w:rPr>
      </w:pPr>
    </w:p>
    <w:p>
      <w:pPr>
        <w:ind w:left="1640" w:hanging="336"/>
        <w:spacing w:after="0"/>
        <w:tabs>
          <w:tab w:leader="none" w:pos="164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Known to the Consultant or any of its afliates, free of any nondisclosure obligatons at the tme of disclosure; or</w:t>
      </w:r>
    </w:p>
    <w:p>
      <w:pPr>
        <w:spacing w:after="0" w:line="251" w:lineRule="exact"/>
        <w:rPr>
          <w:rFonts w:ascii="Calibri" w:cs="Calibri" w:eastAsia="Calibri" w:hAnsi="Calibri"/>
          <w:sz w:val="20"/>
          <w:szCs w:val="20"/>
          <w:color w:val="auto"/>
        </w:rPr>
      </w:pPr>
    </w:p>
    <w:p>
      <w:pPr>
        <w:ind w:left="1960" w:right="600" w:hanging="656"/>
        <w:spacing w:after="0" w:line="228" w:lineRule="auto"/>
        <w:tabs>
          <w:tab w:leader="none" w:pos="1686"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Independently developed by the Consultant or any of its afliates without use of the Company’s Confdental Informaton; or</w:t>
      </w:r>
    </w:p>
    <w:p>
      <w:pPr>
        <w:spacing w:after="0" w:line="251" w:lineRule="exact"/>
        <w:rPr>
          <w:rFonts w:ascii="Calibri" w:cs="Calibri" w:eastAsia="Calibri" w:hAnsi="Calibri"/>
          <w:sz w:val="20"/>
          <w:szCs w:val="20"/>
          <w:color w:val="auto"/>
        </w:rPr>
      </w:pPr>
    </w:p>
    <w:p>
      <w:pPr>
        <w:ind w:left="1960" w:right="140" w:hanging="656"/>
        <w:spacing w:after="0" w:line="228" w:lineRule="auto"/>
        <w:tabs>
          <w:tab w:leader="none" w:pos="1668"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Lawfully received by the Consultant, free of any nondisclosure obligatons, from a third party which the Consultant reasonably believes has the right to disclose such Confdental Informaton; or</w:t>
      </w:r>
    </w:p>
    <w:p>
      <w:pPr>
        <w:spacing w:after="0" w:line="241" w:lineRule="exact"/>
        <w:rPr>
          <w:rFonts w:ascii="Calibri" w:cs="Calibri" w:eastAsia="Calibri" w:hAnsi="Calibri"/>
          <w:sz w:val="20"/>
          <w:szCs w:val="20"/>
          <w:color w:val="auto"/>
        </w:rPr>
      </w:pPr>
    </w:p>
    <w:p>
      <w:pPr>
        <w:ind w:left="1620" w:hanging="316"/>
        <w:spacing w:after="0"/>
        <w:tabs>
          <w:tab w:leader="none" w:pos="162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Publicly available without any breach of this Agreement; or</w:t>
      </w:r>
    </w:p>
    <w:p>
      <w:pPr>
        <w:spacing w:after="0" w:line="241" w:lineRule="exact"/>
        <w:rPr>
          <w:rFonts w:ascii="Calibri" w:cs="Calibri" w:eastAsia="Calibri" w:hAnsi="Calibri"/>
          <w:sz w:val="20"/>
          <w:szCs w:val="20"/>
          <w:color w:val="auto"/>
        </w:rPr>
      </w:pPr>
    </w:p>
    <w:p>
      <w:pPr>
        <w:ind w:left="1680" w:hanging="376"/>
        <w:spacing w:after="0"/>
        <w:tabs>
          <w:tab w:leader="none" w:pos="1680" w:val="left"/>
        </w:tabs>
        <w:numPr>
          <w:ilvl w:val="0"/>
          <w:numId w:val="6"/>
        </w:numPr>
        <w:rPr>
          <w:rFonts w:ascii="Calibri" w:cs="Calibri" w:eastAsia="Calibri" w:hAnsi="Calibri"/>
          <w:sz w:val="20"/>
          <w:szCs w:val="20"/>
          <w:color w:val="auto"/>
        </w:rPr>
      </w:pPr>
      <w:r>
        <w:rPr>
          <w:rFonts w:ascii="Calibri" w:cs="Calibri" w:eastAsia="Calibri" w:hAnsi="Calibri"/>
          <w:sz w:val="20"/>
          <w:szCs w:val="20"/>
          <w:color w:val="auto"/>
        </w:rPr>
        <w:t>Disclosed by the Consultant, which disclosure is required by administratve or judicial acton. Provided however that</w:t>
      </w:r>
    </w:p>
    <w:p>
      <w:pPr>
        <w:ind w:left="2160" w:hanging="208"/>
        <w:spacing w:after="0" w:line="225" w:lineRule="auto"/>
        <w:tabs>
          <w:tab w:leader="none" w:pos="2160" w:val="left"/>
        </w:tabs>
        <w:numPr>
          <w:ilvl w:val="1"/>
          <w:numId w:val="6"/>
        </w:numPr>
        <w:rPr>
          <w:rFonts w:ascii="Calibri" w:cs="Calibri" w:eastAsia="Calibri" w:hAnsi="Calibri"/>
          <w:sz w:val="20"/>
          <w:szCs w:val="20"/>
          <w:color w:val="auto"/>
        </w:rPr>
      </w:pPr>
      <w:r>
        <w:rPr>
          <w:rFonts w:ascii="Calibri" w:cs="Calibri" w:eastAsia="Calibri" w:hAnsi="Calibri"/>
          <w:sz w:val="20"/>
          <w:szCs w:val="20"/>
          <w:color w:val="auto"/>
        </w:rPr>
        <w:t>unless prohibited from doing so by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jc w:val="right"/>
        <w:spacing w:after="0" w:line="193" w:lineRule="auto"/>
        <w:rPr>
          <w:sz w:val="20"/>
          <w:szCs w:val="20"/>
          <w:color w:val="auto"/>
        </w:rPr>
      </w:pPr>
      <w:r>
        <w:rPr>
          <w:rFonts w:ascii="Calibri" w:cs="Calibri" w:eastAsia="Calibri" w:hAnsi="Calibri"/>
          <w:sz w:val="20"/>
          <w:szCs w:val="20"/>
          <w:color w:val="auto"/>
        </w:rPr>
        <w:t>2</w:t>
      </w:r>
    </w:p>
    <w:p>
      <w:pPr>
        <w:sectPr>
          <w:pgSz w:w="11900" w:h="16838" w:orient="portrait"/>
          <w:cols w:equalWidth="0" w:num="1">
            <w:col w:w="11180"/>
          </w:cols>
          <w:pgMar w:left="320" w:top="564" w:right="39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40" w:right="140"/>
        <w:spacing w:after="0" w:line="233" w:lineRule="auto"/>
        <w:rPr>
          <w:sz w:val="20"/>
          <w:szCs w:val="20"/>
          <w:color w:val="auto"/>
        </w:rPr>
      </w:pPr>
      <w:r>
        <w:rPr>
          <w:rFonts w:ascii="Calibri" w:cs="Calibri" w:eastAsia="Calibri" w:hAnsi="Calibri"/>
          <w:sz w:val="20"/>
          <w:szCs w:val="20"/>
          <w:color w:val="auto"/>
        </w:rPr>
        <w:t>applicable law, the Consultant immediately afer receiving notce of such acton notfes the Company in writng of such acton to give the Company the opportunity to seek a protectve order or any other legal remedies to maintain such Confdental Informaton in confdence, provided that the Consultant will reasonably consult and cooperate with the Company in seeking any such remedy, (ii) in the absence of a protectve order or other remedy or the receipt of a waiver, the Consultant reasonably determines, afer consultaton with its legal counsel, that the Consultant is compelled to disclose Confdental Informaton and limits the extent of such disclosure solely to the extent that such counsel advises the Consultant is compelled to disclose, and (iii) the Consultant uses its reasonable commercial eforts so that such disclosed informaton is treated strictly confdentally by the recipients thereof.</w:t>
      </w:r>
    </w:p>
    <w:p>
      <w:pPr>
        <w:spacing w:after="0" w:line="297" w:lineRule="exact"/>
        <w:rPr>
          <w:sz w:val="20"/>
          <w:szCs w:val="20"/>
          <w:color w:val="auto"/>
        </w:rPr>
      </w:pPr>
    </w:p>
    <w:p>
      <w:pPr>
        <w:ind w:left="1100" w:right="40" w:hanging="647"/>
        <w:spacing w:after="0" w:line="233" w:lineRule="auto"/>
        <w:tabs>
          <w:tab w:leader="none" w:pos="1080" w:val="left"/>
        </w:tabs>
        <w:rPr>
          <w:sz w:val="20"/>
          <w:szCs w:val="20"/>
          <w:color w:val="auto"/>
        </w:rPr>
      </w:pPr>
      <w:r>
        <w:rPr>
          <w:rFonts w:ascii="Calibri" w:cs="Calibri" w:eastAsia="Calibri" w:hAnsi="Calibri"/>
          <w:sz w:val="20"/>
          <w:szCs w:val="20"/>
          <w:color w:val="auto"/>
        </w:rPr>
        <w:t>(d).</w:t>
        <w:tab/>
        <w:t>The Consultant understands that the Company has received and in the future will receive from third partes informaton that is confdental or proprietary (“Third- Party Informaton”) subject to a duty on the part of the Company to maintain the confdentality of such informaton and to use it only for certain limited purposes. During the term of this Agreement and thereafer, Consultant will hold Third-Party Informaton in the strictest confdence and will not disclose or use Third-Party Informaton except as permited by the agreement between the Company and such third party, unless expressly authorized to act otherwise by an ofer of the Company in writng.</w:t>
      </w:r>
    </w:p>
    <w:p>
      <w:pPr>
        <w:spacing w:after="0" w:line="306" w:lineRule="exact"/>
        <w:rPr>
          <w:sz w:val="20"/>
          <w:szCs w:val="20"/>
          <w:color w:val="auto"/>
        </w:rPr>
      </w:pPr>
    </w:p>
    <w:p>
      <w:pPr>
        <w:ind w:left="1100" w:right="180" w:hanging="647"/>
        <w:spacing w:after="0" w:line="231" w:lineRule="auto"/>
        <w:tabs>
          <w:tab w:leader="none" w:pos="1080" w:val="left"/>
        </w:tabs>
        <w:rPr>
          <w:sz w:val="20"/>
          <w:szCs w:val="20"/>
          <w:color w:val="auto"/>
        </w:rPr>
      </w:pPr>
      <w:r>
        <w:rPr>
          <w:rFonts w:ascii="Calibri" w:cs="Calibri" w:eastAsia="Calibri" w:hAnsi="Calibri"/>
          <w:sz w:val="20"/>
          <w:szCs w:val="20"/>
          <w:color w:val="auto"/>
        </w:rPr>
        <w:t>(e).</w:t>
        <w:tab/>
        <w:t>The Consultant understands that the Company is a health care provider, and that the use and disclosure of patent informaton is governed by the rules and regulatons established under the Health Insurance Portability and Accountability Act of 1996 (“HIPAA”), and related policies and procedures of Company. Therefore, with regard to Protected Health Informaton (“PHI”) as that term is understood under HIPAA, the Consultant commits to the following additonal obligatons:</w:t>
      </w:r>
    </w:p>
    <w:p>
      <w:pPr>
        <w:spacing w:after="0" w:line="310" w:lineRule="exact"/>
        <w:rPr>
          <w:sz w:val="20"/>
          <w:szCs w:val="20"/>
          <w:color w:val="auto"/>
        </w:rPr>
      </w:pPr>
    </w:p>
    <w:p>
      <w:pPr>
        <w:ind w:left="1940" w:right="160" w:hanging="656"/>
        <w:spacing w:after="0" w:line="231" w:lineRule="auto"/>
        <w:tabs>
          <w:tab w:leader="none" w:pos="1573" w:val="left"/>
        </w:tabs>
        <w:numPr>
          <w:ilvl w:val="1"/>
          <w:numId w:val="7"/>
        </w:numPr>
        <w:rPr>
          <w:rFonts w:ascii="Calibri" w:cs="Calibri" w:eastAsia="Calibri" w:hAnsi="Calibri"/>
          <w:sz w:val="20"/>
          <w:szCs w:val="20"/>
          <w:color w:val="auto"/>
        </w:rPr>
      </w:pPr>
      <w:r>
        <w:rPr>
          <w:rFonts w:ascii="Calibri" w:cs="Calibri" w:eastAsia="Calibri" w:hAnsi="Calibri"/>
          <w:sz w:val="20"/>
          <w:szCs w:val="20"/>
          <w:color w:val="auto"/>
        </w:rPr>
        <w:t>Consultant will comply with all applicable federal and state laws and regulatons governing patent privacy and confdentality of PHI, including without limitaton HIPAA and its privacy and security rules, and agrees to read and understand any periodic updates or changes to such regulatons, and Company policies in a tmely manner.</w:t>
      </w:r>
    </w:p>
    <w:p>
      <w:pPr>
        <w:spacing w:after="0" w:line="284" w:lineRule="exact"/>
        <w:rPr>
          <w:rFonts w:ascii="Calibri" w:cs="Calibri" w:eastAsia="Calibri" w:hAnsi="Calibri"/>
          <w:sz w:val="20"/>
          <w:szCs w:val="20"/>
          <w:color w:val="auto"/>
        </w:rPr>
      </w:pPr>
    </w:p>
    <w:p>
      <w:pPr>
        <w:ind w:left="1620" w:hanging="336"/>
        <w:spacing w:after="0"/>
        <w:tabs>
          <w:tab w:leader="none" w:pos="1620" w:val="left"/>
        </w:tabs>
        <w:numPr>
          <w:ilvl w:val="1"/>
          <w:numId w:val="7"/>
        </w:numPr>
        <w:rPr>
          <w:rFonts w:ascii="Calibri" w:cs="Calibri" w:eastAsia="Calibri" w:hAnsi="Calibri"/>
          <w:sz w:val="20"/>
          <w:szCs w:val="20"/>
          <w:color w:val="auto"/>
        </w:rPr>
      </w:pPr>
      <w:r>
        <w:rPr>
          <w:rFonts w:ascii="Calibri" w:cs="Calibri" w:eastAsia="Calibri" w:hAnsi="Calibri"/>
          <w:sz w:val="20"/>
          <w:szCs w:val="20"/>
          <w:color w:val="auto"/>
        </w:rPr>
        <w:t>Consultant will immediately report any unauthorized use or disclosure of PHI to the Company.</w:t>
      </w:r>
    </w:p>
    <w:p>
      <w:pPr>
        <w:spacing w:after="0" w:line="305" w:lineRule="exact"/>
        <w:rPr>
          <w:rFonts w:ascii="Calibri" w:cs="Calibri" w:eastAsia="Calibri" w:hAnsi="Calibri"/>
          <w:sz w:val="20"/>
          <w:szCs w:val="20"/>
          <w:color w:val="auto"/>
        </w:rPr>
      </w:pPr>
    </w:p>
    <w:p>
      <w:pPr>
        <w:ind w:left="1280" w:hanging="644"/>
        <w:spacing w:after="0" w:line="232" w:lineRule="auto"/>
        <w:tabs>
          <w:tab w:leader="none" w:pos="1003" w:val="left"/>
        </w:tabs>
        <w:numPr>
          <w:ilvl w:val="0"/>
          <w:numId w:val="8"/>
        </w:numPr>
        <w:rPr>
          <w:rFonts w:ascii="Calibri" w:cs="Calibri" w:eastAsia="Calibri" w:hAnsi="Calibri"/>
          <w:sz w:val="20"/>
          <w:szCs w:val="20"/>
          <w:color w:val="auto"/>
        </w:rPr>
      </w:pPr>
      <w:r>
        <w:rPr>
          <w:rFonts w:ascii="Calibri" w:cs="Calibri" w:eastAsia="Calibri" w:hAnsi="Calibri"/>
          <w:sz w:val="20"/>
          <w:szCs w:val="20"/>
          <w:color w:val="auto"/>
        </w:rPr>
        <w:t>The Consultant acknowledges that United States securites laws prohibit insider trading. Insider trading occurs when any person purchases or sells a security while in possession of Inside Informaton relatng to the security, or from communicatng such Inside Informaton to any other person when it is reasonably foreseeable that such person is likely to purchase or sell securites. “Inside Informaton” is informaton that is both material and non-public. Consultant further acknowledges that they are familiar with the Securites and Exchange Act of 1934, as amended (the “Exchange Act”) and the rules and regulatons thereunder and shall neither use nor cause any person to use any Inside Informaton in contraventon of the Exchange Act or such rules and regulatons including, but not limited to, Rules 10b-5 and 14e-3. The Consultant may not trade in the securites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alibri" w:cs="Calibri" w:eastAsia="Calibri" w:hAnsi="Calibri"/>
          <w:sz w:val="20"/>
          <w:szCs w:val="20"/>
          <w:color w:val="auto"/>
        </w:rPr>
        <w:t>CONFIDENTIAL</w:t>
      </w:r>
    </w:p>
    <w:p>
      <w:pPr>
        <w:ind w:left="11060"/>
        <w:spacing w:after="0" w:line="193" w:lineRule="auto"/>
        <w:rPr>
          <w:sz w:val="20"/>
          <w:szCs w:val="20"/>
          <w:color w:val="auto"/>
        </w:rPr>
      </w:pPr>
      <w:r>
        <w:rPr>
          <w:rFonts w:ascii="Calibri" w:cs="Calibri" w:eastAsia="Calibri" w:hAnsi="Calibri"/>
          <w:sz w:val="20"/>
          <w:szCs w:val="20"/>
          <w:color w:val="auto"/>
        </w:rPr>
        <w:t>3</w:t>
      </w:r>
    </w:p>
    <w:p>
      <w:pPr>
        <w:sectPr>
          <w:pgSz w:w="11900" w:h="16838" w:orient="portrait"/>
          <w:cols w:equalWidth="0" w:num="1">
            <w:col w:w="11200"/>
          </w:cols>
          <w:pgMar w:left="340" w:top="564" w:right="359" w:bottom="1440" w:gutter="0" w:footer="0" w:header="0"/>
        </w:sectPr>
      </w:pPr>
    </w:p>
    <w:bookmarkStart w:id="6" w:name="page7"/>
    <w:bookmarkEnd w:id="6"/>
    <w:p>
      <w:pPr>
        <w:jc w:val="center"/>
        <w:ind w:right="-19"/>
        <w:spacing w:after="0"/>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Calibri" w:cs="Calibri" w:eastAsia="Calibri" w:hAnsi="Calibri"/>
          <w:sz w:val="20"/>
          <w:szCs w:val="20"/>
          <w:color w:val="auto"/>
        </w:rPr>
        <w:t>of the Company untl such tme as the Consultant may do so in accordance with applicable securites laws.</w:t>
      </w:r>
    </w:p>
    <w:p>
      <w:pPr>
        <w:spacing w:after="0" w:line="265" w:lineRule="exact"/>
        <w:rPr>
          <w:sz w:val="20"/>
          <w:szCs w:val="20"/>
          <w:color w:val="auto"/>
        </w:rPr>
      </w:pPr>
    </w:p>
    <w:p>
      <w:pPr>
        <w:ind w:right="100" w:firstLine="8"/>
        <w:spacing w:after="0" w:line="233" w:lineRule="auto"/>
        <w:tabs>
          <w:tab w:leader="none" w:pos="337" w:val="left"/>
        </w:tabs>
        <w:numPr>
          <w:ilvl w:val="0"/>
          <w:numId w:val="9"/>
        </w:numPr>
        <w:rPr>
          <w:rFonts w:ascii="Calibri" w:cs="Calibri" w:eastAsia="Calibri" w:hAnsi="Calibri"/>
          <w:sz w:val="20"/>
          <w:szCs w:val="20"/>
          <w:color w:val="auto"/>
        </w:rPr>
      </w:pPr>
      <w:r>
        <w:rPr>
          <w:rFonts w:ascii="Calibri" w:cs="Calibri" w:eastAsia="Calibri" w:hAnsi="Calibri"/>
          <w:sz w:val="20"/>
          <w:szCs w:val="20"/>
          <w:u w:val="single" w:color="auto"/>
          <w:color w:val="auto"/>
        </w:rPr>
        <w:t>Independent Contractor</w:t>
      </w:r>
      <w:r>
        <w:rPr>
          <w:rFonts w:ascii="Calibri" w:cs="Calibri" w:eastAsia="Calibri" w:hAnsi="Calibri"/>
          <w:sz w:val="20"/>
          <w:szCs w:val="20"/>
          <w:color w:val="auto"/>
        </w:rPr>
        <w:t>. It is understood and agreed that the Consultant’s relatonship to the Company is that of an independent contractor and that neither this Agreement nor the performance of the Services provided for herein will in any way create an employer-employee or agency relatonship between the partes. Accordingly, the Consultant will have sole responsibility for the payment of all necessary income taxes, social security and other similar taxes and all unemployment and disability insurance. It is understood that the Consultant will have no authority to act on behalf of the Company or to commit the Company to any course of conduct, and the Consultant will make no representaton to the contrary to any person. The Company is not liable for accidents or injuries sustained by the consultant in performing his or her commitments as an independent contractor to the Company.</w:t>
      </w:r>
    </w:p>
    <w:p>
      <w:pPr>
        <w:spacing w:after="0" w:line="284" w:lineRule="exact"/>
        <w:rPr>
          <w:rFonts w:ascii="Calibri" w:cs="Calibri" w:eastAsia="Calibri" w:hAnsi="Calibri"/>
          <w:sz w:val="20"/>
          <w:szCs w:val="20"/>
          <w:color w:val="auto"/>
        </w:rPr>
      </w:pPr>
    </w:p>
    <w:p>
      <w:pPr>
        <w:ind w:firstLine="8"/>
        <w:spacing w:after="0" w:line="232" w:lineRule="auto"/>
        <w:tabs>
          <w:tab w:leader="none" w:pos="439" w:val="left"/>
        </w:tabs>
        <w:numPr>
          <w:ilvl w:val="0"/>
          <w:numId w:val="9"/>
        </w:numPr>
        <w:rPr>
          <w:rFonts w:ascii="Calibri" w:cs="Calibri" w:eastAsia="Calibri" w:hAnsi="Calibri"/>
          <w:sz w:val="20"/>
          <w:szCs w:val="20"/>
          <w:color w:val="auto"/>
        </w:rPr>
      </w:pPr>
      <w:r>
        <w:rPr>
          <w:rFonts w:ascii="Calibri" w:cs="Calibri" w:eastAsia="Calibri" w:hAnsi="Calibri"/>
          <w:sz w:val="20"/>
          <w:szCs w:val="20"/>
          <w:u w:val="single" w:color="auto"/>
          <w:color w:val="auto"/>
        </w:rPr>
        <w:t>Absence of Conficts</w:t>
      </w:r>
      <w:r>
        <w:rPr>
          <w:rFonts w:ascii="Calibri" w:cs="Calibri" w:eastAsia="Calibri" w:hAnsi="Calibri"/>
          <w:sz w:val="20"/>
          <w:szCs w:val="20"/>
          <w:color w:val="auto"/>
        </w:rPr>
        <w:t>. Consultant represents and warrants that Consultant is not under any existng obligaton that is inconsistent with this Agreement or that would restrict or confict with the performance of Consultant’s obligatons under this Agreement. Consultant agrees not to enter into any agreement or arrangement during the term of this Agreement that would impose on Consultant any obligaton inconsistent with this Agreement or that would restrict or confict with the performance of Consultant’s obligatons under this Agreement. If Consultant is required by any applicable guidelines or policies to make any disclosure or take any acton that conficts with any obligatons of Consultant under this Agreement or is contrary to the terms of this Agreement, Consultant will promptly notfy the Company of such obligaton, specifying the nature of such disclosure or acton and identfying the applicable guideline or policy under which disclosure or acton is required, prior to making such disclosure or taking such acton.</w:t>
      </w:r>
    </w:p>
    <w:p>
      <w:pPr>
        <w:spacing w:after="0" w:line="272" w:lineRule="exact"/>
        <w:rPr>
          <w:rFonts w:ascii="Calibri" w:cs="Calibri" w:eastAsia="Calibri" w:hAnsi="Calibri"/>
          <w:sz w:val="20"/>
          <w:szCs w:val="20"/>
          <w:color w:val="auto"/>
        </w:rPr>
      </w:pPr>
    </w:p>
    <w:p>
      <w:pPr>
        <w:ind w:right="240" w:firstLine="8"/>
        <w:spacing w:after="0" w:line="234" w:lineRule="auto"/>
        <w:tabs>
          <w:tab w:leader="none" w:pos="439" w:val="left"/>
        </w:tabs>
        <w:numPr>
          <w:ilvl w:val="0"/>
          <w:numId w:val="9"/>
        </w:numPr>
        <w:rPr>
          <w:rFonts w:ascii="Calibri" w:cs="Calibri" w:eastAsia="Calibri" w:hAnsi="Calibri"/>
          <w:sz w:val="20"/>
          <w:szCs w:val="20"/>
          <w:color w:val="auto"/>
        </w:rPr>
      </w:pPr>
      <w:r>
        <w:rPr>
          <w:rFonts w:ascii="Calibri" w:cs="Calibri" w:eastAsia="Calibri" w:hAnsi="Calibri"/>
          <w:sz w:val="20"/>
          <w:szCs w:val="20"/>
          <w:u w:val="single" w:color="auto"/>
          <w:color w:val="auto"/>
        </w:rPr>
        <w:t>Notfcaton of Events</w:t>
      </w:r>
      <w:r>
        <w:rPr>
          <w:rFonts w:ascii="Calibri" w:cs="Calibri" w:eastAsia="Calibri" w:hAnsi="Calibri"/>
          <w:sz w:val="20"/>
          <w:szCs w:val="20"/>
          <w:color w:val="auto"/>
        </w:rPr>
        <w:t>. Consultant will notfy Company in writng within twenty-four (24) hours afer the occurrence of any one or more of the following events:</w:t>
      </w:r>
    </w:p>
    <w:p>
      <w:pPr>
        <w:spacing w:after="0" w:line="172" w:lineRule="exact"/>
        <w:rPr>
          <w:sz w:val="20"/>
          <w:szCs w:val="20"/>
          <w:color w:val="auto"/>
        </w:rPr>
      </w:pPr>
    </w:p>
    <w:p>
      <w:pPr>
        <w:ind w:left="1120" w:right="220" w:hanging="647"/>
        <w:spacing w:after="0" w:line="231" w:lineRule="auto"/>
        <w:tabs>
          <w:tab w:leader="none" w:pos="1100" w:val="left"/>
        </w:tabs>
        <w:rPr>
          <w:sz w:val="20"/>
          <w:szCs w:val="20"/>
          <w:color w:val="auto"/>
        </w:rPr>
      </w:pPr>
      <w:r>
        <w:rPr>
          <w:rFonts w:ascii="Calibri" w:cs="Calibri" w:eastAsia="Calibri" w:hAnsi="Calibri"/>
          <w:sz w:val="20"/>
          <w:szCs w:val="20"/>
          <w:color w:val="auto"/>
        </w:rPr>
        <w:t>(a).</w:t>
        <w:tab/>
        <w:t>Consultant becomes the subject of, or otherwise materially involved in, any government investgaton of Consultant’s business practces or the provision of professional services, including being served with a search warrant in connecton with such actvites; or</w:t>
      </w:r>
    </w:p>
    <w:p>
      <w:pPr>
        <w:spacing w:after="0" w:line="240" w:lineRule="exact"/>
        <w:rPr>
          <w:sz w:val="20"/>
          <w:szCs w:val="20"/>
          <w:color w:val="auto"/>
        </w:rPr>
      </w:pPr>
    </w:p>
    <w:p>
      <w:pPr>
        <w:ind w:left="1120" w:right="640" w:hanging="647"/>
        <w:spacing w:after="0" w:line="234" w:lineRule="auto"/>
        <w:tabs>
          <w:tab w:leader="none" w:pos="1100" w:val="left"/>
        </w:tabs>
        <w:rPr>
          <w:sz w:val="20"/>
          <w:szCs w:val="20"/>
          <w:color w:val="auto"/>
        </w:rPr>
      </w:pPr>
      <w:r>
        <w:rPr>
          <w:rFonts w:ascii="Calibri" w:cs="Calibri" w:eastAsia="Calibri" w:hAnsi="Calibri"/>
          <w:sz w:val="20"/>
          <w:szCs w:val="20"/>
          <w:color w:val="auto"/>
        </w:rPr>
        <w:t>(b).</w:t>
        <w:tab/>
        <w:t>Consultant becomes the subject of any suit, acton or other legal proceeding arising out of Consultant’s professional services; or</w:t>
      </w:r>
    </w:p>
    <w:p>
      <w:pPr>
        <w:spacing w:after="0" w:line="239" w:lineRule="exact"/>
        <w:rPr>
          <w:sz w:val="20"/>
          <w:szCs w:val="20"/>
          <w:color w:val="auto"/>
        </w:rPr>
      </w:pPr>
    </w:p>
    <w:p>
      <w:pPr>
        <w:ind w:left="1100" w:right="80" w:hanging="647"/>
        <w:spacing w:after="0" w:line="234" w:lineRule="auto"/>
        <w:tabs>
          <w:tab w:leader="none" w:pos="1080" w:val="left"/>
        </w:tabs>
        <w:rPr>
          <w:sz w:val="20"/>
          <w:szCs w:val="20"/>
          <w:color w:val="auto"/>
        </w:rPr>
      </w:pPr>
      <w:r>
        <w:rPr>
          <w:rFonts w:ascii="Calibri" w:cs="Calibri" w:eastAsia="Calibri" w:hAnsi="Calibri"/>
          <w:sz w:val="20"/>
          <w:szCs w:val="20"/>
          <w:color w:val="auto"/>
        </w:rPr>
        <w:t>(c).</w:t>
        <w:tab/>
        <w:t>Consultant becomes the subject of any disciplinary proceeding or acton before any state’s medical board or similar agency responsible for professional licensing, standards or behavior; or</w:t>
      </w:r>
    </w:p>
    <w:p>
      <w:pPr>
        <w:spacing w:after="0" w:line="253" w:lineRule="exact"/>
        <w:rPr>
          <w:sz w:val="20"/>
          <w:szCs w:val="20"/>
          <w:color w:val="auto"/>
        </w:rPr>
      </w:pPr>
    </w:p>
    <w:p>
      <w:pPr>
        <w:ind w:left="1120" w:right="580" w:hanging="647"/>
        <w:spacing w:after="0" w:line="228" w:lineRule="auto"/>
        <w:tabs>
          <w:tab w:leader="none" w:pos="1100" w:val="left"/>
        </w:tabs>
        <w:rPr>
          <w:sz w:val="20"/>
          <w:szCs w:val="20"/>
          <w:color w:val="auto"/>
        </w:rPr>
      </w:pPr>
      <w:r>
        <w:rPr>
          <w:rFonts w:ascii="Calibri" w:cs="Calibri" w:eastAsia="Calibri" w:hAnsi="Calibri"/>
          <w:sz w:val="20"/>
          <w:szCs w:val="20"/>
          <w:color w:val="auto"/>
        </w:rPr>
        <w:t>(d).</w:t>
        <w:tab/>
        <w:t>any act of nature or any other event occurs which has a material adverse efect on Consultant’s ability to provide the services.</w:t>
      </w:r>
    </w:p>
    <w:p>
      <w:pPr>
        <w:spacing w:after="0" w:line="279" w:lineRule="exact"/>
        <w:rPr>
          <w:sz w:val="20"/>
          <w:szCs w:val="20"/>
          <w:color w:val="auto"/>
        </w:rPr>
      </w:pPr>
    </w:p>
    <w:p>
      <w:pPr>
        <w:ind w:right="260" w:firstLine="8"/>
        <w:spacing w:after="0" w:line="231" w:lineRule="auto"/>
        <w:tabs>
          <w:tab w:leader="none" w:pos="439" w:val="left"/>
        </w:tabs>
        <w:numPr>
          <w:ilvl w:val="0"/>
          <w:numId w:val="10"/>
        </w:numPr>
        <w:rPr>
          <w:rFonts w:ascii="Calibri" w:cs="Calibri" w:eastAsia="Calibri" w:hAnsi="Calibri"/>
          <w:sz w:val="20"/>
          <w:szCs w:val="20"/>
          <w:color w:val="auto"/>
        </w:rPr>
      </w:pPr>
      <w:r>
        <w:rPr>
          <w:rFonts w:ascii="Calibri" w:cs="Calibri" w:eastAsia="Calibri" w:hAnsi="Calibri"/>
          <w:sz w:val="20"/>
          <w:szCs w:val="20"/>
          <w:u w:val="single" w:color="auto"/>
          <w:color w:val="auto"/>
        </w:rPr>
        <w:t>Compliance of Laws</w:t>
      </w:r>
      <w:r>
        <w:rPr>
          <w:rFonts w:ascii="Calibri" w:cs="Calibri" w:eastAsia="Calibri" w:hAnsi="Calibri"/>
          <w:sz w:val="20"/>
          <w:szCs w:val="20"/>
          <w:color w:val="auto"/>
        </w:rPr>
        <w:t>. Consultant will comply in all material respects with all applicable laws, ordinances, codes and regulatons of federal, state and local governments, and accreditng professional organizatons, applicable to the Services provided under this Agreement.</w:t>
      </w:r>
    </w:p>
    <w:p>
      <w:pPr>
        <w:spacing w:after="0" w:line="257" w:lineRule="exact"/>
        <w:rPr>
          <w:rFonts w:ascii="Calibri" w:cs="Calibri" w:eastAsia="Calibri" w:hAnsi="Calibri"/>
          <w:sz w:val="20"/>
          <w:szCs w:val="20"/>
          <w:color w:val="auto"/>
        </w:rPr>
      </w:pPr>
    </w:p>
    <w:p>
      <w:pPr>
        <w:ind w:left="440" w:hanging="432"/>
        <w:spacing w:after="0"/>
        <w:tabs>
          <w:tab w:leader="none" w:pos="440" w:val="left"/>
        </w:tabs>
        <w:numPr>
          <w:ilvl w:val="0"/>
          <w:numId w:val="10"/>
        </w:numPr>
        <w:rPr>
          <w:rFonts w:ascii="Calibri" w:cs="Calibri" w:eastAsia="Calibri" w:hAnsi="Calibri"/>
          <w:sz w:val="20"/>
          <w:szCs w:val="20"/>
          <w:color w:val="auto"/>
        </w:rPr>
      </w:pPr>
      <w:r>
        <w:rPr>
          <w:rFonts w:ascii="Calibri" w:cs="Calibri" w:eastAsia="Calibri" w:hAnsi="Calibri"/>
          <w:sz w:val="20"/>
          <w:szCs w:val="20"/>
          <w:u w:val="single" w:color="auto"/>
          <w:color w:val="auto"/>
        </w:rPr>
        <w:t>Indemnity</w:t>
      </w:r>
      <w:r>
        <w:rPr>
          <w:rFonts w:ascii="Calibri" w:cs="Calibri" w:eastAsia="Calibri" w:hAnsi="Calibri"/>
          <w:sz w:val="20"/>
          <w:szCs w:val="20"/>
          <w:color w:val="auto"/>
        </w:rPr>
        <w:t>. Company shall indemnify, defend and hold Consultant harmless from and against any</w:t>
      </w:r>
    </w:p>
    <w:p>
      <w:pPr>
        <w:ind w:right="20"/>
        <w:spacing w:after="0" w:line="195" w:lineRule="auto"/>
        <w:rPr>
          <w:sz w:val="20"/>
          <w:szCs w:val="20"/>
          <w:color w:val="auto"/>
        </w:rPr>
      </w:pPr>
      <w:r>
        <w:rPr>
          <w:rFonts w:ascii="Calibri" w:cs="Calibri" w:eastAsia="Calibri" w:hAnsi="Calibri"/>
          <w:sz w:val="20"/>
          <w:szCs w:val="20"/>
          <w:color w:val="auto"/>
        </w:rPr>
        <w:t>and all third party claims, liabilites, suits, losses, damages and judgments, joint or several, and shall pay all costs and expenses (including atorneys’ fees and costs) as they are incurred in connecton with the investgaton of, preparaton for or defense of any pending or threatened claim or any acton or proceeding arising therefrom, that Consultant incurs as a result of having performed services on behalf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ind w:left="11080"/>
        <w:spacing w:after="0" w:line="193" w:lineRule="auto"/>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564" w:right="339" w:bottom="1440" w:gutter="0" w:footer="0" w:header="0"/>
        </w:sectPr>
      </w:pPr>
    </w:p>
    <w:bookmarkStart w:id="7" w:name="page8"/>
    <w:bookmarkEnd w:id="7"/>
    <w:p>
      <w:pPr>
        <w:jc w:val="center"/>
        <w:ind w:right="-19"/>
        <w:spacing w:after="0"/>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160"/>
        <w:spacing w:after="0" w:line="208" w:lineRule="auto"/>
        <w:rPr>
          <w:sz w:val="20"/>
          <w:szCs w:val="20"/>
          <w:color w:val="auto"/>
        </w:rPr>
      </w:pPr>
      <w:r>
        <w:rPr>
          <w:rFonts w:ascii="Calibri" w:cs="Calibri" w:eastAsia="Calibri" w:hAnsi="Calibri"/>
          <w:sz w:val="20"/>
          <w:szCs w:val="20"/>
          <w:color w:val="auto"/>
        </w:rPr>
        <w:t>Company. Notwithstanding the foregoing, consultant agrees to indemnify and defend Company from all claims, charges, damages, and judgments arising from the breach of Consultant’s obligatons under this Agreement or the Services provided by Consultant hereunder.</w:t>
      </w:r>
    </w:p>
    <w:p>
      <w:pPr>
        <w:spacing w:after="0" w:line="238" w:lineRule="exact"/>
        <w:rPr>
          <w:sz w:val="20"/>
          <w:szCs w:val="20"/>
          <w:color w:val="auto"/>
        </w:rPr>
      </w:pPr>
    </w:p>
    <w:p>
      <w:pPr>
        <w:ind w:right="380" w:firstLine="8"/>
        <w:spacing w:after="0" w:line="234" w:lineRule="auto"/>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Limitaton on Authority</w:t>
      </w:r>
      <w:r>
        <w:rPr>
          <w:rFonts w:ascii="Calibri" w:cs="Calibri" w:eastAsia="Calibri" w:hAnsi="Calibri"/>
          <w:sz w:val="20"/>
          <w:szCs w:val="20"/>
          <w:color w:val="auto"/>
        </w:rPr>
        <w:t>. Consultant will not have any authority to obligate or bind the Company to any agreement, purchase or obligaton of any kind without the express writen approval of an ofcer of the Company.</w:t>
      </w:r>
    </w:p>
    <w:p>
      <w:pPr>
        <w:spacing w:after="0" w:line="239" w:lineRule="exact"/>
        <w:rPr>
          <w:rFonts w:ascii="Calibri" w:cs="Calibri" w:eastAsia="Calibri" w:hAnsi="Calibri"/>
          <w:sz w:val="20"/>
          <w:szCs w:val="20"/>
          <w:color w:val="auto"/>
        </w:rPr>
      </w:pPr>
    </w:p>
    <w:p>
      <w:pPr>
        <w:ind w:right="200" w:firstLine="8"/>
        <w:spacing w:after="0" w:line="236" w:lineRule="auto"/>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Practce of Medicine</w:t>
      </w:r>
      <w:r>
        <w:rPr>
          <w:rFonts w:ascii="Calibri" w:cs="Calibri" w:eastAsia="Calibri" w:hAnsi="Calibri"/>
          <w:sz w:val="20"/>
          <w:szCs w:val="20"/>
          <w:color w:val="auto"/>
        </w:rPr>
        <w:t>. To the extent that any act or service required of, or reserved to, Company in this Agreement is construed or deemed to consttute the practce of medicine, the performance of such act or service by Company will be deemed waived or unenforceable, unless this Agreement can be amended to comply with the law, in which case the partes will make such amendment.</w:t>
      </w:r>
    </w:p>
    <w:p>
      <w:pPr>
        <w:spacing w:after="0" w:line="238" w:lineRule="exact"/>
        <w:rPr>
          <w:rFonts w:ascii="Calibri" w:cs="Calibri" w:eastAsia="Calibri" w:hAnsi="Calibri"/>
          <w:sz w:val="20"/>
          <w:szCs w:val="20"/>
          <w:color w:val="auto"/>
        </w:rPr>
      </w:pPr>
    </w:p>
    <w:p>
      <w:pPr>
        <w:ind w:firstLine="8"/>
        <w:spacing w:after="0" w:line="233" w:lineRule="auto"/>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Referrals</w:t>
      </w:r>
      <w:r>
        <w:rPr>
          <w:rFonts w:ascii="Calibri" w:cs="Calibri" w:eastAsia="Calibri" w:hAnsi="Calibri"/>
          <w:sz w:val="20"/>
          <w:szCs w:val="20"/>
          <w:color w:val="auto"/>
        </w:rPr>
        <w:t>. If Consultant is a physician, Consultant will be enttled to refer patents to any health care provider deemed by Consultant best qualifed to deliver medical services to any partcular patent. No term of this Agreement will be construed as requiring or inducing Consultant to refer patents to Company or to prescribe or otherwise refer Company products to a patent. Consultant’s rights under this Agreement will not be dependent in any way on the referral of patents or business to Company by Consultant.</w:t>
      </w:r>
    </w:p>
    <w:p>
      <w:pPr>
        <w:spacing w:after="0" w:line="239" w:lineRule="exact"/>
        <w:rPr>
          <w:rFonts w:ascii="Calibri" w:cs="Calibri" w:eastAsia="Calibri" w:hAnsi="Calibri"/>
          <w:sz w:val="20"/>
          <w:szCs w:val="20"/>
          <w:color w:val="auto"/>
        </w:rPr>
      </w:pPr>
    </w:p>
    <w:p>
      <w:pPr>
        <w:ind w:right="100" w:firstLine="8"/>
        <w:spacing w:after="0" w:line="234" w:lineRule="auto"/>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Representaton Regarding Debarment and Felony Convicton</w:t>
      </w:r>
      <w:r>
        <w:rPr>
          <w:rFonts w:ascii="Calibri" w:cs="Calibri" w:eastAsia="Calibri" w:hAnsi="Calibri"/>
          <w:sz w:val="20"/>
          <w:szCs w:val="20"/>
          <w:color w:val="auto"/>
        </w:rPr>
        <w:t>. Consultant represents to Company that Consultant has never been and is not currently debarred, excluded or banned from any federal healthcare program. Further, Consultant represents that Consultant has not been convicted of a felony involving fraud or deceit. Consultant agrees to immediately notfy the Company should Consultant become debarred, excluded or banned from any federal healthcare program or should Consultant be convicted of a felony involving fraud or deceit.</w:t>
      </w:r>
    </w:p>
    <w:p>
      <w:pPr>
        <w:spacing w:after="0" w:line="240" w:lineRule="exact"/>
        <w:rPr>
          <w:rFonts w:ascii="Calibri" w:cs="Calibri" w:eastAsia="Calibri" w:hAnsi="Calibri"/>
          <w:sz w:val="20"/>
          <w:szCs w:val="20"/>
          <w:color w:val="auto"/>
        </w:rPr>
      </w:pPr>
    </w:p>
    <w:p>
      <w:pPr>
        <w:ind w:right="20" w:firstLine="8"/>
        <w:spacing w:after="0"/>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Assignment</w:t>
      </w:r>
      <w:r>
        <w:rPr>
          <w:rFonts w:ascii="Calibri" w:cs="Calibri" w:eastAsia="Calibri" w:hAnsi="Calibri"/>
          <w:sz w:val="20"/>
          <w:szCs w:val="20"/>
          <w:color w:val="auto"/>
        </w:rPr>
        <w:t>. The partes acknowledge that the Services to be rendered by the Consultant are personal in nature, and the Consultant may not assign any of her/his obligatons hereunder. Subject to the foregoing, this Agreement will be binding upon and inure to the beneft of the partes and their respectve legal representatves, successors, and permited assigns. The Consultant agrees that the Company may assign this Agreement in connecton with a merger or consolidaton involving the Company or a sale of substantally all its assets to the surviving corporaton or purchaser, as the case may be, so long as such assignee assumes the Company’s obligatons hereunder.</w:t>
      </w:r>
    </w:p>
    <w:p>
      <w:pPr>
        <w:spacing w:after="0" w:line="200" w:lineRule="exact"/>
        <w:rPr>
          <w:rFonts w:ascii="Calibri" w:cs="Calibri" w:eastAsia="Calibri" w:hAnsi="Calibri"/>
          <w:sz w:val="20"/>
          <w:szCs w:val="20"/>
          <w:color w:val="auto"/>
        </w:rPr>
      </w:pPr>
    </w:p>
    <w:p>
      <w:pPr>
        <w:spacing w:after="0" w:line="253" w:lineRule="exact"/>
        <w:rPr>
          <w:rFonts w:ascii="Calibri" w:cs="Calibri" w:eastAsia="Calibri" w:hAnsi="Calibri"/>
          <w:sz w:val="20"/>
          <w:szCs w:val="20"/>
          <w:color w:val="auto"/>
        </w:rPr>
      </w:pPr>
    </w:p>
    <w:p>
      <w:pPr>
        <w:ind w:right="460" w:firstLine="8"/>
        <w:spacing w:after="0" w:line="231" w:lineRule="auto"/>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Remedies</w:t>
      </w:r>
      <w:r>
        <w:rPr>
          <w:rFonts w:ascii="Calibri" w:cs="Calibri" w:eastAsia="Calibri" w:hAnsi="Calibri"/>
          <w:sz w:val="20"/>
          <w:szCs w:val="20"/>
          <w:color w:val="auto"/>
        </w:rPr>
        <w:t>. If there is a breach or threatened breach of the provisions of Secton 7 or 8 of this Agreement, the Company will be enttled to an injuncton restraining the Consultant from such breach. The Company will not be precluded from pursuing any other remedies for such breach or threatened breach.</w:t>
      </w:r>
    </w:p>
    <w:p>
      <w:pPr>
        <w:spacing w:after="0" w:line="253" w:lineRule="exact"/>
        <w:rPr>
          <w:rFonts w:ascii="Calibri" w:cs="Calibri" w:eastAsia="Calibri" w:hAnsi="Calibri"/>
          <w:sz w:val="20"/>
          <w:szCs w:val="20"/>
          <w:color w:val="auto"/>
        </w:rPr>
      </w:pPr>
    </w:p>
    <w:p>
      <w:pPr>
        <w:ind w:right="120" w:firstLine="8"/>
        <w:spacing w:after="0" w:line="233" w:lineRule="auto"/>
        <w:tabs>
          <w:tab w:leader="none" w:pos="439" w:val="left"/>
        </w:tabs>
        <w:numPr>
          <w:ilvl w:val="0"/>
          <w:numId w:val="11"/>
        </w:numPr>
        <w:rPr>
          <w:rFonts w:ascii="Calibri" w:cs="Calibri" w:eastAsia="Calibri" w:hAnsi="Calibri"/>
          <w:sz w:val="20"/>
          <w:szCs w:val="20"/>
          <w:color w:val="auto"/>
        </w:rPr>
      </w:pPr>
      <w:r>
        <w:rPr>
          <w:rFonts w:ascii="Calibri" w:cs="Calibri" w:eastAsia="Calibri" w:hAnsi="Calibri"/>
          <w:sz w:val="20"/>
          <w:szCs w:val="20"/>
          <w:u w:val="single" w:color="auto"/>
          <w:color w:val="auto"/>
        </w:rPr>
        <w:t>Notces</w:t>
      </w:r>
      <w:r>
        <w:rPr>
          <w:rFonts w:ascii="Calibri" w:cs="Calibri" w:eastAsia="Calibri" w:hAnsi="Calibri"/>
          <w:sz w:val="20"/>
          <w:szCs w:val="20"/>
          <w:color w:val="auto"/>
        </w:rPr>
        <w:t>. All notces and other communicatons permited or required hereunder will be delivered or sent by registered or certfed mail, return receipt requested, or by hand delivery, addressed to the party at the address set forth below, or to such other address as such party may designate in writng to the other. The addresses for such notces may be changed from tme to tme by writen notce given to the manner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ind w:left="11080"/>
        <w:spacing w:after="0" w:line="193" w:lineRule="auto"/>
        <w:rPr>
          <w:sz w:val="20"/>
          <w:szCs w:val="20"/>
          <w:color w:val="auto"/>
        </w:rPr>
      </w:pPr>
      <w:r>
        <w:rPr>
          <w:rFonts w:ascii="Calibri" w:cs="Calibri" w:eastAsia="Calibri" w:hAnsi="Calibri"/>
          <w:sz w:val="20"/>
          <w:szCs w:val="20"/>
          <w:color w:val="auto"/>
        </w:rPr>
        <w:t>5</w:t>
      </w:r>
    </w:p>
    <w:p>
      <w:pPr>
        <w:sectPr>
          <w:pgSz w:w="11900" w:h="16838" w:orient="portrait"/>
          <w:cols w:equalWidth="0" w:num="1">
            <w:col w:w="11220"/>
          </w:cols>
          <w:pgMar w:left="320" w:top="564" w:right="359" w:bottom="1440" w:gutter="0" w:footer="0" w:header="0"/>
        </w:sectPr>
      </w:pPr>
    </w:p>
    <w:bookmarkStart w:id="8" w:name="page9"/>
    <w:bookmarkEnd w:id="8"/>
    <w:p>
      <w:pPr>
        <w:jc w:val="center"/>
        <w:ind w:right="-19"/>
        <w:spacing w:after="0"/>
        <w:rPr>
          <w:sz w:val="20"/>
          <w:szCs w:val="20"/>
          <w:color w:val="auto"/>
        </w:rPr>
      </w:pPr>
      <w:r>
        <w:rPr>
          <w:rFonts w:ascii="Calibri" w:cs="Calibri" w:eastAsia="Calibri" w:hAnsi="Calibri"/>
          <w:sz w:val="20"/>
          <w:szCs w:val="20"/>
          <w:b w:val="1"/>
          <w:bCs w:val="1"/>
          <w:color w:val="auto"/>
        </w:rPr>
        <w:t>***THIS OFFER MUST BE ACCEPTED BY DECEMBER 10, 2023***</w:t>
      </w:r>
    </w:p>
    <w:p>
      <w:pPr>
        <w:sectPr>
          <w:pgSz w:w="11900" w:h="16838" w:orient="portrait"/>
          <w:cols w:equalWidth="0" w:num="1">
            <w:col w:w="11220"/>
          </w:cols>
          <w:pgMar w:left="320" w:top="5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00"/>
        <w:spacing w:after="0"/>
        <w:rPr>
          <w:sz w:val="20"/>
          <w:szCs w:val="20"/>
          <w:color w:val="auto"/>
        </w:rPr>
      </w:pPr>
      <w:r>
        <w:rPr>
          <w:rFonts w:ascii="Calibri" w:cs="Calibri" w:eastAsia="Calibri" w:hAnsi="Calibri"/>
          <w:sz w:val="20"/>
          <w:szCs w:val="20"/>
          <w:color w:val="auto"/>
        </w:rPr>
        <w:t>If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20"/>
          <w:szCs w:val="20"/>
          <w:color w:val="auto"/>
        </w:rPr>
        <w:t>Exagen Inc.</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c/o Chief Financial Ofcer</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1261 Liberty Way</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Vista, CA 92081</w:t>
      </w:r>
    </w:p>
    <w:p>
      <w:pPr>
        <w:spacing w:after="0" w:line="200" w:lineRule="exact"/>
        <w:rPr>
          <w:sz w:val="20"/>
          <w:szCs w:val="20"/>
          <w:color w:val="auto"/>
        </w:rPr>
      </w:pPr>
    </w:p>
    <w:p>
      <w:pPr>
        <w:sectPr>
          <w:pgSz w:w="11900" w:h="16838" w:orient="portrait"/>
          <w:cols w:equalWidth="0" w:num="2">
            <w:col w:w="4620" w:space="720"/>
            <w:col w:w="5880"/>
          </w:cols>
          <w:pgMar w:left="320" w:top="564" w:right="359" w:bottom="1440" w:gutter="0" w:footer="0" w:header="0"/>
          <w:type w:val="continuous"/>
        </w:sectPr>
      </w:pPr>
    </w:p>
    <w:p>
      <w:pPr>
        <w:spacing w:after="0" w:line="82" w:lineRule="exact"/>
        <w:rPr>
          <w:sz w:val="20"/>
          <w:szCs w:val="20"/>
          <w:color w:val="auto"/>
        </w:rPr>
      </w:pPr>
    </w:p>
    <w:p>
      <w:pPr>
        <w:ind w:left="3100"/>
        <w:spacing w:after="0"/>
        <w:rPr>
          <w:sz w:val="20"/>
          <w:szCs w:val="20"/>
          <w:color w:val="auto"/>
        </w:rPr>
      </w:pPr>
      <w:r>
        <w:rPr>
          <w:rFonts w:ascii="Calibri" w:cs="Calibri" w:eastAsia="Calibri" w:hAnsi="Calibri"/>
          <w:sz w:val="20"/>
          <w:szCs w:val="20"/>
          <w:color w:val="auto"/>
        </w:rPr>
        <w:t>If to the Consultant: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Calibri" w:cs="Calibri" w:eastAsia="Calibri" w:hAnsi="Calibri"/>
          <w:sz w:val="20"/>
          <w:szCs w:val="20"/>
          <w:color w:val="auto"/>
        </w:rPr>
        <w:t>John Mark Hazeltne</w:t>
      </w:r>
    </w:p>
    <w:p>
      <w:pPr>
        <w:spacing w:after="0" w:line="200" w:lineRule="exact"/>
        <w:rPr>
          <w:sz w:val="20"/>
          <w:szCs w:val="20"/>
          <w:color w:val="auto"/>
        </w:rPr>
      </w:pPr>
    </w:p>
    <w:p>
      <w:pPr>
        <w:sectPr>
          <w:pgSz w:w="11900" w:h="16838" w:orient="portrait"/>
          <w:cols w:equalWidth="0" w:num="2">
            <w:col w:w="4740" w:space="600"/>
            <w:col w:w="5880"/>
          </w:cols>
          <w:pgMar w:left="320" w:top="56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580" w:firstLine="8"/>
        <w:spacing w:after="0" w:line="233" w:lineRule="auto"/>
        <w:tabs>
          <w:tab w:leader="none" w:pos="439" w:val="left"/>
        </w:tabs>
        <w:numPr>
          <w:ilvl w:val="0"/>
          <w:numId w:val="12"/>
        </w:numPr>
        <w:rPr>
          <w:rFonts w:ascii="Calibri" w:cs="Calibri" w:eastAsia="Calibri" w:hAnsi="Calibri"/>
          <w:sz w:val="20"/>
          <w:szCs w:val="20"/>
          <w:color w:val="auto"/>
        </w:rPr>
      </w:pPr>
      <w:r>
        <w:rPr>
          <w:rFonts w:ascii="Calibri" w:cs="Calibri" w:eastAsia="Calibri" w:hAnsi="Calibri"/>
          <w:sz w:val="20"/>
          <w:szCs w:val="20"/>
          <w:u w:val="single" w:color="auto"/>
          <w:color w:val="auto"/>
        </w:rPr>
        <w:t>Entre Agreement; Amendment</w:t>
      </w:r>
      <w:r>
        <w:rPr>
          <w:rFonts w:ascii="Calibri" w:cs="Calibri" w:eastAsia="Calibri" w:hAnsi="Calibri"/>
          <w:sz w:val="20"/>
          <w:szCs w:val="20"/>
          <w:color w:val="auto"/>
        </w:rPr>
        <w:t>. This Agreement, together with the atached schedules, consttutes the entre agreement between the partes as to the subject mater hereof. No provision of this Agreement will be waived, altered or cancelled except in writng signed by the party against whom such waiver, alteraton or cancellaton is asserted. Any such waiver will be limited to the partcular instance and the partcular tme when and for which it is given.</w:t>
      </w:r>
    </w:p>
    <w:p>
      <w:pPr>
        <w:spacing w:after="0" w:line="230" w:lineRule="exact"/>
        <w:rPr>
          <w:rFonts w:ascii="Calibri" w:cs="Calibri" w:eastAsia="Calibri" w:hAnsi="Calibri"/>
          <w:sz w:val="20"/>
          <w:szCs w:val="20"/>
          <w:color w:val="auto"/>
        </w:rPr>
      </w:pPr>
    </w:p>
    <w:p>
      <w:pPr>
        <w:ind w:left="440" w:hanging="432"/>
        <w:spacing w:after="0"/>
        <w:tabs>
          <w:tab w:leader="none" w:pos="440" w:val="left"/>
        </w:tabs>
        <w:numPr>
          <w:ilvl w:val="0"/>
          <w:numId w:val="12"/>
        </w:numPr>
        <w:rPr>
          <w:rFonts w:ascii="Calibri" w:cs="Calibri" w:eastAsia="Calibri" w:hAnsi="Calibri"/>
          <w:sz w:val="20"/>
          <w:szCs w:val="20"/>
          <w:color w:val="auto"/>
        </w:rPr>
      </w:pPr>
      <w:r>
        <w:rPr>
          <w:rFonts w:ascii="Calibri" w:cs="Calibri" w:eastAsia="Calibri" w:hAnsi="Calibri"/>
          <w:sz w:val="20"/>
          <w:szCs w:val="20"/>
          <w:u w:val="single" w:color="auto"/>
          <w:color w:val="auto"/>
        </w:rPr>
        <w:t>Governing Law</w:t>
      </w:r>
      <w:r>
        <w:rPr>
          <w:rFonts w:ascii="Calibri" w:cs="Calibri" w:eastAsia="Calibri" w:hAnsi="Calibri"/>
          <w:sz w:val="20"/>
          <w:szCs w:val="20"/>
          <w:color w:val="auto"/>
        </w:rPr>
        <w:t>. This Agreement will be governed by and construed in accordance with the laws of the State of California.</w:t>
      </w:r>
    </w:p>
    <w:p>
      <w:pPr>
        <w:spacing w:after="0" w:line="251" w:lineRule="exact"/>
        <w:rPr>
          <w:rFonts w:ascii="Calibri" w:cs="Calibri" w:eastAsia="Calibri" w:hAnsi="Calibri"/>
          <w:sz w:val="20"/>
          <w:szCs w:val="20"/>
          <w:color w:val="auto"/>
        </w:rPr>
      </w:pPr>
    </w:p>
    <w:p>
      <w:pPr>
        <w:ind w:firstLine="8"/>
        <w:spacing w:after="0" w:line="233" w:lineRule="auto"/>
        <w:tabs>
          <w:tab w:leader="none" w:pos="439" w:val="left"/>
        </w:tabs>
        <w:numPr>
          <w:ilvl w:val="0"/>
          <w:numId w:val="12"/>
        </w:numPr>
        <w:rPr>
          <w:rFonts w:ascii="Calibri" w:cs="Calibri" w:eastAsia="Calibri" w:hAnsi="Calibri"/>
          <w:sz w:val="20"/>
          <w:szCs w:val="20"/>
          <w:color w:val="auto"/>
        </w:rPr>
      </w:pPr>
      <w:r>
        <w:rPr>
          <w:rFonts w:ascii="Calibri" w:cs="Calibri" w:eastAsia="Calibri" w:hAnsi="Calibri"/>
          <w:sz w:val="20"/>
          <w:szCs w:val="20"/>
          <w:u w:val="single" w:color="auto"/>
          <w:color w:val="auto"/>
        </w:rPr>
        <w:t>Severability</w:t>
      </w:r>
      <w:r>
        <w:rPr>
          <w:rFonts w:ascii="Calibri" w:cs="Calibri" w:eastAsia="Calibri" w:hAnsi="Calibri"/>
          <w:sz w:val="20"/>
          <w:szCs w:val="20"/>
          <w:color w:val="auto"/>
        </w:rPr>
        <w:t>. The invalidity or unenforceability of any provision hereof will in no way afect the validity or enforceability of any other provision. Moreover, if one or more of the provisions contained in this Agreement is for any reason held to be excessively broad as to scope, actvity or subject so as to be unenforceable at law, such provision or provisions will be construed by limitng or reducing it or them, so as to be enforceable to the extent compatble with the applicable law as it then appears.</w:t>
      </w:r>
    </w:p>
    <w:p>
      <w:pPr>
        <w:spacing w:after="0" w:line="239" w:lineRule="exact"/>
        <w:rPr>
          <w:rFonts w:ascii="Calibri" w:cs="Calibri" w:eastAsia="Calibri" w:hAnsi="Calibri"/>
          <w:sz w:val="20"/>
          <w:szCs w:val="20"/>
          <w:color w:val="auto"/>
        </w:rPr>
      </w:pPr>
    </w:p>
    <w:p>
      <w:pPr>
        <w:ind w:right="140" w:firstLine="8"/>
        <w:spacing w:after="0" w:line="233" w:lineRule="auto"/>
        <w:tabs>
          <w:tab w:leader="none" w:pos="439" w:val="left"/>
        </w:tabs>
        <w:numPr>
          <w:ilvl w:val="0"/>
          <w:numId w:val="12"/>
        </w:numPr>
        <w:rPr>
          <w:rFonts w:ascii="Calibri" w:cs="Calibri" w:eastAsia="Calibri" w:hAnsi="Calibri"/>
          <w:sz w:val="20"/>
          <w:szCs w:val="20"/>
          <w:color w:val="auto"/>
        </w:rPr>
      </w:pPr>
      <w:r>
        <w:rPr>
          <w:rFonts w:ascii="Calibri" w:cs="Calibri" w:eastAsia="Calibri" w:hAnsi="Calibri"/>
          <w:sz w:val="20"/>
          <w:szCs w:val="20"/>
          <w:u w:val="single" w:color="auto"/>
          <w:color w:val="auto"/>
        </w:rPr>
        <w:t>Waiver</w:t>
      </w:r>
      <w:r>
        <w:rPr>
          <w:rFonts w:ascii="Calibri" w:cs="Calibri" w:eastAsia="Calibri" w:hAnsi="Calibri"/>
          <w:sz w:val="20"/>
          <w:szCs w:val="20"/>
          <w:color w:val="auto"/>
        </w:rPr>
        <w:t>. The waiver by either party of a breach of or a default under any provision of this Agreement will not be efectve unless in writng and will not be construed as a waiver of any subsequent breach of or default under the same or any other provision of this Agreement, nor will any delay or omission on the part of either party to exercise or avail itself of any right or remedy that it has or may have hereunder operate as a waiver of any such right or remedy.</w:t>
      </w:r>
    </w:p>
    <w:p>
      <w:pPr>
        <w:spacing w:after="0" w:line="244" w:lineRule="exact"/>
        <w:rPr>
          <w:sz w:val="20"/>
          <w:szCs w:val="20"/>
          <w:color w:val="auto"/>
        </w:rPr>
      </w:pPr>
    </w:p>
    <w:p>
      <w:pPr>
        <w:spacing w:after="0"/>
        <w:rPr>
          <w:sz w:val="20"/>
          <w:szCs w:val="20"/>
          <w:color w:val="auto"/>
        </w:rPr>
      </w:pPr>
      <w:r>
        <w:rPr>
          <w:rFonts w:ascii="Calibri" w:cs="Calibri" w:eastAsia="Calibri" w:hAnsi="Calibri"/>
          <w:sz w:val="20"/>
          <w:szCs w:val="20"/>
          <w:color w:val="auto"/>
        </w:rPr>
        <w:t>I</w:t>
      </w:r>
      <w:r>
        <w:rPr>
          <w:rFonts w:ascii="Calibri" w:cs="Calibri" w:eastAsia="Calibri" w:hAnsi="Calibri"/>
          <w:sz w:val="20"/>
          <w:szCs w:val="20"/>
          <w:b w:val="1"/>
          <w:bCs w:val="1"/>
          <w:color w:val="auto"/>
        </w:rPr>
        <w:t>N WITNESS WHEREOF</w:t>
      </w:r>
      <w:r>
        <w:rPr>
          <w:rFonts w:ascii="Calibri" w:cs="Calibri" w:eastAsia="Calibri" w:hAnsi="Calibri"/>
          <w:sz w:val="20"/>
          <w:szCs w:val="20"/>
          <w:color w:val="auto"/>
        </w:rPr>
        <w:t>, the partes hereto have executed this Agreement as of the date frst writen above.</w:t>
      </w: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960" w:type="dxa"/>
            <w:vAlign w:val="bottom"/>
            <w:gridSpan w:val="2"/>
          </w:tcPr>
          <w:p>
            <w:pPr>
              <w:spacing w:after="0"/>
              <w:rPr>
                <w:sz w:val="20"/>
                <w:szCs w:val="20"/>
                <w:color w:val="auto"/>
              </w:rPr>
            </w:pPr>
            <w:r>
              <w:rPr>
                <w:rFonts w:ascii="Calibri" w:cs="Calibri" w:eastAsia="Calibri" w:hAnsi="Calibri"/>
                <w:sz w:val="18"/>
                <w:szCs w:val="18"/>
                <w:b w:val="1"/>
                <w:bCs w:val="1"/>
                <w:color w:val="auto"/>
              </w:rPr>
              <w:t>EXAGEN INC.</w:t>
            </w:r>
          </w:p>
        </w:tc>
        <w:tc>
          <w:tcPr>
            <w:tcW w:w="1340" w:type="dxa"/>
            <w:vAlign w:val="bottom"/>
          </w:tcPr>
          <w:p>
            <w:pPr>
              <w:ind w:left="280"/>
              <w:spacing w:after="0"/>
              <w:rPr>
                <w:sz w:val="20"/>
                <w:szCs w:val="20"/>
                <w:color w:val="auto"/>
              </w:rPr>
            </w:pPr>
            <w:r>
              <w:rPr>
                <w:rFonts w:ascii="Calibri" w:cs="Calibri" w:eastAsia="Calibri" w:hAnsi="Calibri"/>
                <w:sz w:val="18"/>
                <w:szCs w:val="18"/>
                <w:b w:val="1"/>
                <w:bCs w:val="1"/>
                <w:color w:val="auto"/>
              </w:rPr>
              <w:t>CONSULTANT</w:t>
            </w:r>
          </w:p>
        </w:tc>
        <w:tc>
          <w:tcPr>
            <w:tcW w:w="4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860" w:type="dxa"/>
            <w:vAlign w:val="bottom"/>
          </w:tcPr>
          <w:p>
            <w:pPr>
              <w:spacing w:after="0"/>
              <w:rPr>
                <w:sz w:val="20"/>
                <w:szCs w:val="20"/>
                <w:color w:val="auto"/>
              </w:rPr>
            </w:pPr>
            <w:r>
              <w:rPr>
                <w:rFonts w:ascii="Calibri" w:cs="Calibri" w:eastAsia="Calibri" w:hAnsi="Calibri"/>
                <w:sz w:val="18"/>
                <w:szCs w:val="18"/>
                <w:color w:val="auto"/>
              </w:rPr>
              <w:t>By:</w:t>
            </w:r>
          </w:p>
        </w:tc>
        <w:tc>
          <w:tcPr>
            <w:tcW w:w="4100" w:type="dxa"/>
            <w:vAlign w:val="bottom"/>
          </w:tcPr>
          <w:p>
            <w:pPr>
              <w:ind w:left="20"/>
              <w:spacing w:after="0"/>
              <w:rPr>
                <w:sz w:val="20"/>
                <w:szCs w:val="20"/>
                <w:color w:val="auto"/>
              </w:rPr>
            </w:pPr>
            <w:r>
              <w:rPr>
                <w:rFonts w:ascii="Calibri" w:cs="Calibri" w:eastAsia="Calibri" w:hAnsi="Calibri"/>
                <w:sz w:val="18"/>
                <w:szCs w:val="18"/>
                <w:color w:val="auto"/>
              </w:rPr>
              <w:t>/s/ John Aballi</w:t>
            </w:r>
          </w:p>
        </w:tc>
        <w:tc>
          <w:tcPr>
            <w:tcW w:w="1340" w:type="dxa"/>
            <w:vAlign w:val="bottom"/>
          </w:tcPr>
          <w:p>
            <w:pPr>
              <w:ind w:left="280"/>
              <w:spacing w:after="0"/>
              <w:rPr>
                <w:sz w:val="20"/>
                <w:szCs w:val="20"/>
                <w:color w:val="auto"/>
              </w:rPr>
            </w:pPr>
            <w:r>
              <w:rPr>
                <w:rFonts w:ascii="Calibri" w:cs="Calibri" w:eastAsia="Calibri" w:hAnsi="Calibri"/>
                <w:sz w:val="18"/>
                <w:szCs w:val="18"/>
                <w:color w:val="auto"/>
              </w:rPr>
              <w:t>By:</w:t>
            </w:r>
          </w:p>
        </w:tc>
        <w:tc>
          <w:tcPr>
            <w:tcW w:w="4260" w:type="dxa"/>
            <w:vAlign w:val="bottom"/>
          </w:tcPr>
          <w:p>
            <w:pPr>
              <w:ind w:left="20"/>
              <w:spacing w:after="0"/>
              <w:rPr>
                <w:sz w:val="20"/>
                <w:szCs w:val="20"/>
                <w:color w:val="auto"/>
              </w:rPr>
            </w:pPr>
            <w:r>
              <w:rPr>
                <w:rFonts w:ascii="Calibri" w:cs="Calibri" w:eastAsia="Calibri" w:hAnsi="Calibri"/>
                <w:sz w:val="18"/>
                <w:szCs w:val="18"/>
                <w:color w:val="auto"/>
              </w:rPr>
              <w:t>/s/ Mark Hazeltne</w:t>
            </w:r>
          </w:p>
        </w:tc>
        <w:tc>
          <w:tcPr>
            <w:tcW w:w="0" w:type="dxa"/>
            <w:vAlign w:val="bottom"/>
          </w:tcPr>
          <w:p>
            <w:pPr>
              <w:spacing w:after="0"/>
              <w:rPr>
                <w:sz w:val="1"/>
                <w:szCs w:val="1"/>
                <w:color w:val="auto"/>
              </w:rPr>
            </w:pPr>
          </w:p>
        </w:tc>
      </w:tr>
      <w:tr>
        <w:trPr>
          <w:trHeight w:val="37"/>
        </w:trPr>
        <w:tc>
          <w:tcPr>
            <w:tcW w:w="860" w:type="dxa"/>
            <w:vAlign w:val="bottom"/>
            <w:vMerge w:val="restart"/>
          </w:tcPr>
          <w:p>
            <w:pPr>
              <w:spacing w:after="0"/>
              <w:rPr>
                <w:sz w:val="20"/>
                <w:szCs w:val="20"/>
                <w:color w:val="auto"/>
              </w:rPr>
            </w:pPr>
            <w:r>
              <w:rPr>
                <w:rFonts w:ascii="Calibri" w:cs="Calibri" w:eastAsia="Calibri" w:hAnsi="Calibri"/>
                <w:sz w:val="18"/>
                <w:szCs w:val="18"/>
                <w:color w:val="auto"/>
              </w:rPr>
              <w:t>Name:</w:t>
            </w:r>
          </w:p>
        </w:tc>
        <w:tc>
          <w:tcPr>
            <w:tcW w:w="4100" w:type="dxa"/>
            <w:vAlign w:val="bottom"/>
            <w:tcBorders>
              <w:bottom w:val="single" w:sz="8" w:color="auto"/>
            </w:tcBorders>
          </w:tcPr>
          <w:p>
            <w:pPr>
              <w:spacing w:after="0"/>
              <w:rPr>
                <w:sz w:val="3"/>
                <w:szCs w:val="3"/>
                <w:color w:val="auto"/>
              </w:rPr>
            </w:pPr>
          </w:p>
        </w:tc>
        <w:tc>
          <w:tcPr>
            <w:tcW w:w="1340" w:type="dxa"/>
            <w:vAlign w:val="bottom"/>
            <w:vMerge w:val="restart"/>
          </w:tcPr>
          <w:p>
            <w:pPr>
              <w:ind w:left="280"/>
              <w:spacing w:after="0"/>
              <w:rPr>
                <w:sz w:val="20"/>
                <w:szCs w:val="20"/>
                <w:color w:val="auto"/>
              </w:rPr>
            </w:pPr>
            <w:r>
              <w:rPr>
                <w:rFonts w:ascii="Calibri" w:cs="Calibri" w:eastAsia="Calibri" w:hAnsi="Calibri"/>
                <w:sz w:val="18"/>
                <w:szCs w:val="18"/>
                <w:color w:val="auto"/>
              </w:rPr>
              <w:t>Name:</w:t>
            </w:r>
          </w:p>
        </w:tc>
        <w:tc>
          <w:tcPr>
            <w:tcW w:w="4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860" w:type="dxa"/>
            <w:vAlign w:val="bottom"/>
            <w:vMerge w:val="continue"/>
          </w:tcPr>
          <w:p>
            <w:pPr>
              <w:spacing w:after="0"/>
              <w:rPr>
                <w:sz w:val="18"/>
                <w:szCs w:val="18"/>
                <w:color w:val="auto"/>
              </w:rPr>
            </w:pPr>
          </w:p>
        </w:tc>
        <w:tc>
          <w:tcPr>
            <w:tcW w:w="4100" w:type="dxa"/>
            <w:vAlign w:val="bottom"/>
          </w:tcPr>
          <w:p>
            <w:pPr>
              <w:ind w:left="20"/>
              <w:spacing w:after="0" w:line="208" w:lineRule="exact"/>
              <w:rPr>
                <w:sz w:val="20"/>
                <w:szCs w:val="20"/>
                <w:color w:val="auto"/>
              </w:rPr>
            </w:pPr>
            <w:r>
              <w:rPr>
                <w:rFonts w:ascii="Calibri" w:cs="Calibri" w:eastAsia="Calibri" w:hAnsi="Calibri"/>
                <w:sz w:val="18"/>
                <w:szCs w:val="18"/>
                <w:color w:val="auto"/>
              </w:rPr>
              <w:t>John Aballi</w:t>
            </w:r>
          </w:p>
        </w:tc>
        <w:tc>
          <w:tcPr>
            <w:tcW w:w="1340" w:type="dxa"/>
            <w:vAlign w:val="bottom"/>
            <w:vMerge w:val="continue"/>
          </w:tcPr>
          <w:p>
            <w:pPr>
              <w:spacing w:after="0"/>
              <w:rPr>
                <w:sz w:val="18"/>
                <w:szCs w:val="18"/>
                <w:color w:val="auto"/>
              </w:rPr>
            </w:pPr>
          </w:p>
        </w:tc>
        <w:tc>
          <w:tcPr>
            <w:tcW w:w="4260" w:type="dxa"/>
            <w:vAlign w:val="bottom"/>
          </w:tcPr>
          <w:p>
            <w:pPr>
              <w:ind w:left="20"/>
              <w:spacing w:after="0" w:line="208" w:lineRule="exact"/>
              <w:rPr>
                <w:sz w:val="20"/>
                <w:szCs w:val="20"/>
                <w:color w:val="auto"/>
              </w:rPr>
            </w:pPr>
            <w:r>
              <w:rPr>
                <w:rFonts w:ascii="Calibri" w:cs="Calibri" w:eastAsia="Calibri" w:hAnsi="Calibri"/>
                <w:sz w:val="18"/>
                <w:szCs w:val="18"/>
                <w:color w:val="auto"/>
              </w:rPr>
              <w:t>Mark Hazeltne</w:t>
            </w:r>
          </w:p>
        </w:tc>
        <w:tc>
          <w:tcPr>
            <w:tcW w:w="0" w:type="dxa"/>
            <w:vAlign w:val="bottom"/>
          </w:tcPr>
          <w:p>
            <w:pPr>
              <w:spacing w:after="0"/>
              <w:rPr>
                <w:sz w:val="1"/>
                <w:szCs w:val="1"/>
                <w:color w:val="auto"/>
              </w:rPr>
            </w:pPr>
          </w:p>
        </w:tc>
      </w:tr>
      <w:tr>
        <w:trPr>
          <w:trHeight w:val="42"/>
        </w:trPr>
        <w:tc>
          <w:tcPr>
            <w:tcW w:w="860" w:type="dxa"/>
            <w:vAlign w:val="bottom"/>
            <w:vMerge w:val="restart"/>
          </w:tcPr>
          <w:p>
            <w:pPr>
              <w:spacing w:after="0"/>
              <w:rPr>
                <w:sz w:val="20"/>
                <w:szCs w:val="20"/>
                <w:color w:val="auto"/>
              </w:rPr>
            </w:pPr>
            <w:r>
              <w:rPr>
                <w:rFonts w:ascii="Calibri" w:cs="Calibri" w:eastAsia="Calibri" w:hAnsi="Calibri"/>
                <w:sz w:val="18"/>
                <w:szCs w:val="18"/>
                <w:color w:val="auto"/>
              </w:rPr>
              <w:t>Title:</w:t>
            </w:r>
          </w:p>
        </w:tc>
        <w:tc>
          <w:tcPr>
            <w:tcW w:w="4100" w:type="dxa"/>
            <w:vAlign w:val="bottom"/>
            <w:tcBorders>
              <w:bottom w:val="single" w:sz="8" w:color="auto"/>
            </w:tcBorders>
          </w:tcPr>
          <w:p>
            <w:pPr>
              <w:spacing w:after="0"/>
              <w:rPr>
                <w:sz w:val="3"/>
                <w:szCs w:val="3"/>
                <w:color w:val="auto"/>
              </w:rPr>
            </w:pPr>
          </w:p>
        </w:tc>
        <w:tc>
          <w:tcPr>
            <w:tcW w:w="1340" w:type="dxa"/>
            <w:vAlign w:val="bottom"/>
            <w:vMerge w:val="restart"/>
          </w:tcPr>
          <w:p>
            <w:pPr>
              <w:ind w:left="280"/>
              <w:spacing w:after="0"/>
              <w:rPr>
                <w:sz w:val="20"/>
                <w:szCs w:val="20"/>
                <w:color w:val="auto"/>
              </w:rPr>
            </w:pPr>
            <w:r>
              <w:rPr>
                <w:rFonts w:ascii="Calibri" w:cs="Calibri" w:eastAsia="Calibri" w:hAnsi="Calibri"/>
                <w:sz w:val="18"/>
                <w:szCs w:val="18"/>
                <w:color w:val="auto"/>
              </w:rPr>
              <w:t>Tax ID #:</w:t>
            </w:r>
          </w:p>
        </w:tc>
        <w:tc>
          <w:tcPr>
            <w:tcW w:w="4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860" w:type="dxa"/>
            <w:vAlign w:val="bottom"/>
            <w:vMerge w:val="continue"/>
          </w:tcPr>
          <w:p>
            <w:pPr>
              <w:spacing w:after="0"/>
              <w:rPr>
                <w:sz w:val="18"/>
                <w:szCs w:val="18"/>
                <w:color w:val="auto"/>
              </w:rPr>
            </w:pPr>
          </w:p>
        </w:tc>
        <w:tc>
          <w:tcPr>
            <w:tcW w:w="4100" w:type="dxa"/>
            <w:vAlign w:val="bottom"/>
          </w:tcPr>
          <w:p>
            <w:pPr>
              <w:ind w:left="20"/>
              <w:spacing w:after="0" w:line="208" w:lineRule="exact"/>
              <w:rPr>
                <w:sz w:val="20"/>
                <w:szCs w:val="20"/>
                <w:color w:val="auto"/>
              </w:rPr>
            </w:pPr>
            <w:r>
              <w:rPr>
                <w:rFonts w:ascii="Calibri" w:cs="Calibri" w:eastAsia="Calibri" w:hAnsi="Calibri"/>
                <w:sz w:val="18"/>
                <w:szCs w:val="18"/>
                <w:color w:val="auto"/>
              </w:rPr>
              <w:t>CEO</w:t>
            </w:r>
          </w:p>
        </w:tc>
        <w:tc>
          <w:tcPr>
            <w:tcW w:w="1340" w:type="dxa"/>
            <w:vAlign w:val="bottom"/>
            <w:vMerge w:val="continue"/>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60" w:type="dxa"/>
            <w:vAlign w:val="bottom"/>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340" w:type="dxa"/>
            <w:vAlign w:val="bottom"/>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contractng party to this agreement, the Tax Payer ID number and the name of the payee on any payment for Services rendered under this Agreement must be the same person or entty, e.g., if payment for Consultant’s Services will be made to Consultant, the individual, this Agreement will be between Company and Consultant and the Tax ID Number will be Consultant’s SSN. If payment for Consultant’s Services will be made to the professional corporaton of Consultant, this Agreement must be with that entty. Please note that Consultants may not direct payments for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ind w:left="11080"/>
        <w:spacing w:after="0" w:line="193" w:lineRule="auto"/>
        <w:rPr>
          <w:sz w:val="20"/>
          <w:szCs w:val="20"/>
          <w:color w:val="auto"/>
        </w:rPr>
      </w:pPr>
      <w:r>
        <w:rPr>
          <w:rFonts w:ascii="Calibri" w:cs="Calibri" w:eastAsia="Calibri" w:hAnsi="Calibri"/>
          <w:sz w:val="20"/>
          <w:szCs w:val="20"/>
          <w:color w:val="auto"/>
        </w:rPr>
        <w:t>6</w:t>
      </w:r>
    </w:p>
    <w:p>
      <w:pPr>
        <w:sectPr>
          <w:pgSz w:w="11900" w:h="16838" w:orient="portrait"/>
          <w:cols w:equalWidth="0" w:num="1">
            <w:col w:w="11220"/>
          </w:cols>
          <w:pgMar w:left="320" w:top="564" w:right="359" w:bottom="1440" w:gutter="0" w:footer="0" w:header="0"/>
          <w:type w:val="continuous"/>
        </w:sectPr>
      </w:pPr>
    </w:p>
    <w:bookmarkStart w:id="9" w:name="page10"/>
    <w:bookmarkEnd w:id="9"/>
    <w:p>
      <w:pPr>
        <w:jc w:val="center"/>
        <w:ind w:right="-59"/>
        <w:spacing w:after="0"/>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Services to be made by Company for Services provided hereunder to any charitable or other entty but must receive the payments as income themselves and then may make any such donatons themselves.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jc w:val="right"/>
        <w:spacing w:after="0" w:line="193" w:lineRule="auto"/>
        <w:rPr>
          <w:sz w:val="20"/>
          <w:szCs w:val="20"/>
          <w:color w:val="auto"/>
        </w:rPr>
      </w:pPr>
      <w:r>
        <w:rPr>
          <w:rFonts w:ascii="Calibri" w:cs="Calibri" w:eastAsia="Calibri" w:hAnsi="Calibri"/>
          <w:sz w:val="20"/>
          <w:szCs w:val="20"/>
          <w:color w:val="auto"/>
        </w:rPr>
        <w:t>7</w:t>
      </w:r>
    </w:p>
    <w:p>
      <w:pPr>
        <w:sectPr>
          <w:pgSz w:w="11900" w:h="16838" w:orient="portrait"/>
          <w:cols w:equalWidth="0" w:num="1">
            <w:col w:w="11180"/>
          </w:cols>
          <w:pgMar w:left="320" w:top="564" w:right="399" w:bottom="1440" w:gutter="0" w:footer="0" w:header="0"/>
        </w:sectPr>
      </w:pPr>
    </w:p>
    <w:bookmarkStart w:id="10" w:name="page11"/>
    <w:bookmarkEnd w:id="10"/>
    <w:p>
      <w:pPr>
        <w:jc w:val="center"/>
        <w:ind w:right="-139"/>
        <w:spacing w:after="0"/>
        <w:rPr>
          <w:sz w:val="20"/>
          <w:szCs w:val="20"/>
          <w:color w:val="auto"/>
        </w:rPr>
      </w:pPr>
      <w:r>
        <w:rPr>
          <w:rFonts w:ascii="Calibri" w:cs="Calibri" w:eastAsia="Calibri" w:hAnsi="Calibri"/>
          <w:sz w:val="20"/>
          <w:szCs w:val="20"/>
          <w:b w:val="1"/>
          <w:bCs w:val="1"/>
          <w:color w:val="auto"/>
        </w:rPr>
        <w:t>***THIS OFFER MUST BE ACCEPTED BY DECEMBER 10, 2023***</w:t>
      </w:r>
    </w:p>
    <w:p>
      <w:pPr>
        <w:spacing w:after="0" w:line="107" w:lineRule="exact"/>
        <w:rPr>
          <w:sz w:val="20"/>
          <w:szCs w:val="20"/>
          <w:color w:val="auto"/>
        </w:rPr>
      </w:pPr>
    </w:p>
    <w:p>
      <w:pPr>
        <w:jc w:val="center"/>
        <w:ind w:right="-139"/>
        <w:spacing w:after="0"/>
        <w:rPr>
          <w:sz w:val="20"/>
          <w:szCs w:val="20"/>
          <w:color w:val="auto"/>
        </w:rPr>
      </w:pPr>
      <w:r>
        <w:rPr>
          <w:rFonts w:ascii="Calibri" w:cs="Calibri" w:eastAsia="Calibri" w:hAnsi="Calibri"/>
          <w:sz w:val="20"/>
          <w:szCs w:val="20"/>
          <w:b w:val="1"/>
          <w:bCs w:val="1"/>
          <w:color w:val="auto"/>
        </w:rPr>
        <w:t>Exhibit A</w:t>
      </w:r>
    </w:p>
    <w:p>
      <w:pPr>
        <w:spacing w:after="0" w:line="211" w:lineRule="exact"/>
        <w:rPr>
          <w:sz w:val="20"/>
          <w:szCs w:val="20"/>
          <w:color w:val="auto"/>
        </w:rPr>
      </w:pPr>
    </w:p>
    <w:p>
      <w:pPr>
        <w:ind w:right="80"/>
        <w:spacing w:after="0" w:line="214" w:lineRule="auto"/>
        <w:rPr>
          <w:sz w:val="20"/>
          <w:szCs w:val="20"/>
          <w:color w:val="auto"/>
        </w:rPr>
      </w:pPr>
      <w:r>
        <w:rPr>
          <w:rFonts w:ascii="Calibri" w:cs="Calibri" w:eastAsia="Calibri" w:hAnsi="Calibri"/>
          <w:sz w:val="20"/>
          <w:szCs w:val="20"/>
          <w:color w:val="auto"/>
        </w:rPr>
        <w:t>This Exhibit is an integral part of the Agreement and incorporates by reference the terms and conditons of the Agreement. The partes agree that Consultant will perform Services and be provided with compensaton as described herein.</w:t>
      </w:r>
    </w:p>
    <w:p>
      <w:pPr>
        <w:spacing w:after="0" w:line="189"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Services to be provided</w:t>
      </w:r>
      <w:r>
        <w:rPr>
          <w:rFonts w:ascii="Calibri" w:cs="Calibri" w:eastAsia="Calibri" w:hAnsi="Calibri"/>
          <w:sz w:val="20"/>
          <w:szCs w:val="20"/>
          <w:color w:val="auto"/>
        </w:rPr>
        <w: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Consultant shall be available to consult with Company during the term of this agreement on the following:</w:t>
      </w:r>
    </w:p>
    <w:p>
      <w:pPr>
        <w:spacing w:after="0" w:line="228"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Knowledge transfer in support of the Company’s decision to eliminate the chief business ofcer positon.</w:t>
      </w:r>
    </w:p>
    <w:p>
      <w:pPr>
        <w:spacing w:after="0" w:line="11" w:lineRule="exact"/>
        <w:rPr>
          <w:rFonts w:ascii="Times New Roman" w:cs="Times New Roman" w:eastAsia="Times New Roman" w:hAnsi="Times New Roman"/>
          <w:sz w:val="20"/>
          <w:szCs w:val="20"/>
          <w:color w:val="auto"/>
        </w:rPr>
      </w:pPr>
    </w:p>
    <w:p>
      <w:pPr>
        <w:ind w:left="640" w:hanging="308"/>
        <w:spacing w:after="0" w:line="200" w:lineRule="auto"/>
        <w:tabs>
          <w:tab w:leader="none" w:pos="64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color w:val="auto"/>
        </w:rPr>
        <w:t>Other tasks as assigned.</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u w:val="single" w:color="auto"/>
          <w:color w:val="auto"/>
        </w:rPr>
        <w:t>Compensaton</w:t>
      </w:r>
      <w:r>
        <w:rPr>
          <w:rFonts w:ascii="Calibri" w:cs="Calibri" w:eastAsia="Calibri" w:hAnsi="Calibri"/>
          <w:sz w:val="20"/>
          <w:szCs w:val="20"/>
          <w:color w:val="auto"/>
        </w:rPr>
        <w:t>:</w:t>
      </w:r>
    </w:p>
    <w:p>
      <w:pPr>
        <w:spacing w:after="0" w:line="211" w:lineRule="exact"/>
        <w:rPr>
          <w:sz w:val="20"/>
          <w:szCs w:val="20"/>
          <w:color w:val="auto"/>
        </w:rPr>
      </w:pPr>
    </w:p>
    <w:p>
      <w:pPr>
        <w:ind w:right="180"/>
        <w:spacing w:after="0" w:line="208" w:lineRule="auto"/>
        <w:rPr>
          <w:sz w:val="20"/>
          <w:szCs w:val="20"/>
          <w:color w:val="auto"/>
        </w:rPr>
      </w:pPr>
      <w:r>
        <w:rPr>
          <w:rFonts w:ascii="Calibri" w:cs="Calibri" w:eastAsia="Calibri" w:hAnsi="Calibri"/>
          <w:sz w:val="20"/>
          <w:szCs w:val="20"/>
          <w:color w:val="auto"/>
        </w:rPr>
        <w:t xml:space="preserve">For the full, prompt and faithful performance of consultng Services, the Company shall pay Consultant </w:t>
      </w:r>
      <w:r>
        <w:rPr>
          <w:rFonts w:ascii="Calibri" w:cs="Calibri" w:eastAsia="Calibri" w:hAnsi="Calibri"/>
          <w:sz w:val="20"/>
          <w:szCs w:val="20"/>
          <w:b w:val="1"/>
          <w:bCs w:val="1"/>
          <w:color w:val="auto"/>
        </w:rPr>
        <w:t>$243.00 per hour</w:t>
      </w:r>
      <w:r>
        <w:rPr>
          <w:rFonts w:ascii="Calibri" w:cs="Calibri" w:eastAsia="Calibri" w:hAnsi="Calibri"/>
          <w:sz w:val="20"/>
          <w:szCs w:val="20"/>
          <w:color w:val="auto"/>
        </w:rPr>
        <w:t>, prorated to the nearest half hour.</w:t>
      </w:r>
    </w:p>
    <w:p>
      <w:pPr>
        <w:spacing w:after="0" w:line="211" w:lineRule="exact"/>
        <w:rPr>
          <w:sz w:val="20"/>
          <w:szCs w:val="20"/>
          <w:color w:val="auto"/>
        </w:rPr>
      </w:pPr>
    </w:p>
    <w:p>
      <w:pPr>
        <w:ind w:right="460"/>
        <w:spacing w:after="0" w:line="214" w:lineRule="auto"/>
        <w:rPr>
          <w:sz w:val="20"/>
          <w:szCs w:val="20"/>
          <w:color w:val="auto"/>
        </w:rPr>
      </w:pPr>
      <w:r>
        <w:rPr>
          <w:rFonts w:ascii="Calibri" w:cs="Calibri" w:eastAsia="Calibri" w:hAnsi="Calibri"/>
          <w:sz w:val="20"/>
          <w:szCs w:val="20"/>
          <w:color w:val="auto"/>
        </w:rPr>
        <w:t>Consultant will be reimbursed only for expenses approved in advance by the Company, provided Consultant has furnished original receipts and documentaton of approval of the expenses. Company will not reimburse Consultant for tme spent in transit.</w:t>
      </w:r>
    </w:p>
    <w:p>
      <w:pPr>
        <w:spacing w:after="0" w:line="199" w:lineRule="exact"/>
        <w:rPr>
          <w:sz w:val="20"/>
          <w:szCs w:val="20"/>
          <w:color w:val="auto"/>
        </w:rPr>
      </w:pPr>
    </w:p>
    <w:p>
      <w:pPr>
        <w:spacing w:after="0" w:line="203" w:lineRule="auto"/>
        <w:rPr>
          <w:sz w:val="20"/>
          <w:szCs w:val="20"/>
          <w:color w:val="auto"/>
        </w:rPr>
      </w:pPr>
      <w:r>
        <w:rPr>
          <w:rFonts w:ascii="Calibri" w:cs="Calibri" w:eastAsia="Calibri" w:hAnsi="Calibri"/>
          <w:sz w:val="20"/>
          <w:szCs w:val="20"/>
          <w:color w:val="auto"/>
        </w:rPr>
        <w:t xml:space="preserve">Consultant will provide detailed invoices for Services to </w:t>
      </w:r>
      <w:r>
        <w:rPr>
          <w:rFonts w:ascii="Calibri" w:cs="Calibri" w:eastAsia="Calibri" w:hAnsi="Calibri"/>
          <w:sz w:val="20"/>
          <w:szCs w:val="20"/>
          <w:u w:val="single" w:color="auto"/>
          <w:color w:val="auto"/>
        </w:rPr>
        <w:t>invoices@exagen.com</w:t>
      </w:r>
      <w:r>
        <w:rPr>
          <w:rFonts w:ascii="Calibri" w:cs="Calibri" w:eastAsia="Calibri" w:hAnsi="Calibri"/>
          <w:sz w:val="20"/>
          <w:szCs w:val="20"/>
          <w:color w:val="auto"/>
        </w:rPr>
        <w:t xml:space="preserve"> on a monthly basis. Such invoices must be in PDF format. If Consultant is not able to submit in PDF format, Consultant will contact </w:t>
      </w:r>
      <w:r>
        <w:rPr>
          <w:rFonts w:ascii="Calibri" w:cs="Calibri" w:eastAsia="Calibri" w:hAnsi="Calibri"/>
          <w:sz w:val="20"/>
          <w:szCs w:val="20"/>
          <w:u w:val="single" w:color="auto"/>
          <w:color w:val="auto"/>
        </w:rPr>
        <w:t>ap@exagen.com</w:t>
      </w:r>
      <w:r>
        <w:rPr>
          <w:rFonts w:ascii="Calibri" w:cs="Calibri" w:eastAsia="Calibri" w:hAnsi="Calibri"/>
          <w:sz w:val="20"/>
          <w:szCs w:val="20"/>
          <w:color w:val="auto"/>
        </w:rPr>
        <w:t xml:space="preserve"> for further assistance. Invoices should track the Services performed, the requestor of the Services, the date of services, and the number of hours spent providing the Services to Company.</w:t>
      </w:r>
    </w:p>
    <w:p>
      <w:pPr>
        <w:spacing w:after="0" w:line="204" w:lineRule="exact"/>
        <w:rPr>
          <w:sz w:val="20"/>
          <w:szCs w:val="20"/>
          <w:color w:val="auto"/>
        </w:rPr>
      </w:pPr>
    </w:p>
    <w:p>
      <w:pPr>
        <w:spacing w:after="0"/>
        <w:rPr>
          <w:sz w:val="20"/>
          <w:szCs w:val="20"/>
          <w:color w:val="auto"/>
        </w:rPr>
      </w:pPr>
      <w:r>
        <w:rPr>
          <w:rFonts w:ascii="Calibri" w:cs="Calibri" w:eastAsia="Calibri" w:hAnsi="Calibri"/>
          <w:sz w:val="20"/>
          <w:szCs w:val="20"/>
          <w:color w:val="auto"/>
        </w:rPr>
        <w:t>Invoices will be due and payable by Company within thirty (30) days of receipt of invoice(s).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CONFIDENTIAL</w:t>
      </w:r>
    </w:p>
    <w:p>
      <w:pPr>
        <w:ind w:left="10880"/>
        <w:spacing w:after="0" w:line="193" w:lineRule="auto"/>
        <w:rPr>
          <w:sz w:val="20"/>
          <w:szCs w:val="20"/>
          <w:color w:val="auto"/>
        </w:rPr>
      </w:pPr>
      <w:r>
        <w:rPr>
          <w:rFonts w:ascii="Calibri" w:cs="Calibri" w:eastAsia="Calibri" w:hAnsi="Calibri"/>
          <w:sz w:val="20"/>
          <w:szCs w:val="20"/>
          <w:color w:val="auto"/>
        </w:rPr>
        <w:t>8</w:t>
      </w:r>
    </w:p>
    <w:sectPr>
      <w:pgSz w:w="11900" w:h="16838" w:orient="portrait"/>
      <w:cols w:equalWidth="0" w:num="1">
        <w:col w:w="11120"/>
      </w:cols>
      <w:pgMar w:left="320" w:top="5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6"/>
    </w:lvl>
  </w:abstractNum>
  <w:abstractNum w:abstractNumId="3">
    <w:nsid w:val="515F007C"/>
    <w:multiLevelType w:val="hybridMultilevel"/>
    <w:lvl w:ilvl="0">
      <w:lvlJc w:val="left"/>
      <w:lvlText w:val="%1."/>
      <w:numFmt w:val="decimal"/>
      <w:start w:val="7"/>
    </w:lvl>
  </w:abstractNum>
  <w:abstractNum w:abstractNumId="4">
    <w:nsid w:val="5BD062C2"/>
    <w:multiLevelType w:val="hybridMultilevel"/>
    <w:lvl w:ilvl="0">
      <w:lvlJc w:val="left"/>
      <w:lvlText w:val="(%1)"/>
      <w:numFmt w:val="lowerLetter"/>
      <w:start w:val="2"/>
    </w:lvl>
  </w:abstractNum>
  <w:abstractNum w:abstractNumId="5">
    <w:nsid w:val="12200854"/>
    <w:multiLevelType w:val="hybridMultilevel"/>
    <w:lvl w:ilvl="0">
      <w:lvlJc w:val="left"/>
      <w:lvlText w:val="%1."/>
      <w:numFmt w:val="lowerRoman"/>
      <w:start w:val="1"/>
    </w:lvl>
    <w:lvl w:ilvl="1">
      <w:lvlJc w:val="left"/>
      <w:lvlText w:val="(%2)"/>
      <w:numFmt w:val="lowerRoman"/>
      <w:start w:val="1"/>
    </w:lvl>
  </w:abstractNum>
  <w:abstractNum w:abstractNumId="6">
    <w:nsid w:val="4DB127F8"/>
    <w:multiLevelType w:val="hybridMultilevel"/>
    <w:lvl w:ilvl="0">
      <w:lvlJc w:val="left"/>
      <w:lvlText w:val="%1"/>
      <w:numFmt w:val="lowerLetter"/>
      <w:start w:val="1"/>
    </w:lvl>
    <w:lvl w:ilvl="1">
      <w:lvlJc w:val="left"/>
      <w:lvlText w:val="%2."/>
      <w:numFmt w:val="lowerRoman"/>
      <w:start w:val="1"/>
    </w:lvl>
  </w:abstractNum>
  <w:abstractNum w:abstractNumId="7">
    <w:nsid w:val="216231B"/>
    <w:multiLevelType w:val="hybridMultilevel"/>
    <w:lvl w:ilvl="0">
      <w:lvlJc w:val="left"/>
      <w:lvlText w:val="(%1)"/>
      <w:numFmt w:val="lowerLetter"/>
      <w:start w:val="6"/>
    </w:lvl>
    <w:lvl w:ilvl="1">
      <w:lvlJc w:val="left"/>
      <w:lvlText w:val="%2"/>
      <w:numFmt w:val="lowerRoman"/>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decimal"/>
      <w:start w:val="2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9" Type="http://schemas.openxmlformats.org/officeDocument/2006/relationships/hyperlink" Target="https://www.sec.gov/Archives/edgar/data/1274737/000127473722000028/exhibit101-amendedandres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2023-12-11T15:20:06Z</dcterms:created>
  <dcterms:modified xsi:type="dcterms:W3CDTF">2023-12-11T15:20:06Z</dcterms:modified>
</cp:coreProperties>
</file>