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60" w:hanging="331"/>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82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fiscal year ended December 31, 2024</w:t>
      </w:r>
    </w:p>
    <w:p>
      <w:pPr>
        <w:spacing w:after="0" w:line="52" w:lineRule="exact"/>
        <w:rPr>
          <w:sz w:val="24"/>
          <w:szCs w:val="24"/>
          <w:color w:val="auto"/>
        </w:rPr>
      </w:pPr>
    </w:p>
    <w:p>
      <w:pPr>
        <w:ind w:left="460" w:hanging="331"/>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 .</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110490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720" w:type="dxa"/>
            <w:vAlign w:val="bottom"/>
          </w:tcPr>
          <w:p>
            <w:pPr>
              <w:spacing w:after="0"/>
              <w:rPr>
                <w:sz w:val="17"/>
                <w:szCs w:val="17"/>
                <w:color w:val="auto"/>
              </w:rPr>
            </w:pPr>
          </w:p>
        </w:tc>
        <w:tc>
          <w:tcPr>
            <w:tcW w:w="3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720" w:type="dxa"/>
            <w:vAlign w:val="bottom"/>
          </w:tcPr>
          <w:p>
            <w:pPr>
              <w:jc w:val="center"/>
              <w:ind w:left="1548"/>
              <w:spacing w:after="0"/>
              <w:rPr>
                <w:sz w:val="20"/>
                <w:szCs w:val="20"/>
                <w:color w:val="auto"/>
              </w:rPr>
            </w:pPr>
            <w:r>
              <w:rPr>
                <w:rFonts w:ascii="Arial" w:cs="Arial" w:eastAsia="Arial" w:hAnsi="Arial"/>
                <w:sz w:val="14"/>
                <w:szCs w:val="14"/>
                <w:b w:val="1"/>
                <w:bCs w:val="1"/>
                <w:color w:val="auto"/>
              </w:rPr>
              <w:t>Delaware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0"/>
        </w:trPr>
        <w:tc>
          <w:tcPr>
            <w:tcW w:w="3720" w:type="dxa"/>
            <w:vAlign w:val="bottom"/>
          </w:tcPr>
          <w:p>
            <w:pPr>
              <w:jc w:val="center"/>
              <w:ind w:left="15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20" w:type="dxa"/>
            <w:vAlign w:val="bottom"/>
          </w:tcPr>
          <w:p>
            <w:pPr>
              <w:jc w:val="center"/>
              <w:ind w:left="1548"/>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301"/>
        </w:trPr>
        <w:tc>
          <w:tcPr>
            <w:tcW w:w="3720" w:type="dxa"/>
            <w:vAlign w:val="bottom"/>
          </w:tcPr>
          <w:p>
            <w:pPr>
              <w:jc w:val="center"/>
              <w:ind w:left="1048"/>
              <w:spacing w:after="0"/>
              <w:rPr>
                <w:sz w:val="20"/>
                <w:szCs w:val="20"/>
                <w:color w:val="auto"/>
              </w:rPr>
            </w:pPr>
            <w:r>
              <w:rPr>
                <w:rFonts w:ascii="Arial" w:cs="Arial" w:eastAsia="Arial" w:hAnsi="Arial"/>
                <w:sz w:val="14"/>
                <w:szCs w:val="14"/>
                <w:b w:val="1"/>
                <w:bCs w:val="1"/>
                <w:color w:val="auto"/>
              </w:rPr>
              <w:t>1261 Liberty Way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720" w:type="dxa"/>
            <w:vAlign w:val="bottom"/>
          </w:tcPr>
          <w:p>
            <w:pPr>
              <w:jc w:val="center"/>
              <w:ind w:left="1048"/>
              <w:spacing w:after="0"/>
              <w:rPr>
                <w:sz w:val="20"/>
                <w:szCs w:val="20"/>
                <w:color w:val="auto"/>
              </w:rPr>
            </w:pPr>
            <w:r>
              <w:rPr>
                <w:rFonts w:ascii="Arial" w:cs="Arial" w:eastAsia="Arial" w:hAnsi="Arial"/>
                <w:sz w:val="14"/>
                <w:szCs w:val="14"/>
                <w:b w:val="1"/>
                <w:bCs w:val="1"/>
                <w:color w:val="auto"/>
              </w:rPr>
              <w:t>Vista, California</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6"/>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10"/>
        </w:trPr>
        <w:tc>
          <w:tcPr>
            <w:tcW w:w="3720" w:type="dxa"/>
            <w:vAlign w:val="bottom"/>
          </w:tcPr>
          <w:p>
            <w:pPr>
              <w:spacing w:after="0"/>
              <w:rPr>
                <w:sz w:val="24"/>
                <w:szCs w:val="24"/>
                <w:color w:val="auto"/>
              </w:rPr>
            </w:pPr>
          </w:p>
        </w:tc>
        <w:tc>
          <w:tcPr>
            <w:tcW w:w="318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720" w:type="dxa"/>
            <w:vAlign w:val="bottom"/>
          </w:tcPr>
          <w:p>
            <w:pPr>
              <w:spacing w:after="0"/>
              <w:rPr>
                <w:sz w:val="17"/>
                <w:szCs w:val="17"/>
                <w:color w:val="auto"/>
              </w:rPr>
            </w:pPr>
          </w:p>
        </w:tc>
        <w:tc>
          <w:tcPr>
            <w:tcW w:w="38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77"/>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3"/>
        </w:trPr>
        <w:tc>
          <w:tcPr>
            <w:tcW w:w="37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20" w:type="dxa"/>
            <w:vAlign w:val="bottom"/>
          </w:tcPr>
          <w:p>
            <w:pPr>
              <w:jc w:val="center"/>
              <w:ind w:left="388"/>
              <w:spacing w:after="0"/>
              <w:rPr>
                <w:sz w:val="20"/>
                <w:szCs w:val="20"/>
                <w:color w:val="auto"/>
              </w:rPr>
            </w:pPr>
            <w:r>
              <w:rPr>
                <w:rFonts w:ascii="Arial" w:cs="Arial" w:eastAsia="Arial" w:hAnsi="Arial"/>
                <w:sz w:val="14"/>
                <w:szCs w:val="14"/>
                <w:b w:val="1"/>
                <w:bCs w:val="1"/>
                <w:color w:val="auto"/>
              </w:rPr>
              <w:t>Common Stock, par value $0.001 per share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XGN</w:t>
            </w:r>
          </w:p>
        </w:tc>
        <w:tc>
          <w:tcPr>
            <w:tcW w:w="3680" w:type="dxa"/>
            <w:vAlign w:val="bottom"/>
          </w:tcPr>
          <w:p>
            <w:pPr>
              <w:jc w:val="center"/>
              <w:ind w:right="44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8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"emerging growth company" in Rule 12b-2 of the Securities Exchange Act of 1934.</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1"/>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0"/>
          <w:szCs w:val="20"/>
          <w:color w:val="auto"/>
        </w:rPr>
      </w:pPr>
    </w:p>
    <w:p>
      <w:pPr>
        <w:spacing w:after="0" w:line="278" w:lineRule="exact"/>
        <w:rPr>
          <w:sz w:val="20"/>
          <w:szCs w:val="20"/>
          <w:color w:val="auto"/>
        </w:rPr>
      </w:pPr>
    </w:p>
    <w:p>
      <w:pPr>
        <w:ind w:right="2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7" w:lineRule="exact"/>
        <w:rPr>
          <w:sz w:val="20"/>
          <w:szCs w:val="20"/>
          <w:color w:val="auto"/>
        </w:rPr>
      </w:pPr>
    </w:p>
    <w:p>
      <w:pPr>
        <w:ind w:right="36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7" w:lineRule="exact"/>
        <w:rPr>
          <w:sz w:val="20"/>
          <w:szCs w:val="20"/>
          <w:color w:val="auto"/>
        </w:rPr>
      </w:pPr>
    </w:p>
    <w:p>
      <w:pPr>
        <w:ind w:right="5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7" w:lineRule="exact"/>
        <w:rPr>
          <w:sz w:val="20"/>
          <w:szCs w:val="20"/>
          <w:color w:val="auto"/>
        </w:rPr>
      </w:pPr>
    </w:p>
    <w:p>
      <w:pPr>
        <w:ind w:right="36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As of June 30, 2024 (the last business day of the registrant's most recently completed second fiscal quarter), the aggregate market value of the registrant's common stock held by non-affiliates of the registrant was approximately $27.0 million, based on the closing price of the registrant's common stock on the Nasdaq Global Market of $1.82 per share.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7, 2025 was 17,898,098.</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2025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34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spacing w:after="0" w:line="195" w:lineRule="exact"/>
              <w:rPr>
                <w:sz w:val="20"/>
                <w:szCs w:val="20"/>
                <w:color w:val="auto"/>
              </w:rPr>
            </w:pPr>
            <w:r>
              <w:rPr>
                <w:rFonts w:ascii="Arial" w:cs="Arial" w:eastAsia="Arial" w:hAnsi="Arial"/>
                <w:sz w:val="18"/>
                <w:szCs w:val="18"/>
                <w:color w:val="0000FF"/>
                <w:w w:val="97"/>
              </w:rPr>
              <w:t>Business.</w:t>
            </w:r>
          </w:p>
        </w:tc>
        <w:tc>
          <w:tcPr>
            <w:tcW w:w="7780" w:type="dxa"/>
            <w:vAlign w:val="bottom"/>
            <w:gridSpan w:val="21"/>
          </w:tcPr>
          <w:p>
            <w:pPr>
              <w:spacing w:after="0"/>
              <w:rPr>
                <w:sz w:val="16"/>
                <w:szCs w:val="16"/>
                <w:color w:val="auto"/>
              </w:rPr>
            </w:pPr>
          </w:p>
        </w:tc>
        <w:tc>
          <w:tcPr>
            <w:tcW w:w="1260" w:type="dxa"/>
            <w:vAlign w:val="bottom"/>
            <w:gridSpan w:val="3"/>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5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2300" w:type="dxa"/>
            <w:vAlign w:val="bottom"/>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1C.</w:t>
            </w:r>
          </w:p>
        </w:tc>
        <w:tc>
          <w:tcPr>
            <w:tcW w:w="1140" w:type="dxa"/>
            <w:vAlign w:val="bottom"/>
            <w:gridSpan w:val="5"/>
          </w:tcPr>
          <w:p>
            <w:pPr>
              <w:spacing w:after="0"/>
              <w:rPr>
                <w:sz w:val="20"/>
                <w:szCs w:val="20"/>
                <w:color w:val="auto"/>
              </w:rPr>
            </w:pPr>
            <w:r>
              <w:rPr>
                <w:rFonts w:ascii="Arial" w:cs="Arial" w:eastAsia="Arial" w:hAnsi="Arial"/>
                <w:sz w:val="18"/>
                <w:szCs w:val="18"/>
                <w:color w:val="0000FF"/>
                <w:w w:val="97"/>
              </w:rPr>
              <w:t>Cybersecurity.</w:t>
            </w:r>
          </w:p>
        </w:tc>
        <w:tc>
          <w:tcPr>
            <w:tcW w:w="1160" w:type="dxa"/>
            <w:vAlign w:val="bottom"/>
            <w:gridSpan w:val="5"/>
          </w:tcPr>
          <w:p>
            <w:pPr>
              <w:spacing w:after="0"/>
              <w:rPr>
                <w:sz w:val="18"/>
                <w:szCs w:val="18"/>
                <w:color w:val="auto"/>
              </w:rPr>
            </w:pP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 w:type="dxa"/>
            <w:vAlign w:val="bottom"/>
            <w:gridSpan w:val="3"/>
          </w:tcPr>
          <w:p>
            <w:pPr>
              <w:spacing w:after="0"/>
              <w:rPr>
                <w:sz w:val="20"/>
                <w:szCs w:val="20"/>
                <w:color w:val="auto"/>
              </w:rPr>
            </w:pPr>
            <w:r>
              <w:rPr>
                <w:rFonts w:ascii="Arial" w:cs="Arial" w:eastAsia="Arial" w:hAnsi="Arial"/>
                <w:sz w:val="18"/>
                <w:szCs w:val="18"/>
                <w:color w:val="0000FF"/>
                <w:w w:val="94"/>
              </w:rPr>
              <w:t>Properties.</w:t>
            </w:r>
          </w:p>
        </w:tc>
        <w:tc>
          <w:tcPr>
            <w:tcW w:w="280" w:type="dxa"/>
            <w:vAlign w:val="bottom"/>
            <w:gridSpan w:val="2"/>
          </w:tcPr>
          <w:p>
            <w:pPr>
              <w:spacing w:after="0"/>
              <w:rPr>
                <w:sz w:val="18"/>
                <w:szCs w:val="18"/>
                <w:color w:val="auto"/>
              </w:rPr>
            </w:pPr>
          </w:p>
        </w:tc>
        <w:tc>
          <w:tcPr>
            <w:tcW w:w="7420" w:type="dxa"/>
            <w:vAlign w:val="bottom"/>
            <w:gridSpan w:val="1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1540" w:type="dxa"/>
            <w:vAlign w:val="bottom"/>
            <w:gridSpan w:val="7"/>
          </w:tcPr>
          <w:p>
            <w:pPr>
              <w:spacing w:after="0"/>
              <w:rPr>
                <w:sz w:val="20"/>
                <w:szCs w:val="20"/>
                <w:color w:val="auto"/>
              </w:rPr>
            </w:pPr>
            <w:r>
              <w:rPr>
                <w:rFonts w:ascii="Arial" w:cs="Arial" w:eastAsia="Arial" w:hAnsi="Arial"/>
                <w:sz w:val="18"/>
                <w:szCs w:val="18"/>
                <w:color w:val="0000FF"/>
                <w:w w:val="98"/>
              </w:rPr>
              <w:t>Legal Proceedings.</w:t>
            </w:r>
          </w:p>
        </w:tc>
        <w:tc>
          <w:tcPr>
            <w:tcW w:w="7020" w:type="dxa"/>
            <w:vAlign w:val="bottom"/>
            <w:gridSpan w:val="1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160" w:type="dxa"/>
            <w:vAlign w:val="bottom"/>
            <w:gridSpan w:val="2"/>
            <w:vMerge w:val="restart"/>
          </w:tcPr>
          <w:p>
            <w:pPr>
              <w:spacing w:after="0"/>
              <w:rPr>
                <w:sz w:val="16"/>
                <w:szCs w:val="16"/>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716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gridSpan w:val="3"/>
            <w:shd w:val="clear" w:color="auto" w:fill="0000FF"/>
          </w:tcPr>
          <w:p>
            <w:pPr>
              <w:spacing w:after="0"/>
              <w:rPr>
                <w:sz w:val="2"/>
                <w:szCs w:val="2"/>
                <w:color w:val="auto"/>
              </w:rPr>
            </w:pPr>
          </w:p>
        </w:tc>
        <w:tc>
          <w:tcPr>
            <w:tcW w:w="58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6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7700" w:type="dxa"/>
            <w:vAlign w:val="bottom"/>
            <w:gridSpan w:val="19"/>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4760" w:type="dxa"/>
            <w:vAlign w:val="bottom"/>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40" w:type="dxa"/>
            <w:vAlign w:val="bottom"/>
            <w:gridSpan w:val="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476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3800" w:type="dxa"/>
            <w:vAlign w:val="bottom"/>
            <w:gridSpan w:val="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7180" w:type="dxa"/>
            <w:vAlign w:val="bottom"/>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Controls and Procedures.</w:t>
            </w:r>
          </w:p>
        </w:tc>
        <w:tc>
          <w:tcPr>
            <w:tcW w:w="5140" w:type="dxa"/>
            <w:vAlign w:val="bottom"/>
            <w:gridSpan w:val="10"/>
          </w:tcPr>
          <w:p>
            <w:pPr>
              <w:spacing w:after="0"/>
              <w:rPr>
                <w:sz w:val="18"/>
                <w:szCs w:val="18"/>
                <w:color w:val="auto"/>
              </w:rPr>
            </w:pP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20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520" w:type="dxa"/>
            <w:vAlign w:val="bottom"/>
            <w:gridSpan w:val="1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9C.</w:t>
            </w:r>
          </w:p>
        </w:tc>
        <w:tc>
          <w:tcPr>
            <w:tcW w:w="856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3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Executive Compensation.</w:t>
            </w:r>
          </w:p>
        </w:tc>
        <w:tc>
          <w:tcPr>
            <w:tcW w:w="2500" w:type="dxa"/>
            <w:vAlign w:val="bottom"/>
            <w:gridSpan w:val="5"/>
          </w:tcPr>
          <w:p>
            <w:pPr>
              <w:spacing w:after="0"/>
              <w:rPr>
                <w:sz w:val="18"/>
                <w:szCs w:val="18"/>
                <w:color w:val="auto"/>
              </w:rPr>
            </w:pPr>
          </w:p>
        </w:tc>
        <w:tc>
          <w:tcPr>
            <w:tcW w:w="4020" w:type="dxa"/>
            <w:vAlign w:val="bottom"/>
            <w:gridSpan w:val="8"/>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060" w:type="dxa"/>
            <w:vAlign w:val="bottom"/>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6120" w:type="dxa"/>
            <w:vAlign w:val="bottom"/>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120" w:type="dxa"/>
            <w:vAlign w:val="bottom"/>
            <w:gridSpan w:val="17"/>
          </w:tcPr>
          <w:p>
            <w:pPr>
              <w:spacing w:after="0"/>
              <w:rPr>
                <w:sz w:val="20"/>
                <w:szCs w:val="20"/>
                <w:color w:val="auto"/>
              </w:rPr>
            </w:pPr>
            <w:r>
              <w:rPr>
                <w:rFonts w:ascii="Arial" w:cs="Arial" w:eastAsia="Arial" w:hAnsi="Arial"/>
                <w:sz w:val="18"/>
                <w:szCs w:val="18"/>
                <w:color w:val="0000FF"/>
              </w:rPr>
              <w:t>Principal Accountant Fees and Services.</w:t>
            </w:r>
          </w:p>
        </w:tc>
        <w:tc>
          <w:tcPr>
            <w:tcW w:w="2440" w:type="dxa"/>
            <w:vAlign w:val="bottom"/>
            <w:gridSpan w:val="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356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5000" w:type="dxa"/>
            <w:vAlign w:val="bottom"/>
            <w:gridSpan w:val="10"/>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60" w:type="dxa"/>
            <w:vAlign w:val="bottom"/>
            <w:gridSpan w:val="12"/>
          </w:tcPr>
          <w:p>
            <w:pPr>
              <w:spacing w:after="0"/>
              <w:rPr>
                <w:sz w:val="20"/>
                <w:szCs w:val="20"/>
                <w:color w:val="auto"/>
              </w:rPr>
            </w:pPr>
            <w:r>
              <w:rPr>
                <w:rFonts w:ascii="Arial" w:cs="Arial" w:eastAsia="Arial" w:hAnsi="Arial"/>
                <w:sz w:val="18"/>
                <w:szCs w:val="18"/>
                <w:color w:val="0000FF"/>
              </w:rPr>
              <w:t>Form 10-K Summary.</w:t>
            </w:r>
          </w:p>
        </w:tc>
        <w:tc>
          <w:tcPr>
            <w:tcW w:w="5000" w:type="dxa"/>
            <w:vAlign w:val="bottom"/>
            <w:gridSpan w:val="10"/>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w w:val="95"/>
              </w:rPr>
              <w:t>Signatures</w:t>
            </w:r>
          </w:p>
        </w:tc>
        <w:tc>
          <w:tcPr>
            <w:tcW w:w="840" w:type="dxa"/>
            <w:vAlign w:val="bottom"/>
            <w:gridSpan w:val="5"/>
          </w:tcPr>
          <w:p>
            <w:pPr>
              <w:spacing w:after="0"/>
              <w:rPr>
                <w:sz w:val="18"/>
                <w:szCs w:val="18"/>
                <w:color w:val="auto"/>
              </w:rPr>
            </w:pPr>
          </w:p>
        </w:tc>
        <w:tc>
          <w:tcPr>
            <w:tcW w:w="6860" w:type="dxa"/>
            <w:vAlign w:val="bottom"/>
            <w:gridSpan w:val="1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Financial Statements</w:t>
            </w:r>
          </w:p>
        </w:tc>
        <w:tc>
          <w:tcPr>
            <w:tcW w:w="11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F-1</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Annual Report on Form 10-K (the Annual Report), contains forward-looking statements within the meaning of Section 21E of the Securities Exchange Act of 1934, as amended (the Exchange Act). All statements other than statements of historical facts contained in this Annual Report, including statements regarding our future results of operations and financial position, business strategy, current and future product offerings, reimbursement and coverage, the expected benefits from our commercial arrangements with third parties, research and development costs, timing and likelihood of success, plans and objectives of management for future operations, our studies or clinical validations being predictive of actual use, our pipeline and potential growth, and profitability are forward-looking statements.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"aim," "potentially," "possible," "probable," "estimate," "continue," "anticipate," "intend," "could," "would," "project," "plan," "expect," "likely," "seek," and similar expressions that convey uncertainty of future events or outcomes, are intended to identify forward-looking statements.</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Annual Report, we use the metrics of Adjusted EBITDA, which is not calculated in accordance with generally accepted accounting principles in the United States and is a non-GAAP financial measure. Adjusted EBITDA excludes from net loss interest income (expense), depreciation and amortization expense, and stock-based compensation expense.</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3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We use our trademarks in this Annual Report as well as trademarks, tradenames and service marks that are the property of other organizations. Solely for convenience, certain trademarks and tradenames referred to in this Annual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4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unique biomarkers that empower clinicians to confidently and quickly diagnose various CTDs.</w:t>
      </w:r>
    </w:p>
    <w:p>
      <w:pPr>
        <w:spacing w:after="0" w:line="14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Since launching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have produced an extensive body of peer-reviewed literature supporting the test’s clinical validity and utility, demonstrating the importance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patient care.</w:t>
      </w:r>
    </w:p>
    <w:p>
      <w:pPr>
        <w:spacing w:after="0" w:line="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Beginning in late 2022, w</w:t>
      </w:r>
      <w:r>
        <w:rPr>
          <w:rFonts w:ascii="Arial" w:cs="Arial" w:eastAsia="Arial" w:hAnsi="Arial"/>
          <w:sz w:val="18"/>
          <w:szCs w:val="18"/>
          <w:color w:val="080808"/>
        </w:rPr>
        <w:t>e revitalized our organization with the addition of key members to our senior leadership team, including our Chief</w:t>
      </w:r>
      <w:r>
        <w:rPr>
          <w:rFonts w:ascii="Arial" w:cs="Arial" w:eastAsia="Arial" w:hAnsi="Arial"/>
          <w:sz w:val="18"/>
          <w:szCs w:val="18"/>
          <w:color w:val="auto"/>
        </w:rPr>
        <w:t xml:space="preserve"> </w:t>
      </w:r>
      <w:r>
        <w:rPr>
          <w:rFonts w:ascii="Arial" w:cs="Arial" w:eastAsia="Arial" w:hAnsi="Arial"/>
          <w:sz w:val="18"/>
          <w:szCs w:val="18"/>
          <w:color w:val="080808"/>
        </w:rPr>
        <w:t xml:space="preserve">Executive Officer, Chief Financial Officer, Vice President of Sales, Chief Medical Officer, and Medical and Laboratory Director. </w:t>
      </w:r>
      <w:r>
        <w:rPr>
          <w:rFonts w:ascii="Arial" w:cs="Arial" w:eastAsia="Arial" w:hAnsi="Arial"/>
          <w:sz w:val="18"/>
          <w:szCs w:val="18"/>
          <w:color w:val="000000"/>
        </w:rPr>
        <w:t>By leveraging</w:t>
      </w:r>
      <w:r>
        <w:rPr>
          <w:rFonts w:ascii="Arial" w:cs="Arial" w:eastAsia="Arial" w:hAnsi="Arial"/>
          <w:sz w:val="18"/>
          <w:szCs w:val="18"/>
          <w:color w:val="080808"/>
        </w:rPr>
        <w:t xml:space="preserve"> </w:t>
      </w:r>
      <w:r>
        <w:rPr>
          <w:rFonts w:ascii="Arial" w:cs="Arial" w:eastAsia="Arial" w:hAnsi="Arial"/>
          <w:sz w:val="18"/>
          <w:szCs w:val="18"/>
          <w:color w:val="000000"/>
        </w:rPr>
        <w:t xml:space="preserve">our team’s extensive experience to create clinically distinct solutions that improve patient lives, we </w:t>
      </w:r>
      <w:r>
        <w:rPr>
          <w:rFonts w:ascii="Arial" w:cs="Arial" w:eastAsia="Arial" w:hAnsi="Arial"/>
          <w:sz w:val="18"/>
          <w:szCs w:val="18"/>
          <w:color w:val="080808"/>
        </w:rPr>
        <w:t>have created a strong foundation for</w:t>
      </w:r>
      <w:r>
        <w:rPr>
          <w:rFonts w:ascii="Arial" w:cs="Arial" w:eastAsia="Arial" w:hAnsi="Arial"/>
          <w:sz w:val="18"/>
          <w:szCs w:val="18"/>
          <w:color w:val="000000"/>
        </w:rPr>
        <w:t xml:space="preserve"> </w:t>
      </w:r>
      <w:r>
        <w:rPr>
          <w:rFonts w:ascii="Arial" w:cs="Arial" w:eastAsia="Arial" w:hAnsi="Arial"/>
          <w:sz w:val="18"/>
          <w:szCs w:val="18"/>
          <w:color w:val="080808"/>
        </w:rPr>
        <w:t xml:space="preserve">growth and </w:t>
      </w:r>
      <w:r>
        <w:rPr>
          <w:rFonts w:ascii="Arial" w:cs="Arial" w:eastAsia="Arial" w:hAnsi="Arial"/>
          <w:sz w:val="18"/>
          <w:szCs w:val="18"/>
          <w:color w:val="000000"/>
        </w:rPr>
        <w:t>believe that we are well-positioned</w:t>
      </w:r>
      <w:r>
        <w:rPr>
          <w:rFonts w:ascii="Arial" w:cs="Arial" w:eastAsia="Arial" w:hAnsi="Arial"/>
          <w:sz w:val="18"/>
          <w:szCs w:val="18"/>
          <w:color w:val="080808"/>
        </w:rPr>
        <w:t xml:space="preserve"> to positively impact patient care and address unmet clinical needs in autoimmune disease</w:t>
      </w:r>
      <w:r>
        <w:rPr>
          <w:rFonts w:ascii="Arial" w:cs="Arial" w:eastAsia="Arial" w:hAnsi="Arial"/>
          <w:sz w:val="18"/>
          <w:szCs w:val="18"/>
          <w:color w:val="000000"/>
        </w:rPr>
        <w:t>.</w:t>
      </w:r>
      <w:r>
        <w:rPr>
          <w:rFonts w:ascii="Arial" w:cs="Arial" w:eastAsia="Arial" w:hAnsi="Arial"/>
          <w:sz w:val="18"/>
          <w:szCs w:val="18"/>
          <w:color w:val="080808"/>
        </w:rPr>
        <w:t xml:space="preserve"> </w:t>
      </w:r>
      <w:r>
        <w:rPr>
          <w:rFonts w:ascii="Arial" w:cs="Arial" w:eastAsia="Arial" w:hAnsi="Arial"/>
          <w:sz w:val="18"/>
          <w:szCs w:val="18"/>
          <w:color w:val="000000"/>
        </w:rPr>
        <w:t>We strive to become a partner of choice for doctors, hospitals, healthcare systems, and payors.</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have been executing an operational turnaround of the business, which has resulted in a return to revenue growth and gross margin expansion while significantly reducing operating expenses and cash burn. Comparing our financial results in fiscal 2024 to fiscal 2022, we have grown revenue by over 20%, expanded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trailing twelve-month average selling price by over 40%, improved gross margin by over 1,200 basis points, reduced operating expenses by over 30% and reduced net loss by nearly 70%. At the same time, we have nearly doubled our salesforce productivity and brought an intense focus to our Research and Development (R&amp;D) investments - resulting in a 45% reduction in related expenses and prioritization of near-term pipeline opportunities.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to deliver revenue growth and positive Adjusted EBITDA in the near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December 2024, we announced the completion of our 1,000,000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marking a significant milestone that underscores our dedication to supporting patients and clinicians managing CTDs and other rheumatic and autoimmune conditions.</w:t>
      </w:r>
    </w:p>
    <w:p>
      <w:pPr>
        <w:spacing w:after="0" w:line="14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In January 2025, we announced conditional approval by the New York State Department of Health (NYSDOH), and commercial launch, of our new SLE and RA biomarker assays on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platform. Collectively, we believe these new biomarkers will further improve the clinical utility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and provide clinicians with the information they need to definitively diagnose patients and shorten their autoimmune diagnostic journeys. We expect that the addition of these new biomarkers will lead to improvements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average selling price, gross margin expansion and increased demand while positioning us for profitability.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Market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testing products allow for the differential diagnosis, prognosis and monitoring of complex autoimmune and autoimmune-related diseases, including SLE and RA. We leverage our sales channel to primarily target the approximately 6,000 rheumatologists across the United States to promote use of our product portfolio.</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National Institute of Environmental Health Sciences estimates that there are over 40 million patients in the United States with suspected cases of autoimmune diseases. Autoimmune diseases encompass a broad range of serious, chronic and debilitating conditions in which a person’s immune system creates antibodies that mistakenly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react against normal healthy tissues, causing inflammation and irreversible tissue damage. Detection of these antibodies through blood tests can help diagnose, prognose and monitor the course of autoimmune diseases. However, knowing when to test and which autoantibody to test for is challenging due to the vagueness of symptoms, unexplained flaring and remission of symptoms, and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clinicians to more effectively diagnose complex autoimmune conditions such as lupus, rheumatoid arthritis, and Sjögren’s syndrome earlier and with greater accuracy, as compared to the current standard of care. Our laboratory specializes in the testing of rheumatic diseases, delivering precise and timely results through our full suite of AVISE</w:t>
      </w:r>
      <w:r>
        <w:rPr>
          <w:rFonts w:ascii="Arial" w:cs="Arial" w:eastAsia="Arial" w:hAnsi="Arial"/>
          <w:sz w:val="23"/>
          <w:szCs w:val="23"/>
          <w:color w:val="auto"/>
          <w:vertAlign w:val="superscript"/>
        </w:rPr>
        <w:t>®</w:t>
      </w:r>
      <w:r>
        <w:rPr>
          <w:rFonts w:ascii="Arial" w:cs="Arial" w:eastAsia="Arial" w:hAnsi="Arial"/>
          <w:sz w:val="18"/>
          <w:szCs w:val="18"/>
          <w:color w:val="auto"/>
        </w:rPr>
        <w:t>-branded tests for disease diagnosis, prognosis, and monitoring. With a focus on research, innovation, education, and patient-centered care, we are dedicated to addressing the ongoing challenges of autoimmune disease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Connective Tissue Diseases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which historically has been difficult to rule out, as well as other autoimmune-related diseases and other disorders that mimic these diseases, such as fibromyalgia.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Systemic Lupus Erythematosus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antibody (ANA), anti-double stranded DNA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According to a study published in 2022 by Dinse et al., which investigated the increasing prevalence of ANA in the United States using data from the National Health and Nutrition Examination Survey, approximately 0.7%–2.4%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the Dinse et al. study reported the estimated prevalence of a positive ANA test in the normal, healthy, U.S. population to be 16.1% (approximately 41.5 million people), indicating a significant need for a highly specific test for this disease.</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Anti-dsDNA are autoantibodies that target a person’s double-stranded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Many people with SLE have a negative anti-dsDNA antibody test, reaffirming the need for an effective testing product which adds clarity to the rheumatologist’s clinical assessment.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Rheumatoid Arthritis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approximately 135,000 and 2 million, respectively. Patients suffering from RA develop joint damage that is associated with painful inflammation and often progresses to irreversible damage of cartilage and bone, leading to significant disability and a reduction in quality of life and the ability to work.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18"/>
          <w:szCs w:val="18"/>
          <w:color w:val="auto"/>
        </w:rPr>
        <w:t>Diagnosis of RA involves performing a complete medical history review with physical and/or radiographic examination of the number and distribution of swollen, tender and painful joints that have persisted for more than six weeks. Laboratory testing for rheumatoid factor (RF), anti-cyclic citrullinated peptide (CCP) antibodies and testing for general, nonspecific inflammation with erythrocyte sedimentation rate (ESR) and C-reactive protein tests are used to assist in the diagnosis.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Early diagnosis and effective treatment of RA is critically important to prevent erosive bone or joint damage and disability. In effect, rheumatologists are compelled to reach a definitive diagnosis quickly and administer effective treatment.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address the unmet needs of those suffering from debilitating and chronic autoimmune disorders through aiding in differential diagnosis, prognosis and monitoring, to ultimately improve clinical outcomes for patients.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aim to become the standard of care in autoimmune disease testing. The key tenets of our business strategy include:</w:t>
      </w:r>
    </w:p>
    <w:p>
      <w:pPr>
        <w:spacing w:after="0" w:line="158" w:lineRule="exact"/>
        <w:rPr>
          <w:sz w:val="20"/>
          <w:szCs w:val="20"/>
          <w:color w:val="auto"/>
        </w:rPr>
      </w:pPr>
    </w:p>
    <w:p>
      <w:pPr>
        <w:jc w:val="both"/>
        <w:ind w:left="660" w:hanging="328"/>
        <w:spacing w:after="0" w:line="216" w:lineRule="auto"/>
        <w:tabs>
          <w:tab w:leader="none" w:pos="67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Expand adoption of our flagship product, AVISE</w:t>
      </w:r>
      <w:r>
        <w:rPr>
          <w:rFonts w:ascii="Arial" w:cs="Arial" w:eastAsia="Arial" w:hAnsi="Arial"/>
          <w:sz w:val="23"/>
          <w:szCs w:val="23"/>
          <w:u w:val="single" w:color="auto"/>
          <w:color w:val="auto"/>
          <w:vertAlign w:val="superscript"/>
        </w:rPr>
        <w:t>®</w:t>
      </w:r>
      <w:r>
        <w:rPr>
          <w:rFonts w:ascii="Arial" w:cs="Arial" w:eastAsia="Arial" w:hAnsi="Arial"/>
          <w:sz w:val="18"/>
          <w:szCs w:val="18"/>
          <w:i w:val="1"/>
          <w:iCs w:val="1"/>
          <w:color w:val="auto"/>
        </w:rPr>
        <w:t xml:space="preserve"> CTD. </w:t>
      </w:r>
      <w:r>
        <w:rPr>
          <w:rFonts w:ascii="Arial" w:cs="Arial" w:eastAsia="Arial" w:hAnsi="Arial"/>
          <w:sz w:val="18"/>
          <w:szCs w:val="18"/>
          <w:color w:val="auto"/>
        </w:rPr>
        <w:t>We have demonstrated a solid track record of commercial growth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believe we are uniquely positioned to continue expanding our commercial presence within the autoimmune disease market by leveraging our specialized sales force and expansive network of relationships with rheumatologists across the United States. Using our specialty laboratory focused on rheumatology, we plan to build upon industry-leading quality, service and technology to support strong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adoption while continuing to expand and improve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offering, grow our ordering physician base, and enhance our average reimbursement rates.</w:t>
      </w:r>
    </w:p>
    <w:p>
      <w:pPr>
        <w:spacing w:after="0" w:line="131" w:lineRule="exact"/>
        <w:rPr>
          <w:rFonts w:ascii="Arial" w:cs="Arial" w:eastAsia="Arial" w:hAnsi="Arial"/>
          <w:sz w:val="18"/>
          <w:szCs w:val="18"/>
          <w:color w:val="auto"/>
        </w:rPr>
      </w:pPr>
    </w:p>
    <w:p>
      <w:pPr>
        <w:jc w:val="both"/>
        <w:ind w:left="660" w:hanging="328"/>
        <w:spacing w:after="0" w:line="246"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Continue to develop innovative testing products, using clear criteria for R&amp;D projects and commercialization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our protein and molecular assay development capabilities, bioinformatic team and proprietary technologies to pursue the development of additional testing products designed to have superior clinical utility for rheumatic conditions. We undertake research projects that have the potential for impactful results and address the top consumer needs in the rheumatology space. The research projects we support are those that we believe will have a competitive advantage (such as using proprietary technology), a pathway for reimbursement and an established evidence development plan with sufficient market size. Criteria for developing products that we ultimately commercialize include Medicare coverage (specific to patient population), proprietary value-based pricing, published clinical utility and a strategy for medical guideline inclusion.</w:t>
      </w:r>
    </w:p>
    <w:p>
      <w:pPr>
        <w:spacing w:after="0" w:line="125" w:lineRule="exact"/>
        <w:rPr>
          <w:rFonts w:ascii="Arial" w:cs="Arial" w:eastAsia="Arial" w:hAnsi="Arial"/>
          <w:sz w:val="18"/>
          <w:szCs w:val="18"/>
          <w:b w:val="1"/>
          <w:bCs w:val="1"/>
          <w:i w:val="1"/>
          <w:iCs w:val="1"/>
          <w:color w:val="auto"/>
        </w:rPr>
      </w:pPr>
    </w:p>
    <w:p>
      <w:pPr>
        <w:jc w:val="both"/>
        <w:ind w:left="660" w:hanging="328"/>
        <w:spacing w:after="0" w:line="246" w:lineRule="auto"/>
        <w:tabs>
          <w:tab w:leader="none" w:pos="67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expansion and improved operating expense efficiencies through the implementation of certain internal initiatives, such as leveraging validation, utility and reimbursement-oriented clinical studies to facilitate payor coverage of our testing products. We center our efforts on long-term reimbursement and average sales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121" w:lineRule="exact"/>
        <w:rPr>
          <w:rFonts w:ascii="Arial" w:cs="Arial" w:eastAsia="Arial" w:hAnsi="Arial"/>
          <w:sz w:val="18"/>
          <w:szCs w:val="18"/>
          <w:b w:val="1"/>
          <w:bCs w:val="1"/>
          <w:i w:val="1"/>
          <w:iCs w:val="1"/>
          <w:color w:val="auto"/>
        </w:rPr>
      </w:pPr>
    </w:p>
    <w:p>
      <w:pPr>
        <w:jc w:val="both"/>
        <w:ind w:left="660"/>
        <w:spacing w:after="0" w:line="236"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also seek to improve our per-test costs by focusing on profitable, core test offerings, minimizing fixed costs and overhead, and focusing our laboratory resources 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optimization. Additionally, we employ a streamlined salesforce covering territories which are designed to achieve the most efficient and effective reach and frequency for the promotion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-3404235</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Technologies</w:t>
      </w:r>
    </w:p>
    <w:p>
      <w:pPr>
        <w:spacing w:after="0" w:line="15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believe the competitive advantage for our testing products is supported by two core proprietary technologies: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which incorporate Cell-Bound Complement Activation Products (CB-CAPs) for diagnosing SLE and a set of three biomarkers, the t-cell based CB-CAP TC4d, along with two t-cell antibodies, TIgG, and TIgM (the T-Cell Biomarkers), all of which are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w:t>
      </w:r>
    </w:p>
    <w:p>
      <w:pPr>
        <w:spacing w:after="0" w:line="10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which we offer as a stand-alone test and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platform, is a proprietary, patent-protected and clinically validated method to aid in the diagnosis of SLE that provides a significant improvement in sensitivity, relative to the current standard of care.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leverages CB-CAPs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 w:name="page8"/>
    <w:bookmarkEnd w:id="7"/>
    <w:p>
      <w:pPr>
        <w:jc w:val="both"/>
        <w:spacing w:after="0" w:line="244" w:lineRule="auto"/>
        <w:rPr>
          <w:sz w:val="20"/>
          <w:szCs w:val="20"/>
          <w:color w:val="auto"/>
        </w:rPr>
      </w:pPr>
      <w:r>
        <w:rPr>
          <w:rFonts w:ascii="Arial" w:cs="Arial" w:eastAsia="Arial" w:hAnsi="Arial"/>
          <w:sz w:val="18"/>
          <w:szCs w:val="18"/>
          <w:color w:val="auto"/>
        </w:rPr>
        <w:t>technology, which determines the blood levels of complement activated proteins permanently deposited on hematopoietic cells. Rheumatologists measure components of the complement system, including serum levels of C3 and C4, to help diagnose SLE and monitor SLE disease activity.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the availability of complement biomarkers combined with our proprietary algorithmic interpretations, as a support or replacement of standard C3 and C4 measures, is of great value for rheumatologists and their patients.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clinical validation study published in 2014 by Chaim Putterman, et al. (the 2014 Study), EC4d and BC4d showed 22% higher sensitivity (66%) than C3 and C4 (44%) in diagnosing SLE, with specificity fixed at 91%.</w:t>
      </w:r>
    </w:p>
    <w:p>
      <w:pPr>
        <w:spacing w:after="0" w:line="12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integrates EC4d and BC4d with eight autoantibodies to yield a quantitative and qualitative assessment of SLE risk.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was designed to improve upon the diagnostic sensitivity of conventional biomarkers used to diagnose SLE while maintaining a high degree of specificity. In the 2014 Study,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demonstrated 80% sensitivity for SLE (meaning eight out of ten diagnosed SLE patients tested positive) and 86% specificity for SLE (meaning 86% of non-SLE control subjects with other rheumatic conditions tested negative). A later study published in 2022 by Tyler O’Malley, et al., compared the clinical utility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to the conventional biomarker strategy in the diagnosis of SLE, demonstrating six-fold increased odds of SLE diagnosis and three-fold increased odds of treatment initiation with a positive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result. We believe this patent-protected platform gives us a significant advantage over our competitors.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CB-CAPs technology for diagnosing SLE has patent protection through March 2034.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T-Cell Biomarkers</w:t>
      </w:r>
    </w:p>
    <w:p>
      <w:pPr>
        <w:spacing w:after="0" w:line="16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collaborative efforts with the Allegheny Health Network Research Institute (AHN) have resulted in further development of the T-Cell Biomarkers, for which we obtained an exclusive, worldwide license from AHN in May 2021 and launched commercially in January 2025 as part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These biomarkers have been clinically validated, exhibit a high degree of specificity for lupus, are more sensitive for lupus compared to conventional biomarkers and serve as an enhancement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profile also included in the test. The TC4d test is patent protected through 2035, representing a proprietary expansion of CB-CAPs, involving a biochemical process wherein complement activation products are measured on T-cells.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10 commercialized tests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offering next-generation insights to aid the diagnosis, prognosis and monitoring of autoimmune conditions.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represents approximately 90% of our current annual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CTD (Including 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w:t>
      </w:r>
    </w:p>
    <w:p>
      <w:pPr>
        <w:spacing w:after="0" w:line="11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distinguishing overlapping symptoms and the differential diagnosis of a wide variety of CTDs and other diseases in one convenient blood draw. These diseases include SLE, RA, Sjögren’s syndrome, APS, other autoimmune-related diseases and other disorders that mimic these diseases, such as fibromyalgia. These conditions are often challenging to diagnose as a result of overlapping symptoms.</w:t>
      </w:r>
    </w:p>
    <w:p>
      <w:pPr>
        <w:spacing w:after="0" w:line="1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includes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 cornerstone of the SLE assessment.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begins by quantifying the level of CB-CAPs biomarkers (EC4d and BC4d) in the patient’s blood. These biomarkers are elevated in patients with SLE compared to patients with other CTDs. Next,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 w:name="page9"/>
    <w:bookmarkEnd w:id="8"/>
    <w:p>
      <w:pPr>
        <w:jc w:val="both"/>
        <w:ind w:right="20"/>
        <w:spacing w:after="0" w:line="264" w:lineRule="auto"/>
        <w:rPr>
          <w:sz w:val="20"/>
          <w:szCs w:val="20"/>
          <w:color w:val="auto"/>
        </w:rPr>
      </w:pPr>
      <w:r>
        <w:rPr>
          <w:rFonts w:ascii="Arial" w:cs="Arial" w:eastAsia="Arial" w:hAnsi="Arial"/>
          <w:sz w:val="18"/>
          <w:szCs w:val="18"/>
          <w:color w:val="auto"/>
        </w:rPr>
        <w:t>platform integrates these cell-bound complement products with 8 autoantibodies to yield a quantitative and qualitative assessment of SLE risk. In January 2025, we added three new unique T-Cell Biomarkers which provide enhanced sensitivity for SLE as compared to conventional SLE biomarkers and serve as a complement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profile.</w:t>
      </w:r>
    </w:p>
    <w:p>
      <w:pPr>
        <w:spacing w:after="0" w:line="3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 recent scientific abstract presented at the 2024 American College of Rheumatology (ACR) annual meeting, the combined T-Cell Biomarker panel was shown to capture a unique subset of SLE subjects otherwise testing negative for all conventional SLE biomarkers and the CB-CAPs biomarkers (EC4d and BC4d) already included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data, which showed that up to 50% of SLE subjects testing negative by conventional SLE biomarkers are identified as positive by one or more T-Cell Biomarker, has subsequently been published </w:t>
      </w:r>
      <w:r>
        <w:rPr>
          <w:rFonts w:ascii="Arial" w:cs="Arial" w:eastAsia="Arial" w:hAnsi="Arial"/>
          <w:sz w:val="18"/>
          <w:szCs w:val="18"/>
          <w:i w:val="1"/>
          <w:iCs w:val="1"/>
          <w:color w:val="auto"/>
        </w:rPr>
        <w:t>Frontiers in Immunology</w:t>
      </w:r>
      <w:r>
        <w:rPr>
          <w:rFonts w:ascii="Arial" w:cs="Arial" w:eastAsia="Arial" w:hAnsi="Arial"/>
          <w:sz w:val="18"/>
          <w:szCs w:val="18"/>
          <w:color w:val="auto"/>
        </w:rPr>
        <w:t xml:space="preserve"> (February 26, 2025).</w:t>
      </w:r>
    </w:p>
    <w:p>
      <w:pPr>
        <w:spacing w:after="0" w:line="1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cases of early inflammatory arthritis, differential diagnosis is broad, including conditions like reactive arthritis, crystal arthropathy, spondyloarthropathy, and other systemic rheumatic diseases such as SLE and Sjogren’s syndrome, alongside RA. Approximately 70% of RA patients show serological evidence of RA, identified by key biomarkers: anti-CCP and RF. The remaining 30% of patients, despite lacking these serological markers, are clinically diagnosed with RA (the Seronegative RA Subgroup); this subgroup is referred to as “seronegative RA.” These seronegative RA patients often face delays in diagnosis due to the absence of serological evidence. In January 2025, we added three unique biomarkers specific to seronegative RA—Anti-RA33 IgA, Anti-RA33 IgG and Anti-RA33 IgM (the RA Sub-Profile Biomarkers)— that help bridge this diagnostic gap and enable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to correctly identify a greater proportion of the traditional Seronegative RA Subgroup, allowing for more timely and targeted treatment plans for these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Tests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offer the following additional tests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344"/>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Test</w:t>
            </w:r>
          </w:p>
        </w:tc>
        <w:tc>
          <w:tcPr>
            <w:tcW w:w="6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Test Description</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Type</w:t>
            </w:r>
          </w:p>
        </w:tc>
      </w:tr>
      <w:tr>
        <w:trPr>
          <w:trHeight w:val="21"/>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 aids in both the diagnosis and management of APS, a hyper-coagulation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79"/>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state leading to thrombosis, pregnancy complications and even death. Rheumatologists</w:t>
            </w:r>
          </w:p>
        </w:tc>
        <w:tc>
          <w:tcPr>
            <w:tcW w:w="1240" w:type="dxa"/>
            <w:vAlign w:val="bottom"/>
            <w:tcBorders>
              <w:right w:val="single" w:sz="8" w:color="auto"/>
            </w:tcBorders>
          </w:tcPr>
          <w:p>
            <w:pPr>
              <w:spacing w:after="0"/>
              <w:rPr>
                <w:sz w:val="15"/>
                <w:szCs w:val="15"/>
                <w:color w:val="auto"/>
              </w:rPr>
            </w:pPr>
          </w:p>
        </w:tc>
      </w:tr>
      <w:tr>
        <w:trPr>
          <w:trHeight w:val="186"/>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6"/>
                <w:szCs w:val="16"/>
                <w:color w:val="auto"/>
              </w:rPr>
              <w:t>would typically request the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 test in patients who initially tested positive for</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one or more APS biomarkers contained in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CTD, or in the management of</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patients experiencing a high-risk pregnancy.</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9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Vasculitis AAV</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Vasculitis AAV utilizes a testing panel of individual analytes designed to provide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physicians with rapid and reliable results in the assessment and monitoring of anti-</w:t>
            </w:r>
          </w:p>
        </w:tc>
        <w:tc>
          <w:tcPr>
            <w:tcW w:w="1240" w:type="dxa"/>
            <w:vAlign w:val="bottom"/>
            <w:tcBorders>
              <w:right w:val="single" w:sz="8" w:color="auto"/>
            </w:tcBorders>
          </w:tcPr>
          <w:p>
            <w:pPr>
              <w:spacing w:after="0"/>
              <w:rPr>
                <w:sz w:val="16"/>
                <w:szCs w:val="16"/>
                <w:color w:val="auto"/>
              </w:rPr>
            </w:pPr>
          </w:p>
        </w:tc>
      </w:tr>
      <w:tr>
        <w:trPr>
          <w:trHeight w:val="175"/>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neutrophil cytoplasmic antibody (ANCA) associated vasculitis (AAV). AAV is a group of</w:t>
            </w:r>
          </w:p>
        </w:tc>
        <w:tc>
          <w:tcPr>
            <w:tcW w:w="1240" w:type="dxa"/>
            <w:vAlign w:val="bottom"/>
            <w:tcBorders>
              <w:right w:val="single" w:sz="8" w:color="auto"/>
            </w:tcBorders>
          </w:tcPr>
          <w:p>
            <w:pPr>
              <w:spacing w:after="0"/>
              <w:rPr>
                <w:sz w:val="15"/>
                <w:szCs w:val="15"/>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autoimmune diseases characterized by vascular inflammation and damage. Early signs</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symptoms vary greatly and are not always indicative of the severity of the disease.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Rapid and accurate testing is essential to prevent death and long-term disability.</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63"/>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Anti-Histone</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Anti-Histone is a test for autoantibodies to histone proteins commonly found in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62"/>
        </w:trPr>
        <w:tc>
          <w:tcPr>
            <w:tcW w:w="2480" w:type="dxa"/>
            <w:vAlign w:val="bottom"/>
            <w:tcBorders>
              <w:left w:val="single" w:sz="8" w:color="auto"/>
              <w:bottom w:val="single" w:sz="8" w:color="auto"/>
              <w:right w:val="single" w:sz="8" w:color="auto"/>
            </w:tcBorders>
          </w:tcPr>
          <w:p>
            <w:pPr>
              <w:spacing w:after="0"/>
              <w:rPr>
                <w:sz w:val="14"/>
                <w:szCs w:val="14"/>
                <w:color w:val="auto"/>
              </w:rPr>
            </w:pPr>
          </w:p>
        </w:tc>
        <w:tc>
          <w:tcPr>
            <w:tcW w:w="6600" w:type="dxa"/>
            <w:vAlign w:val="bottom"/>
            <w:tcBorders>
              <w:bottom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drug induced lupus and SLE patients.</w:t>
            </w:r>
          </w:p>
        </w:tc>
        <w:tc>
          <w:tcPr>
            <w:tcW w:w="1240" w:type="dxa"/>
            <w:vAlign w:val="bottom"/>
            <w:tcBorders>
              <w:bottom w:val="single" w:sz="8" w:color="auto"/>
              <w:right w:val="single" w:sz="8" w:color="auto"/>
            </w:tcBorders>
          </w:tcPr>
          <w:p>
            <w:pPr>
              <w:spacing w:after="0"/>
              <w:rPr>
                <w:sz w:val="14"/>
                <w:szCs w:val="14"/>
                <w:color w:val="auto"/>
              </w:rPr>
            </w:pPr>
          </w:p>
        </w:tc>
      </w:tr>
      <w:tr>
        <w:trPr>
          <w:trHeight w:val="29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Prognostic</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Prognostic is a panel of autoantibodies that have established predictive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value for assessing the potential for complications affecting the kidney, brain and</w:t>
            </w:r>
          </w:p>
        </w:tc>
        <w:tc>
          <w:tcPr>
            <w:tcW w:w="1240" w:type="dxa"/>
            <w:vAlign w:val="bottom"/>
            <w:tcBorders>
              <w:right w:val="single" w:sz="8" w:color="auto"/>
            </w:tcBorders>
          </w:tcPr>
          <w:p>
            <w:pPr>
              <w:spacing w:after="0"/>
              <w:rPr>
                <w:sz w:val="16"/>
                <w:szCs w:val="16"/>
                <w:color w:val="auto"/>
              </w:rPr>
            </w:pPr>
          </w:p>
        </w:tc>
      </w:tr>
      <w:tr>
        <w:trPr>
          <w:trHeight w:val="175"/>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cardiovascular system, including lupus nephritis, lupus psychosis, strokes and heart</w:t>
            </w:r>
          </w:p>
        </w:tc>
        <w:tc>
          <w:tcPr>
            <w:tcW w:w="1240" w:type="dxa"/>
            <w:vAlign w:val="bottom"/>
            <w:tcBorders>
              <w:right w:val="single" w:sz="8" w:color="auto"/>
            </w:tcBorders>
          </w:tcPr>
          <w:p>
            <w:pPr>
              <w:spacing w:after="0"/>
              <w:rPr>
                <w:sz w:val="15"/>
                <w:szCs w:val="15"/>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attacks  related  to  lupus.  Rheumatologists  rely  on  insights  from  the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 test to help tailor their treatment approach.</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9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Anti-CarP</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Anti-CarP, is a biomarker-driven RA prognostic test, offered through a distribution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agreement with Werfen USA, LLC to help identify RA patients with an increased risk for</w:t>
            </w:r>
          </w:p>
        </w:tc>
        <w:tc>
          <w:tcPr>
            <w:tcW w:w="1240" w:type="dxa"/>
            <w:vAlign w:val="bottom"/>
            <w:tcBorders>
              <w:right w:val="single" w:sz="8" w:color="auto"/>
            </w:tcBorders>
          </w:tcPr>
          <w:p>
            <w:pPr>
              <w:spacing w:after="0"/>
              <w:rPr>
                <w:sz w:val="16"/>
                <w:szCs w:val="16"/>
                <w:color w:val="auto"/>
              </w:rPr>
            </w:pPr>
          </w:p>
        </w:tc>
      </w:tr>
      <w:tr>
        <w:trPr>
          <w:trHeight w:val="224"/>
        </w:trPr>
        <w:tc>
          <w:tcPr>
            <w:tcW w:w="2480" w:type="dxa"/>
            <w:vAlign w:val="bottom"/>
            <w:tcBorders>
              <w:left w:val="single" w:sz="8" w:color="auto"/>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joint damage.</w:t>
            </w:r>
          </w:p>
        </w:tc>
        <w:tc>
          <w:tcPr>
            <w:tcW w:w="1240" w:type="dxa"/>
            <w:vAlign w:val="bottom"/>
            <w:tcBorders>
              <w:bottom w:val="single" w:sz="8" w:color="auto"/>
              <w:right w:val="single" w:sz="8" w:color="auto"/>
            </w:tcBorders>
          </w:tcPr>
          <w:p>
            <w:pPr>
              <w:spacing w:after="0"/>
              <w:rPr>
                <w:sz w:val="19"/>
                <w:szCs w:val="19"/>
                <w:color w:val="auto"/>
              </w:rPr>
            </w:pPr>
          </w:p>
        </w:tc>
      </w:tr>
      <w:tr>
        <w:trPr>
          <w:trHeight w:val="29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 is a blood test that employs CB-CAPs technology and is intended to</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assess the condition of a patient that has been diagnosed with SLE.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w:t>
            </w:r>
          </w:p>
        </w:tc>
        <w:tc>
          <w:tcPr>
            <w:tcW w:w="1240" w:type="dxa"/>
            <w:vAlign w:val="bottom"/>
            <w:tcBorders>
              <w:right w:val="single" w:sz="8" w:color="auto"/>
            </w:tcBorders>
          </w:tcPr>
          <w:p>
            <w:pPr>
              <w:spacing w:after="0"/>
              <w:rPr>
                <w:sz w:val="16"/>
                <w:szCs w:val="16"/>
                <w:color w:val="auto"/>
              </w:rPr>
            </w:pPr>
          </w:p>
        </w:tc>
      </w:tr>
      <w:tr>
        <w:trPr>
          <w:trHeight w:val="175"/>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offers additional insight into a patient’s disease activity as well as possible adverse</w:t>
            </w:r>
          </w:p>
        </w:tc>
        <w:tc>
          <w:tcPr>
            <w:tcW w:w="1240" w:type="dxa"/>
            <w:vAlign w:val="bottom"/>
            <w:tcBorders>
              <w:right w:val="single" w:sz="8" w:color="auto"/>
            </w:tcBorders>
          </w:tcPr>
          <w:p>
            <w:pPr>
              <w:spacing w:after="0"/>
              <w:rPr>
                <w:sz w:val="15"/>
                <w:szCs w:val="15"/>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events.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 may be utilized by patients multiple times a year and</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throughout their lives.</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310"/>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MTX</w:t>
            </w:r>
          </w:p>
        </w:tc>
        <w:tc>
          <w:tcPr>
            <w:tcW w:w="6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MTX is a patented and validated blood test that precisely measures blood levels</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methotrexate polyglutamates (MTXPG), the active metabolite of methotrexate linked to</w:t>
            </w:r>
          </w:p>
        </w:tc>
        <w:tc>
          <w:tcPr>
            <w:tcW w:w="1240" w:type="dxa"/>
            <w:vAlign w:val="bottom"/>
            <w:tcBorders>
              <w:right w:val="single" w:sz="8" w:color="auto"/>
            </w:tcBorders>
          </w:tcPr>
          <w:p>
            <w:pPr>
              <w:spacing w:after="0"/>
              <w:rPr>
                <w:sz w:val="16"/>
                <w:szCs w:val="16"/>
                <w:color w:val="auto"/>
              </w:rPr>
            </w:pPr>
          </w:p>
        </w:tc>
      </w:tr>
      <w:tr>
        <w:trPr>
          <w:trHeight w:val="175"/>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disease control in RA patients. Methotrexate is the most widely prescribed drug by</w:t>
            </w:r>
          </w:p>
        </w:tc>
        <w:tc>
          <w:tcPr>
            <w:tcW w:w="1240" w:type="dxa"/>
            <w:vAlign w:val="bottom"/>
            <w:tcBorders>
              <w:right w:val="single" w:sz="8" w:color="auto"/>
            </w:tcBorders>
          </w:tcPr>
          <w:p>
            <w:pPr>
              <w:spacing w:after="0"/>
              <w:rPr>
                <w:sz w:val="15"/>
                <w:szCs w:val="15"/>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rheumatologists in the treatment of RA. Measuring MTXPGs allows rheumatologists to</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identify patients presenting with inadequate exposure to methotrexate, enabling them to</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optimize dosing and achieve therapeutic levels commensurate with adequate disease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control.</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9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HCQ</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HCQ is a blood test designed to help rheumatologists objectively monitor levels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hydroxychloroquine (HCQ), in whole blood as they treat patients with SLE and other</w:t>
            </w:r>
          </w:p>
        </w:tc>
        <w:tc>
          <w:tcPr>
            <w:tcW w:w="1240" w:type="dxa"/>
            <w:vAlign w:val="bottom"/>
            <w:tcBorders>
              <w:right w:val="single" w:sz="8" w:color="auto"/>
            </w:tcBorders>
          </w:tcPr>
          <w:p>
            <w:pPr>
              <w:spacing w:after="0"/>
              <w:rPr>
                <w:sz w:val="16"/>
                <w:szCs w:val="16"/>
                <w:color w:val="auto"/>
              </w:rPr>
            </w:pPr>
          </w:p>
        </w:tc>
      </w:tr>
      <w:tr>
        <w:trPr>
          <w:trHeight w:val="176"/>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CTDs, including RA. HCQ is typically prescribed to patients to control SLE disease</w:t>
            </w:r>
          </w:p>
        </w:tc>
        <w:tc>
          <w:tcPr>
            <w:tcW w:w="1240" w:type="dxa"/>
            <w:vAlign w:val="bottom"/>
            <w:tcBorders>
              <w:right w:val="single" w:sz="8" w:color="auto"/>
            </w:tcBorders>
          </w:tcPr>
          <w:p>
            <w:pPr>
              <w:spacing w:after="0"/>
              <w:rPr>
                <w:sz w:val="15"/>
                <w:szCs w:val="15"/>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activity and prevent flares.</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Reports</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portfolio of testing products deliver meaningful insights to healthcare providers around the diagnosis, prognosis, and monitoring of CTDs.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delivers a comprehensive assessment of CTDs via some of the most specific and sensitive biomarkers in the industry. This information is delivered within an easy-to-understand test report, typically provided to rheumatologists within five business days of specimen receipt. As shown below,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displays a graphical representation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results, along with an accompanying interpretation describing the likelihood of the presence of lupus. Subsequent pages contain results for other biomarkers spanning across a broad number of disease states, conveniently grouped to assist providers in making confident, accurate and timely treatment decisions.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report facilitates discussion of results with patients due to its intuitive structure and content.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AVISE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7149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7149465"/>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7192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19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7192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19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regularly confer with national experts in the clinical management of rheumatic autoimmune diseases to help guide the organization’s leadership team on the design and execution of research projects, as well as weigh-in on known and anticipated advances in technologies affecting clinical management of rheumatic and other autoimmune diseases. We believe there is significant potential to capitalize on our proprietary technologies by integrating with commercially validated biomarkers to develop testing products with superior clinical utility, on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own or through collaboration with partners. We have prioritized the following pipeline opportunities: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PAD4 Biomarkers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Citrullination is a post-translation modification in which the amino acid arginine is converted to citrulline, altering protein structure and increasing the potential for autoimmunity. This process is central to the pathogenesis of RA, where an aberrant immune response against citrullinated proteins contributes to chronic inflammation and joint damage. Peptidyl arginine deiminase 4 (PAD4) is a key enzyme in this process, and autoantibodies targeting PAD4 (anti-PAD4 IgG and IgA) have been increasingly recognized for their potential clinical relevance in RA.</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anti-citrullinated protein antibodies (ACPA) and RF are the primary serologic markers for RA, a subset of patients classified as seronegative RA lack these conventional biomarkers, reflecting an unmet need for a test that captures the Seronegative RA Subgroup. Emerging evidence suggests that anti-PAD4 antibodies may serve as novel diagnostic biomarkers for RA, particularly in these unique seronegative cases.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Beyond the potential diagnostic utility, anti-PAD4 autoantibodies have been associated with more severe disease phenotypes, including greater joint erosion and extra-articular involvement, further underscoring their relevance in RA pathogenesis. Ongoing research aims to better define their role in early detection, disease activity stratification, and prognosis, particularly in distinguishing RA from other autoimmune and inflammatory arthritides.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SLE Disease Activity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leveraging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SLE is characterized by a chronic, systemic inflammatory burden, and disease progression is defined by the accumulation of irreversible organ damage typically resulting from chronic inflammation and/or chronic corticosteroid use. Among the challenges for rheumatologists responsible for the care of lupus patients is the unpredictability of the disease course defined by periods of waxing and waning episodes of inflammation. The unpredictable nature of SLE and the lack of reliable conventional biomarkers indicative of present and near-term disease activity results in a significant unmet need for a surrogate method to monitor disease activity. Our goal is to leverage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 Disease Activity</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leveraging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RA is a chronic inflammatory disorder typically affecting multiple peripheral joints in a symmetrical pattern leading to progressive changes in bone and cartilage that causes pain, swelling, and eventually loss of joint function. RA is thought to affect 1% of the general population and is typically diagnosed in a person’s 40s and 50s. The management of RA involves routine follow up visits where physical signs and symptoms are evaluated and typically inflammatory biomarkers (C-reactive protein or erythrocyte sedimentation rate) are performed as a general indicator of inflammatory load. The conventional approach to inflammatory assessment is non-specific and therefore suffers from both a lack of sensitivity and specificity which limits their utility for gauging actively treatable inflammation or assessing treatment response. Accordingly, there is an unmet need for an objective surrogate of on-target RA disease activity that can be used to inform clinical decision-making in the form of treatment escalation or escalation based on risk of disease activity assessed at regular intervals.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Lupus Nephritis Biomarkers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color w:val="auto"/>
        </w:rPr>
        <w:t>We are leveraging our intellectual property licensed from Johns Hopkins University (JHU) to develop a test for detecting protein analytes in urine that can aid rheumatologists in the ongoing management and risk stratification of patients suffering from Lupus Nephritis (LN).</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LN is an autoimmune disease and a frequent complication in people who have SLE. It causes the immune system to produce proteins called autoantibodies that attack the body's own tissues and organs, including the kidneys. If left untreated, LN can lead to significant health problems, permanent kidney damage and even death. Early diagnosis and treatment are key to managing LN and to preventing it from escalating. Although early onset of LN is not typically noticeable by patients, nearly 40% of SLE patients go on to develop LN.</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Currently, urinary protein to creatine ratio measurement is the standard means of assessing kidney involvement. However, it is not necessarily indicative of kidney prognosis or treatment response. At the 2024 ACR annual meeting, data was presented by our academic collaborators at JHU demonstrating meaningful progress towards the development of a non-invasive urinary protein biomarker panel. In advance of the 2024 ACR annual meeting a provisional patent application was filed to patent methods of using a multitude of urinary protein biomarkers to predict LN treatment response at 12 months post-treatment, inflammatory kidney activity, kidney damage, and long-term kidney function.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Kidney Damage Biomarkers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kidneys are affected in up to 40% of SLE patients. Nephritis is a major contributor to SLE morbidity and prevention and minimization of kidney damage is one of the most important goals of early anti-inflammatory therapy in these patients. Current methods for assessment of kidney involvement/damage are limited to serum creatinine, its derivative, estimated GRF (eGFR), measurement of the protein to creatinine ratio in urine (UPCR) and histologic examination of kidney biopsies. eGFR is insensitive for early-stage disease, UPCR lacks specificity and biopsies are regionally variable and highly invasive with attendant risks. We have developed a four-protein blood -based panel, which sensitively detects kidney damage in early LN and diabetic nephropathy which significantly outperforms creatinine and eGFR. A provisional patent application was filed in November 2024 for methods of detecting kidney damage using the blood-based panel. We expect to make this panel available through Pharma collaborations in early 2025 prior to releasing commercially through our clinical lab.</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employ a specialized sales force focused on targeting the approximately 6,000 rheumatologists across the United States. Our sales representatives generally have extensive experience in healthcare sales with backgrounds in rheumatology, diagnostics and/or pharmaceutical sales. In addition, our sales representatives complete a comprehensive disease-level sales training program and are required to participate in regular, ongoing training activities and certifications. Our goal is for our sales representative to be viewed as a collaborative resource to the rheumatologists and their practice.</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field-based sales force is organized into 40 territories within the following five regions: West, Central, Northeast, Southeast and Mid-Atlantic. We anticipate adding new territories during 2025, in a measured fashion. We also maintain an inside sales force that helps further our access to rheumatologists located in rural and outlying areas of the United States and works to increase our brand awareness with healthcare providers in these areas. We continually evaluate our sales force's reach and frequency of interactions with rheumatologists, including as we launch our pipeline products. Our specialized sales force and marketing activities are further augmented by our centralized, dedicated client services department. Our client services department uses its high level of technical training to enhance sales efficiency and customer satisfaction by providing personalized customer support.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and Growth through Quality Testing and Service</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focus on quality allows for a dedicated sales approach based on a commitment to understanding the needs of both provider and patient. By raising awareness of the benefits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provides, our sales team is able to deliver quality testing and support services to providers, and ultimately, their patients. To ensure our marketing and sales efforts are reaching those that we believe could benefit most from AVISE</w:t>
      </w:r>
      <w:r>
        <w:rPr>
          <w:rFonts w:ascii="Arial" w:cs="Arial" w:eastAsia="Arial" w:hAnsi="Arial"/>
          <w:sz w:val="23"/>
          <w:szCs w:val="23"/>
          <w:color w:val="auto"/>
          <w:vertAlign w:val="superscript"/>
        </w:rPr>
        <w:t>®</w:t>
      </w:r>
      <w:r>
        <w:rPr>
          <w:rFonts w:ascii="Arial" w:cs="Arial" w:eastAsia="Arial" w:hAnsi="Arial"/>
          <w:sz w:val="18"/>
          <w:szCs w:val="18"/>
          <w:color w:val="auto"/>
        </w:rPr>
        <w:t>, we emphasize execution in three core areas: targeting, messaging and call frequency. We strategically target the highest-potential practices by utilizing various data sources (e.g., market analytics, demographic data, historical therapeutic usage and diagnostic product trends). Furthermore, we believe the increased access afforded by our testing products will allow for patient-focused messaging and the increased accuracy of our testing products over current standard of care diagnostic methodologies. Finally, we execute a high-frequency promotional strategy for our top-targeted rheumatologists and their office personnel to build knowledge, understanding and retention of the benefits of our testing products.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jc w:val="both"/>
        <w:spacing w:after="0" w:line="235"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and medical societies, such as the ACR. We have also established strong relationships with multiple rheumatology care management organizations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Super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source of revenue for our products is reimbursement from third-party payors and client bill arrangements. Third-party payors include government payors (such as Medicare and Medicaid) and commercial payors (such as insurance companies). Achieving and maintaining broad coverage and reimbursement from third-party payors, including Medicare, for our commercialized and pipeline products is a key determinant of our revenue, financial results and future growth.</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actively engaged in efforts to achieve broad commercial coverage and reimbursement for our current and future products, including contracting with commercial payors. Achieving positive coverage reduces the need for appeals and reduces failures to collect from the patient’s insurance. Additionally, achieving in-network contracts with commercial payors can shorten the time required to receive payments. Our approach to commercial payment is centered on working toward inclusion in clinical guidelines and individual payor medical policies. We seek to accomplish this through continued evidence development and publication, medical director engagement and individual claim-based appeal efforts, detailed as follows:</w:t>
      </w:r>
    </w:p>
    <w:p>
      <w:pPr>
        <w:spacing w:after="0" w:line="136" w:lineRule="exact"/>
        <w:rPr>
          <w:sz w:val="20"/>
          <w:szCs w:val="20"/>
          <w:color w:val="auto"/>
        </w:rPr>
      </w:pPr>
    </w:p>
    <w:p>
      <w:pPr>
        <w:jc w:val="both"/>
        <w:ind w:left="660" w:hanging="328"/>
        <w:spacing w:after="0" w:line="245" w:lineRule="auto"/>
        <w:tabs>
          <w:tab w:leader="none" w:pos="683"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Meet the evidence standards necessary to be consistent with leading clinical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payors’ coverage decisions. In order to change clinical guidelines, tests must carry a high level of published evidence demonstrating analytical validity, clinical validity, clinical utility and cost-effectiveness. When studies with such evidence are published in peer-reviewed journals and demonstrate performance superior to standard of care testing, the authors of clinical guidelines may assess the level of evidence and determine whether modifying existing guidelines to include new technology is warranted.</w:t>
      </w:r>
    </w:p>
    <w:p>
      <w:pPr>
        <w:spacing w:after="0" w:line="136" w:lineRule="exact"/>
        <w:rPr>
          <w:rFonts w:ascii="Arial" w:cs="Arial" w:eastAsia="Arial" w:hAnsi="Arial"/>
          <w:sz w:val="18"/>
          <w:szCs w:val="18"/>
          <w:color w:val="auto"/>
        </w:rPr>
      </w:pPr>
    </w:p>
    <w:p>
      <w:pPr>
        <w:jc w:val="both"/>
        <w:ind w:left="660" w:hanging="328"/>
        <w:spacing w:after="0" w:line="247" w:lineRule="auto"/>
        <w:tabs>
          <w:tab w:leader="none" w:pos="67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Execute an internal managed care policy and claims adjudication function as part of our core business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to and anticipates the changing needs of our customer base. Overall, we work to address payors at the national level in addition to high-claim-volume regional payors we have identified based on our current territory coverage.</w:t>
      </w:r>
    </w:p>
    <w:p>
      <w:pPr>
        <w:spacing w:after="0" w:line="122" w:lineRule="exact"/>
        <w:rPr>
          <w:rFonts w:ascii="Arial" w:cs="Arial" w:eastAsia="Arial" w:hAnsi="Arial"/>
          <w:sz w:val="18"/>
          <w:szCs w:val="18"/>
          <w:color w:val="auto"/>
        </w:rPr>
      </w:pPr>
    </w:p>
    <w:p>
      <w:pPr>
        <w:jc w:val="both"/>
        <w:ind w:left="660" w:hanging="328"/>
        <w:spacing w:after="0" w:line="252" w:lineRule="auto"/>
        <w:tabs>
          <w:tab w:leader="none" w:pos="67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Cultivate a network of key opinion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have contracts for reimbursement with a limited number of commercial payors, we are actively pursuing favorable medical policies and additional commercial payor contracts. When we contract to serve as a participating provider, reimbursements are made pursuant to a percentage of our charges or a negotiated fee schedule amount. For in-network and out-of-network claims for which we are not reimbursed in full (or receive a claim denial), we may elect to appeal the insurer’s underpayment (or denial of payment) or seek payment from the patient.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5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Additionally, the results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was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33% more specific than ANA (53% specificity/89% sensitivity) and 48% more sensitive than anti-dsDNA (32% sensitivity/97% specificity).</w:t>
      </w:r>
    </w:p>
    <w:p>
      <w:pPr>
        <w:spacing w:after="0" w:line="158"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as a predictor of the 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 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the addition of the novel T-Cell SLE biomarker panel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we demonstrated the clinical validity of T Cell-bound autoantibodies (TIgG and TIgM) and C4d-bound CD3+ T Cells (TC4d) in a multi-center clinical validation study of 400 clinically characterized patients. The study aimed to evaluate the panel’s performance in differentiating SLE from non-SLE autoimmune rheumatic diseases (ARDs) and healthy individuals. At 94–95% clinical specificity for SLE vs. healthy individuals, the sensitivity (95% CI) for SLE was 58.1% (48.1– 67.7%) for TC4d, 31.4% (22.7–41.2%) for TIgG, and 29.5% (21.0–39.2%) for TIgM. Notably, the T Cell biomarkers identified 19% of diagnosed SLE patients who were negative for all conventional SLE biomarkers and our CB-CAPs (EC4d and BC4d). Compared to conventional SLE biomarkers (anti-dsDNA, anti-Smith, and serum complement proteins C3 &amp; C4), the novel T Cell biomarkers demonstrated significantly greater sensitivity for SLE (64% vs. 41%; p &lt; 0.001, g = 0.6), with an associated odds ratio of 3.7 (95% CI: 4.9–98.8). These findings support the added clinical value of T Cell biomarkers in enhancing the sensitivity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for SLE.</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addition of anti-RA33 autoantibodies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was supported by clinical validation data demonstrating their added sensitivity in seronegative rheumatoid arthritis (RA)—patients clinically diagnosed with RA but testing negative for anti-CCP and Rheumatoid Factor (IgA/IgM). A study involving 651 clinically characterized subjects (290 RA patients, 261 ARD controls, and 100 healthy subjects) with diagnostic cutoffs established at 98% specificity for RA vs. healthy individuals and 95% specificity vs. ARDs, resulted in sensitivities for anti-RA33 IgA, IgG, and IgM of 6.0%, 6.2%, and 17.7%, respectively. Notably, 12% (13/109) of seronegative RA patients were positive for at least one anti-RA33 isotype, demonstrating their additive clinical value.</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an internal validation study of 377 clinically characterized subjects (101 seronegative RA, 60 seropositive RA, 143 ARDs, and 73 healthy controls), we established cutoffs at 95%, 96%, and 99% specificity for IgA, IgM, and IgG, respectively. The combined sensitivity in seronegative RA was 16%, with specificity exceeding 90% for RA vs. ARD controls, except for IgG in RA vs. SLE (85%) and IgA/IgM in RA vs. psoriatic arthritis (86%). Collectively, these findings support the inclusion of anti-RA33 autoantibodies in the RA sub-panel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comprehensive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have collaborated with both academic and community clinicians to demonstrate the clinical utility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tests in physician diagnosis, impact on patient management decisions, patient reported outcomes and health economics.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8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showed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(EQ5D-5L index score) from enrollment to visit two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7" w:name="page18"/>
    <w:bookmarkEnd w:id="17"/>
    <w:p>
      <w:pPr>
        <w:jc w:val="both"/>
        <w:spacing w:after="0" w:line="201" w:lineRule="auto"/>
        <w:rPr>
          <w:sz w:val="20"/>
          <w:szCs w:val="20"/>
          <w:color w:val="auto"/>
        </w:rPr>
      </w:pPr>
      <w:r>
        <w:rPr>
          <w:rFonts w:ascii="Arial" w:cs="Arial" w:eastAsia="Arial" w:hAnsi="Arial"/>
          <w:sz w:val="18"/>
          <w:szCs w:val="18"/>
          <w:color w:val="auto"/>
        </w:rPr>
        <w:t>In July 2021, a real-world retrospective analysis of patients tested with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tested patients from 12 rheumatology centers across the United States provided clinical outcome data on diagnosis and treatment decisions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The study findings revealed a seven to 15-fold increased risk of Lupus diagnosis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relative to patients negative for both tests. In addition,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were at three to four-fold increased odds, relative to patients testing negative for both tests, of starting a new HCQ (cornerstone therapy for Lupus) prescription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Collectively, the study results affirm earlier study findings demonstrating the superior clinical utility and actionability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standard diagnostic testing for the differential diagnosis of Lupus.</w:t>
      </w:r>
    </w:p>
    <w:p>
      <w:pPr>
        <w:spacing w:after="0" w:line="12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can enable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6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$ 2.0 million ($ 1,991 per patient). In addition, the study findings from the economic model estimated a $0.7 million dollar savings in total cost of care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a conventional SLE biomarker testing approach, as a result of the increased diagnostic sensitivity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leading to fewer in-patient hospitalization costs. On a per tested basis,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estimated to reduce total cost of care by $655 per eligible patient in the first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square-foot laboratory located in Vista, California.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California and all states requiring out-of-state licensure, including the NYSDOH. Our clinical laboratory typically reports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results within five business days.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that our existing laboratory facility is adequate to meet our business needs for at least the next 12 months and that additional laboratory space will be available on commercially reasonable terms, if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quality assurance function oversees the quality of our laboratory operations. We have established oversight for systems implementation and maintenance procedures, document control processes, supplier qualification,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8"/>
          <w:szCs w:val="18"/>
          <w:color w:val="auto"/>
        </w:rPr>
        <w:t>preventive and/or corrective actions and employee training processes that we believe achieve excellence in operations. We continuously monitor and improve our processes and procedures and believe this high-quality service leads to customer satisfaction and retention.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traditional methods used by healthcare providers to test patients with CTD-like symptoms are the main competitors of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Such traditional methods include testing for a broad range of diagnostic, immunology and chemistry biomarkers, such as ANA and anti-dsDNA, and serum complement biomarkers, such as C3 and C4. We 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Aqtual, Inc. Other potential competitors include companies that might develop diagnostic, disease or drug monitoring products, such as AMPEL BioSolutions, LLC; DxTerity Diagnostics, Inc.; Genalyte Inc.; Immunovia AB; Oncimmune Holdings plc; and Progentec Diagnostics Inc. In the future, we may also face competition from companies developing new products or technologies.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in addition to greater selling and marketing capabilities. Others may develop products with prices lower than ours or have preferred network status that could be viewed by rheumatologists and payors as functionally equivalent to our solution or offer solutions at prices designed to promote market penetration. If we are unable to change clinical practice in a meaningful way or compete successfully against current and future competitors, we may be unable to increase market acceptance and sales of our products, which could prevent us from increasing our revenue or achieving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of December 31, 2024, we had a total of 209 employees: 203 full-time employees and </w:t>
      </w:r>
      <w:r>
        <w:rPr>
          <w:rFonts w:ascii="Times New Roman" w:cs="Times New Roman" w:eastAsia="Times New Roman" w:hAnsi="Times New Roman"/>
          <w:sz w:val="18"/>
          <w:szCs w:val="18"/>
          <w:color w:val="auto"/>
        </w:rPr>
        <w:t>6</w:t>
      </w:r>
      <w:r>
        <w:rPr>
          <w:rFonts w:ascii="Arial" w:cs="Arial" w:eastAsia="Arial" w:hAnsi="Arial"/>
          <w:sz w:val="18"/>
          <w:szCs w:val="18"/>
          <w:color w:val="auto"/>
        </w:rPr>
        <w:t xml:space="preserve"> part-time employees. This includes 57 in laboratory operations, 13 in research and development, 59 in sales and marketing and 74 in general and administrative functions. All of our employees are located in the United States, none of which are represented by a labor union or covered by a collective bargaining agreement. We consider relations with our employees to be good.</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retaining and expanding our workforce, as needed, to support our current pipeline and future business goals. By focusing on employee retention and engagement, we improve our ability to support our business operations and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efforts to ensure our employees' voices are heard.</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employees. We plan to continue to refine our efforts related to optimizing our use of human capital as we grow, including improvements in the way we hire, develop, motivate and retain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or other inventions that are important to the development of our business. Our success will depend on our ability to obtain and maintain patent and other proprietary protection for commercially important technology, inventions and know-how related to our business. It will also depend on our ability to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three aspects: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platform and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As of February 21, 2025, our portfolio primarily consisted of the following: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 Platform</w:t>
      </w:r>
    </w:p>
    <w:p>
      <w:pPr>
        <w:spacing w:after="0" w:line="10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own five issued U.S. patents (US 10,132,813, US 11,360,099, US 11,531,033, US 11,761,965, and US 11,885,812), three U.S. nonprovisional patent applications, and six foreign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 foreign patents have issued in Europe (EP2972365), China (CN105229470), and Japan (JP6453299). These patents cover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algorithm. The patents expire between 2032 and 2034.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TC4d, TIgG and TIgM Biomarkers</w:t>
      </w:r>
    </w:p>
    <w:p>
      <w:pPr>
        <w:spacing w:after="0" w:line="1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licensed one issued patent (US 9,709,564) that relates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 A foreign patent application has been filed in Brazil (BR112017002575 2). These patents cover a method of specifically diagnosing SLE through the combined use of a CB-CAP bound to a t-cell along with t-cell autoantibodies. The U.S. patent expires in 2035.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5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own two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include U.S. Patent Nos. 7,582,282 and 7,695,908, which are expected to expire in 2026 and 2027,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 and Processes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2011, we entered into an amended and restated exclusive license agreement (the UPitt License Agreement) with the University of Pittsburgh (UPitt), through which we obtained an exclusive license to UPitt’s patent rights in certain inventions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agreement, we were required to pay UPitt a low single-digit royalty on net sales of products or services that utilized the UPitt Patent Rights sold by us or our affiliates, subject to minimum annual royalty payments and other adjustment in certain circumstances. The UPitt License Agreement terminated on March 23, 2024, which was the date of the expiration of the last licensed patent covering the applicable licensed product or service, and our royalty obligations for cash collections related to each licensed product or service ended on such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Allegheny Health Network Research Institute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2021, we entered into an exclusive license agreement with AHN, as amended in January 2025, under which we obtained an exclusive, worldwide license to AHN's patent rights in certain inventions (the AHN Patent Rights) related to diagnostics for autoimmune rheumatic diseases.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U.S. government with respect to the AHN Patent Rights, including under a funding agreement between AHN and the U.S. government and under the Bayh-Dole Act of 1980 (Bayh-Dole Act) (35 U.S.C. §200, et seq.). Pursuant to the Bayh-Dole Act, the U.S. government may acquire a nonexclusive, nontransferable, paid-up license to practice or have practiced for or on behalf of the U.S. government the inventions described in the AHN Patent Rights throughout the world.</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AHN to cover past patent expenses and agreed to pay future direct patent costs related to AHN Patent Rights. We were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 commercialization, or the earlier termination of the agreement (excluding payment obligations accruing prior to such termination).</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event we sublicense any of the AHN Patent Rights, we are obligated to pay AHN a mid-double-digit percentage of any sublicense income, whether in the form of royalties or sub-license fees.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AHN Patent Rights. If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terminate the agreement upon 60-day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2025, we amended the amended and restated exclusive license agreement with AHN to include additional terms regarding the sale by us of certain combination products under the AHN Patent Rights. Under the amendment, we are required to pay AHN a nominal royalty on net sales of combination products utilizing the T-Cell Biomarkers under the AHN Patent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Johns Hopkins University</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November 2023, we entered into an exclusive license agreement with JHU, under which we obtained an exclusive, worldwide license to JHU’s patent rights in certain inventions (the JHU Patent Rights) related to methods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of using urinary protein biomarkers as a means of risk stratifying lupus nephritis patients and predicting treatment response.</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agreement, we are permitted to make, use, import, export, offer and sell products and services utilizing the JHU Patent Rights and to sublicense such rights, subject to certain limitations. JHU retained the right to practice under the JHU Patent Rights and to use such rights for teaching, research, education, public service, clinical and other research related purposes; in addition to make, use and sell products and services to a qualified humanitarian organization for humanitarian purposes in so-called “least developed countries,” as defined by the United Nations Country Classification.</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consideration for the rights granted to us under the agreement, we paid an initial license fee and past patent expenses and agreed to pay future direct patent costs related to the JHU Patent Rights. Under the terms of the exclusive license agreement, we are required to pay royalties in the low single-digits on net sales of products using the assigned patents, subject to annual minimums, as well as certain milestone payments.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event we sublicense any of the JHU Patent Rights, we are obligated to pay JHU a double-digit percentage of sublicensing income; however, royalties we receive on sales made by sublicensees will be treated as if we made the sale.</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JHU Patent Rights, and we have agreed to meet certain development and commercial milestones. JHU may terminate the agreement if we fail to develop, commercialize and sell the licensed products. Additionally, JHU may terminate the agreement for cause upon 60-day written notice in the event of our nonperformance of any of our material obligations under the agreement if such nonperformance remains uncured for a certain period of time following our receipt of written notice of such nonperformance or in the event of insolvency. JHU may terminate the agreement immediately upon written notice to Exagen in the event of a material breach that is incapable of cure. Absent early termination, the agreement will continue for the longer of (i) expiration of the last to expire patent included in the license agreement, (ii) 10 years after the first commercial sale of any licensed product utilizing the JHU Patent Rights, or (iii) if no patents issue, 20 years from the effective date of the agreement (November 8, 2023). We may terminate the agreement upon 90 days’ advance written notice to JHU.</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Collaboration Agreement with Queen Mary University of London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2021, we entered into an exclusive license agreement with Queen Mary University of London (QMUL), under which we obtained an exclusive license to QMUL's patent-pending inventions (the QMUL Patent Rights), related to diagnosis and/or development of diagnostic or companion diagnostics for RA. We terminated this agreement with QMUL in September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clinical laboratory, we are required to hold certain federal, state and local licenses, certifications and permits to conduct our business.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color w:val="auto"/>
        </w:rPr>
        <w:t>Our Vista facility also holds a state license issued by the California Department of Public Health (DPH). California law and regulations establish standards for the day-to-day operation of a clinical laboratory, including the training 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Because we receive specimens from New York, our Vista facility is also required to be licensed by the NYSDOH New York laws and regulations establish standards in a variety of operational areas, including:</w:t>
      </w:r>
    </w:p>
    <w:p>
      <w:pPr>
        <w:spacing w:after="0" w:line="8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day-to-day operation of the laboratory, including training, supervision and skill levels required of laboratory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or outside of New York. If a laboratory is out of compliance with New York's statutory or regulatory standards, the NYSDOH, may suspend, limit, revoke or annul the laboratory’s New York license, censure the holder of the license or assess civil money penalties. Statutory or regulatory noncompliance may result in a laboratory’s operator being found guilty of a misdemeanor under New York law. New York's law and regulations are more stringent than CLIA in certain respects. For example, NYSDOH must approve a laboratory developed test (LDT) before it is offered in New York. We have received written approval from NYSDOH to offer our products in New York.</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 and Certain Devices</w:t>
      </w:r>
    </w:p>
    <w:p>
      <w:pPr>
        <w:spacing w:after="0" w:line="15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We perform our tests like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assays in our Vista, California clinical laboratory, and although the performance of such tests is primarily regulated under CLIA, as administered by CMS, as well as by applicable state laws, as described above, the FDA has in recently promulgated regulations asserted its authority over the safety and efficacy of such laboratory developed tests (LDTs), including through pre-market review, and the controls necessary to maintain assay quality.</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U.S. Food and Drug Administration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18"/>
          <w:szCs w:val="18"/>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Class III devices, are subject to general controls, such as registration and listing, quality system, labeling, and reporting requirements.</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including facility inspections and market surveillance.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3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Although the FDA had historically statutory authority to assure that medical devices, including IVDs, are safe and effective for their intended uses, the FDA has generally exercised its enforcement discretion and not enforced applicable device regulations with respect to LDTs, which are IVDs that are designed, manufactured and used within a single high-complexity CLIA-certified laboratory.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 However, in May 2024, the FDA issued a final rule aimed at regulating LDTs under the current medical device framework and phasing out its existing enforcement discretion policy for this category of diagnostic tests; the final rule became effective on July 5, 2024. The LDT enforcement policy phase-out process will occur in gradual stages over a total period of four years, with pre-market approval applications for high-risk tests to be submitted by the 3.5-year mark. Moderate-risk and low-risk tests are expected to be in compliance at the 4-year mark, although FDA has stated it will continue to exercise enforcement discretion with respect to tests that are the subject of pre-market submissions that are pending review. The FDA’s final rule and proposed phase-out process is complex and, concurrently, the agency announced several exceptions from the requirement to comply with full medical device regulatory controls, depending upon the specific nature of the LDT and the clinical laboratory that is offering such LDT for use by healthcare providers. We have begun the process of evaluating the final rule’s potential impact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our operations, and our business more generally.</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Publication of the LDT final rule prompted the American Clinical Laboratory Association (ACLA) and one of its members, on May 29, 2024, as well as the Association for Molecular Pathology (AMP) and one of its members, on August 19, 2024, to file complaints against the FDA in the Eastern District of Texas and the Southern District of Texas, respectively. Both complaints allege that the agency does not have authority to promulgate the LDT final rule and seek to vacate the FDA’s action; the two cases were subsequently consolidated into a single action pending in the Eastern District of Texas. Briefing is ongoing in the consolidated case and the outcome is uncertain. The ongoing litigation could potentially affect the FDA’s plans to implement these new LDT requirements, making the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 Following the transition to the new Trump administration, it is unclear whether the Executive Branch of the U.S. government will continue to defend the FDA’s rulemaking action in the consolidated litigation in Texas or if it will take steps to rescind or modify the LDT final rule. 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applicable to LDTs and other IVDs, making it unclear whether any legislative efforts would be successful going forward. The outcome of the November 2024 elections on the composition of the 2025-2026 Congress, with both the Senate and House transitions to Republican control, also creates uncertainties for the diagnostic industry.</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Even though we presently commercialize our tests as LDTs, the FDA may disagree that our marketed tests are within the scope of its current enforcement discretion criteria for LDTs, our tests may in the future become subject to more onerous regulation by the FDA. If and when the FDA begins to actively enforce its premarket submission regulations with respect to LDTs generally or to our tests in particular, whether as a result of new legislative authority or under the May 2024 LDT final rule, depending upon the risk classification of each individual test, we may be required to obtain premarket clearance for our diagnostic assays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tests and testing services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also conducted and may in the future conduct research studies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and our other tests in development that involve clinical investigators and human subjects (or stored specimens from human subjects) at sites in the United States. We may need to conduct additional clinical trials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investigational device presents a “significant risk,” as defined by the FDA, the agency requires the device sponsor to submit an investigational device exemption application (IDE) to the FDA. The exemption must become effective prior to commencing human clinical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patient. An IDE must be supported by appropriate non-clinical data, such as animal and laboratory test results, showing that the device has a safety profile appropriate for human testing and that the trial protocol is scientifically sound. The IDE will automatically become effective 30 days after receipt by the FDA, unless the FDA expressly approves or denies the application in writing or notifies the sponsor that the investigation is on hold and may not begin until the sponsor provides supplemental information about the investigation that satisfies the agency’s concerns. If the FDA determines that there are deficiencies or other concerns with an IDE that require modification of the trial, the FDA may permit a clinical trial to proceed under a conditional approval or the sponsor and the FDA must resolve any outstanding concerns before the clinical trial can begin. If the device presents a non-significant risk to the patient according to criteria established by FDA as part of the IDE regulations, a sponsor may begin the clinical trial after obtaining approval for the trial by one or more IRBs without separate authorization from the FDA, but must still comply with abbreviated IDE requirements, such as monitoring the investigation, ensuring that the investigators obtain informed consent, and labeling and record-keeping requirements.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18"/>
          <w:szCs w:val="18"/>
          <w:color w:val="auto"/>
        </w:rPr>
        <w:t>In the Consolidated Appropriations Act for 2023, Congress amended the FDCA to require the sponsor of any pivotal clinical trial that will be used to demonstrate the safety and effectiveness of a medical device marketing authorization submission to develop a diversity action plan for such trial, and if submission of an IDE application is required, to submit such diversity action plan to the FDA. The action plan must include the sponsor’s diversity goals for enrollment, as well as a rationale for the goals and a description of how the sponsor will meet them. The FDA may grant a waiver for some or all of the requirements for a diversity action plan. It is unknown at this time how the diversity action plan may affect device pivotal clinical trial planning and timing, but if FDA objects to a sponsor’s diversity action plan and requires the sponsor to amend the plan or take other actions, it may delay trial initiation.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of Laboratory Services or LDTs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Advertising for laboratory services and diagnostic testing products is subject to federal truth-in-advertising laws enforced by the Federal Trade Commission (FTC), as well as comparable state consumer protection laws, whether or not such services are regulated by the FDA as Class I or Class II devices or not directly subject to enforcement discretion with respect to the FDA’s device requirements as LDTs. Under the Federal Trade Commission Act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of 1933 (PORA), and other comparable state laws. The Stark Law generally prohibits us from billing Medicare or Medicaid for certain designated health services, including clinical laboratory services, when the physician ordering the service, or any member of such physician’s immediate family, has a financial relationship with us, unless the arrangement meets an exception to the prohibition. A financial relationship can be a compensation arrangement or an ownership or investment interest.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1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refunds of amounts collected in violation of the Stark Law;</w:t>
      </w:r>
    </w:p>
    <w:p>
      <w:pPr>
        <w:spacing w:after="0" w:line="171" w:lineRule="exact"/>
        <w:rPr>
          <w:rFonts w:ascii="Arial" w:cs="Arial" w:eastAsia="Arial" w:hAnsi="Arial"/>
          <w:sz w:val="18"/>
          <w:szCs w:val="18"/>
          <w:color w:val="auto"/>
        </w:rPr>
      </w:pPr>
    </w:p>
    <w:p>
      <w:pPr>
        <w:jc w:val="both"/>
        <w:ind w:left="660" w:right="20" w:hanging="328"/>
        <w:spacing w:after="0" w:line="253"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penalties of up to three times the amounts assessed for each item or service wrongfully claimed;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Stark Law applies regardless of any intent by the parties to induce or reward referrals or the reasons for the financial relationship and the referral. In addition, violations of the Stark Law may also serve as the basis for liability under the federal False Claims Act, which can result in additional civil penalties.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Similarly, PORA makes it unlawful for a physician or certain other healing arts licensees to refer a person for certain healthcare services, including clinical laboratory services, if the licensee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or exception, it is deemed to comply with the Anti-Kickback Statute, and the parties are immune from prosecution. An arrangement must fully comply with each element of an applicable safe harbor in order to qualify for protection.</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Failure to meet the requirements of an exception or a safe harbor does not render an arrangement illegal. Rather, the government may evaluate such arrangements on a case-by-case basis, taking into account all facts and circumstances.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Healthcare Laws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the requirements discussed above, several other healthcare fraud and abuse laws could have an effect on our business. For example, federal law permits the U.S. Department of Health and Human Services (HHS) Office of Inspector General (OIG),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provisions. Because the complaint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8"/>
          <w:szCs w:val="18"/>
          <w:color w:val="auto"/>
        </w:rPr>
        <w:t>significant per-claim civil penalties, as well as mandatory exclusion from government healthcare programs. Several states, including California, have enacted comparable false claims laws that may apply regardless of payor.</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noted, a person who offers or provides to a Medicare or Medicaid beneficiary any remuneration, including waivers of co-payments, co-insurance and deductible amounts (or any part thereof), that the person knows or should know is likely to influence the beneficiary’s selection of a particular provider, practitioner or supplier of Medicare or Medicaid payable items or services may be held liable under the CMP Law. Moreover, in certain cases, providers who routinely waive amounts owed by federal healthcare program beneficiaries can also be held liable under the Anti-Kickback Statute and the federal False Claims Act. One of the exceptions to the prohibition under the CMP Law covers non-routine, unadvertised waivers of copayments or deductible amounts based on individualized determinations of financial need or exhaustion of reasonable collection efforts, and the Anti-Kickback Statute has a safe harbor. The HHS OIG has emphasized in guidance documents that this exception should only be used on a case-by-case basis to address the financial needs of each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Federal criminal statutes prohibit, among other actions, knowingly and willfully executing, or attempting to execute, a scheme to defraud any healthcare benefit program, including those administered by commercial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advanced non-physician healthcare practitioners (such as nurse practitioners), and teaching hospitals, as well as ownership and investment interests held by physicians and their immediate family members. Any failure to comply with these reporting requirements could result in significant fines and penalties. Because we manufacture our own in vitro diagnostic tests solely for use by or within our own laboratory, we believe that we are exempt from these reporting requirements. We may become subject to such reporting requirements under the terms of current CMS regulations, however, if the FDA requires us to obtain marketing authorizations for our diagnostic tests as medical devices (whether because the agency determines that one or more of such tests do not fall within the scope of the agency’s existing LDT definition or because of its recently issued final rule to exercise authority over LDTs as medical devices) or Congress enacts legislative reforms to the federal oversight of LDTs to subject them to FDA regulation and/or the reporting requirements of the Sunshine Act. It is presently unknown how CMS will respond to the recently finalized FDA policy change to effectively render all LDTs medical device products under federal law, and whether or when it will assert that the Sunshine Act’s reporting requirements will begin to apply to the manufacturers of such LDTs. Given that litigation is ongoing between members of the clinical laboratory industry and FDA/HHS in relation to the May 2024 LDT final rule, it may be many months or even years before we have clarity on the applicability of state and federal Sunshine Act laws to our business. Certain states also require medical device manufacturers to maintain compliance programs and/or be licensed as manufacturers or distributors by a state professional board or health department. Because the FDA’s now-in-effect final rule renders a clinical laboratory like ours a “medical device manufacturer,” we have begun the process of evaluating whether and to what extent those kinds of medical device-specific state requirements may be applicable to our operations.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that require the party that performed the service to bill for the service, with certain exceptions.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market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 Additionally, 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Administrative Simplification provisions of the federal Health Insurance Portability and Accountability Act of 1996 (HIPAA), as amended by the federal Health Information Technology for Economic and Clinical Health Act (HITECH) the U.S. Department of HHS has issued regulations that established comprehensive federal standards for the privacy and security of health information. HITECH,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HIPAA security standards require the adoption of administrative, physical, and technical safeguards and the adoption of written security policies and procedures to maintain the security of PHI. Also, federal agencies are increasing their focus on the importance of cybersecurity in protecting health information. For example, HHS outlined its cybersecurity strategy for the health care sector on December 6, 2023, which builds on a national strategy published by the White House on March 1, 2023, and on February 16, 2024, the HHS Office for Civil Rights (OCR) and the National Institute of Standards and Technology (NIST) announced the publication of a cybersecurity resource guide for implementing HIPAA.</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HIPAA privacy regulations address the privacy of PHI by limiting the use and release of such information. They also set forth certain rights that an individual has with respect to an individual’s PHI maintained by a covered entity, including the right to access or amend certain records containing PHI, request an accounting of disclosures of PHI, and to request restrictions on the use or disclosure of PHI. The HIPAA breach notification regulations impose certain reporting requirements on Covered Entities and their Business Associates in the event of a breach of PHI.</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Covered Entities must report breaches of PHI that has not been encrypted or otherwise secured in accordance with guidance from the Secretary of HHS (the Secretary). Breaches must be reported as soon as reasonably practicable, but no later than sixty days following discovery of the breach. Reports must be made to affected individuals,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jc w:val="both"/>
        <w:ind w:right="20"/>
        <w:spacing w:after="0" w:line="287" w:lineRule="auto"/>
        <w:rPr>
          <w:sz w:val="20"/>
          <w:szCs w:val="20"/>
          <w:color w:val="auto"/>
        </w:rPr>
      </w:pPr>
      <w:r>
        <w:rPr>
          <w:rFonts w:ascii="Arial" w:cs="Arial" w:eastAsia="Arial" w:hAnsi="Arial"/>
          <w:sz w:val="18"/>
          <w:szCs w:val="18"/>
          <w:color w:val="auto"/>
        </w:rPr>
        <w:t>Secretary, and depending on the size of the breach, the local and national media. Covered Entities like us are also subject to the HHS HIPAA audit program and may be investigated in connection with a privacy or data security complaint.</w:t>
      </w:r>
    </w:p>
    <w:p>
      <w:pPr>
        <w:spacing w:after="0" w:line="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Significant civil and criminal fines and other penalties may be imposed for violating HIPAA directly, and in connection with acts or omissions of any agents, including downstream business associates, as determined according to the federal common law of agency. Penalties for failure to comply with a requirement of HIPAA and HITECH vary significantly depending on the failure and include civil monetary penalties of up to approximately $2.1 million per violation of the same requirement per calendar year (as of August 8, 2024, subject to annual inflation adjustments). A single breach incident can violate multiple requirements, resulting in potential penalties in excess of $ 2.1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 to the extent that we submit electronic healthcare claims and payment transactions that do not comply with the transaction standards established under HIPAA and HITECH, payments to us may be delayed or denied.</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or deceptive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CMIA, California adopted the California Consumer Privacy Act of 2018 (CCPA), which went into effect January 1, 2020. The CCPA, among other things, created new data privacy obligations for covered companies and provides new privacy rights to California residents, including the right to opt out of certain disclosures of their information. It also created individual privacy rights for California consumers and increased the privacy and security obligations of entities handling certain categories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such as Colorado, Connecticut, Delaware, Florida, Indiana, Iowa, Kentucky, Maryland, Montana, Nebraska, New Hampshire, New Jersey, Oregon, Rhode Island, Tennessee, Texas, Utah, and Virginia have enacted their own omnibus consumer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jc w:val="both"/>
        <w:ind w:right="20"/>
        <w:spacing w:after="0" w:line="287" w:lineRule="auto"/>
        <w:rPr>
          <w:sz w:val="20"/>
          <w:szCs w:val="20"/>
          <w:color w:val="auto"/>
        </w:rPr>
      </w:pPr>
      <w:r>
        <w:rPr>
          <w:rFonts w:ascii="Arial" w:cs="Arial" w:eastAsia="Arial" w:hAnsi="Arial"/>
          <w:sz w:val="18"/>
          <w:szCs w:val="18"/>
          <w:color w:val="auto"/>
        </w:rPr>
        <w:t>privacy laws similar to the CCPA, and other states are considering proposals for such laws, all of which increases the complexity of compliance and the risk of failures to comply.</w:t>
      </w:r>
    </w:p>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Numerous other federal and state laws, including consumer protection laws and regulations, govern the collection, dissemination, use, access to, confidentiality and security of patient health information. For example, Washington state recently enacted the “My Health My Data” Act which regulates a broad category called “consumer health data,” defined as “personal information that is linked or reasonably linkable to a consumer and that identifies a consumer’s past, present, or future physical or mental health.” Notably, the “My Health My Data” Act contains a private right of action, which is expected to increase litigation.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Many states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 state or federal laws regarding privacy or security, could result in civil and/or criminal penalties and damages and could have a material adverse effect on our business.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Also, more than thirty states regulate artificial intelligence (AI) or are considering proposed legislation that would regulate AI. Generally, such regulations aim to protect individuals such as consumers, employees, and/or job applicants from bias, discrimination, and invasion of privacy and to promote transparency with respect to use of AI by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Blocking Rules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"disincentives" for violations of the Information Blocking Rule. HHS and ONC released a final rule establishing disincentives for health care providers that have committed information blocking on June 24, 2024, potentially affecting certain providers’ eligibility in the Medicare Promoting Interoperability Program and Medicare Shared Savings Program. HHS indicated it may establish additional health care provider disincentives in future rulemaking.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United States, Europe and elsewhere are often uncertain, contradictory and in flux. In Europe, the General Data Protection Regulation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8"/>
          <w:szCs w:val="18"/>
          <w:color w:val="auto"/>
        </w:rPr>
        <w:t>data and pseudonymized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(EU), and European Economic Area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w:t>
      </w:r>
    </w:p>
    <w:p>
      <w:pPr>
        <w:spacing w:after="0" w:line="1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Court of Justice of the EU invalidated the Privacy Shield when it decided the case Maximilian Schrems vs. Facebook (Case C-311-18), known as “Schrems II.” However, 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Schrems II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and uncertainty surrounding the continuing independence of the redress mechanism in the United States could lead the EU to revisit or withdraw its adequacy decision.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with the U.K. GDPR sits alongside the amended U.K. Data Protection Act 2018, retains the GDPR in U.K. national law. Under the U.K. GDPR, companies not established in the United Kingdom but who process personal data in relation to the offering of goods or services to individuals in the United Kingdom, or to monitor their behavior will be subject to the U.K. GDPR—the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w:t>
      </w:r>
    </w:p>
    <w:p>
      <w:pPr>
        <w:spacing w:after="0" w:line="139" w:lineRule="exact"/>
        <w:rPr>
          <w:sz w:val="20"/>
          <w:szCs w:val="20"/>
          <w:color w:val="auto"/>
        </w:rPr>
      </w:pPr>
    </w:p>
    <w:p>
      <w:pPr>
        <w:ind w:right="5040"/>
        <w:spacing w:after="0" w:line="422" w:lineRule="auto"/>
        <w:rPr>
          <w:sz w:val="20"/>
          <w:szCs w:val="20"/>
          <w:color w:val="auto"/>
        </w:rPr>
      </w:pPr>
      <w:r>
        <w:rPr>
          <w:rFonts w:ascii="Arial" w:cs="Arial" w:eastAsia="Arial" w:hAnsi="Arial"/>
          <w:sz w:val="18"/>
          <w:szCs w:val="18"/>
          <w:b w:val="1"/>
          <w:bCs w:val="1"/>
          <w:color w:val="auto"/>
        </w:rPr>
        <w:t xml:space="preserve">Billing and Government Reimbursement for Clinical Laboratory Services </w:t>
      </w:r>
      <w:r>
        <w:rPr>
          <w:rFonts w:ascii="Arial" w:cs="Arial" w:eastAsia="Arial" w:hAnsi="Arial"/>
          <w:sz w:val="18"/>
          <w:szCs w:val="18"/>
          <w:i w:val="1"/>
          <w:iCs w:val="1"/>
          <w:color w:val="auto"/>
        </w:rPr>
        <w:t>Medicare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Medicare coverage is limited to items and services within the scope of a Medicare benefit category that are reasonable and necessary for the diagnosis or treatment of an illness or injury. With respect to Medicare coverage, Palmetto GBA, the Medicare Administrative Contractor (MAC) responsible for administering Medicare’s molecular diagnostic services program (MolDX Program), issued a Local Coverage Determination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(Noridian), has adopted Palmetto’s positive coverage policy, along with a related local coverage article that identifies a unique billing identifier for this test.</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Medicare, payment for our laboratory tests is generally made under the Clinical Laboratory Fee Schedule (CLFS) with payment amounts assigned to specific procedure billing codes. In April 2014, Congress passed the Protecting Access to Medicare Act (PAMA), which substantially changed the way in which Medicare sets the payment amounts for clinical laboratory services. Under PAMA, laboratories that receive the majority of their Medicare revenue from payments made under the CLFS or the Physician Fee Schedule (PFS) are required to report to CMS, beginning in 2017 and every three years thereafter (or annually for "advanced diagnostic laboratory tests" (ADLTs)),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jc w:val="both"/>
        <w:spacing w:after="0" w:line="238"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(CDLTs) are based upon these reported private payor rates. For CDLTs assigned a new or substantially revised Current Procedural Terminology (CPT), because there is no comparable existing CDLT, CMS will set the initial payment rates using the gap-fill methodology, as under prior law. Initial payment rates for new ADLTs will be based on the actual list charge. Any reductions to payment rates resulting from the new methodology are limited to up to 10% per test per year in each of the years 2018 through 2020. As noted below, federal law has delayed implementation of further reductions until 2025, at which time the reduction cap will rise to 15% per test per year. PAMA did not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2024 compared to levels experienced in 2023. Additionally, we do not expect PAMA and changes to the PFS will not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2025 compared to levels experienced in 2024.</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Since December 2019, Congress has passed a series of laws to modify PAMA’s statutory requirements related to the data reporting period and phase-in of payment reductions under the CLFS or CDLTs that are not ADLTs. Most recently, on September 26, 2024, Section 221 of the Continuing Appropriations and Extensions Act, 2025, was passed, and it delayed data reporting requirements for CDLTs that are not ADLTs as well as the phase-in of payment reductions. The next data reporting period for CDLTs that are not ADLTs will be January 1, 2026 through March 31, 2026, and will be based on the original data collection period of January 1, 2019 through June 30, 2019. After this data reporting period, the three-year data reporting cycle for these tests will resume (e.g., 2028, 2031, etc.).</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same series of laws modified the phase-in of payment reductions resulting from private payor rate implementation so that a 0.0% reduction limit was applied for calendar years (CYs) 2021 through 2024, as compared to the payment amounts for a test the preceding year. The Further Continuing Appropriations and Other Extensions Act, 2025, further applied a 0.0% reduction limit for CY 2025. Consequently, payment may not be reduced by more than 15% per year for CYs 2026 through 2028 as compared to the payment amounts established for a test the prior year.</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PAMA also authorized the adoption of new, temporary billing codes and unique test identifiers for FDA-cleared or approved tests, as well as ADLTs. The American Medical Association's (AMA) CPT Editorial Panel approved a proposal to create a new section of billing codes called Proprietary Laboratory Analyses (PLA) codes, to facilitate implementation of this section of PAMA. The AMA publishes approved codes on a quarterly basis.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parties, such as commercial payors,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Failing to bill timely or correctly may have negative consequences for us, such as not being reimbursed for our services or experiencing an increase in the aging of our accounts receivable, which could adversely impact our results of operations and cash flows. Failure to comply with applicable laws relating to billing federal healthcare programs could also lead to various penalties, including:</w:t>
      </w:r>
    </w:p>
    <w:p>
      <w:pPr>
        <w:spacing w:after="0" w:line="1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3" w:name="page34"/>
    <w:bookmarkEnd w:id="33"/>
    <w:p>
      <w:pPr>
        <w:jc w:val="both"/>
        <w:spacing w:after="0" w:line="248" w:lineRule="auto"/>
        <w:rPr>
          <w:sz w:val="20"/>
          <w:szCs w:val="20"/>
          <w:color w:val="auto"/>
        </w:rPr>
      </w:pPr>
      <w:r>
        <w:rPr>
          <w:rFonts w:ascii="Arial" w:cs="Arial" w:eastAsia="Arial" w:hAnsi="Arial"/>
          <w:sz w:val="18"/>
          <w:szCs w:val="18"/>
          <w:color w:val="auto"/>
        </w:rPr>
        <w:t>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Since inception, we have disposed of all hazardous and/or medical waste that we produced across our entire business through environmentally sound methods.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Directors and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currently serve as the directors and executive officers of Exagen: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Directors and Executive Officers</w:t>
            </w:r>
          </w:p>
        </w:tc>
        <w:tc>
          <w:tcPr>
            <w:tcW w:w="778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9"/>
              </w:rPr>
              <w:t>Executive Officers</w:t>
            </w:r>
          </w:p>
        </w:tc>
        <w:tc>
          <w:tcPr>
            <w:tcW w:w="198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John Aballi</w:t>
            </w:r>
          </w:p>
        </w:tc>
        <w:tc>
          <w:tcPr>
            <w:tcW w:w="77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G. Black</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and Corporate Secretary</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Tina Nova, Ph.D.</w:t>
            </w:r>
          </w:p>
        </w:tc>
        <w:tc>
          <w:tcPr>
            <w:tcW w:w="7780" w:type="dxa"/>
            <w:vAlign w:val="bottom"/>
          </w:tcPr>
          <w:p>
            <w:pPr>
              <w:ind w:left="220"/>
              <w:spacing w:after="0"/>
              <w:rPr>
                <w:sz w:val="20"/>
                <w:szCs w:val="20"/>
                <w:color w:val="auto"/>
              </w:rPr>
            </w:pPr>
            <w:r>
              <w:rPr>
                <w:rFonts w:ascii="Arial" w:cs="Arial" w:eastAsia="Arial" w:hAnsi="Arial"/>
                <w:sz w:val="18"/>
                <w:szCs w:val="18"/>
                <w:color w:val="auto"/>
              </w:rPr>
              <w:t>Executive Chairman of the Board of Directors</w:t>
            </w: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77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Directors</w:t>
            </w:r>
          </w:p>
        </w:tc>
        <w:tc>
          <w:tcPr>
            <w:tcW w:w="77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 Hooker</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Chief Laboratory Officer, Exact Sciences Corporation</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Scott Kahn, Ph.D.</w:t>
            </w:r>
          </w:p>
        </w:tc>
        <w:tc>
          <w:tcPr>
            <w:tcW w:w="7780" w:type="dxa"/>
            <w:vAlign w:val="bottom"/>
          </w:tcPr>
          <w:p>
            <w:pPr>
              <w:ind w:left="220"/>
              <w:spacing w:after="0"/>
              <w:rPr>
                <w:sz w:val="20"/>
                <w:szCs w:val="20"/>
                <w:color w:val="auto"/>
              </w:rPr>
            </w:pPr>
            <w:r>
              <w:rPr>
                <w:rFonts w:ascii="Arial" w:cs="Arial" w:eastAsia="Arial" w:hAnsi="Arial"/>
                <w:sz w:val="18"/>
                <w:szCs w:val="18"/>
                <w:color w:val="auto"/>
              </w:rPr>
              <w:t>Director, Rady Children's Institute for Genomic Medicine</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Kim</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Fulgent Genetics, Inc.</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Bruce Robertson, Ph.D.</w:t>
            </w:r>
          </w:p>
        </w:tc>
        <w:tc>
          <w:tcPr>
            <w:tcW w:w="7780" w:type="dxa"/>
            <w:vAlign w:val="bottom"/>
          </w:tcPr>
          <w:p>
            <w:pPr>
              <w:ind w:left="220"/>
              <w:spacing w:after="0"/>
              <w:rPr>
                <w:sz w:val="20"/>
                <w:szCs w:val="20"/>
                <w:color w:val="auto"/>
              </w:rPr>
            </w:pPr>
            <w:r>
              <w:rPr>
                <w:rFonts w:ascii="Arial" w:cs="Arial" w:eastAsia="Arial" w:hAnsi="Arial"/>
                <w:sz w:val="18"/>
                <w:szCs w:val="18"/>
                <w:color w:val="auto"/>
              </w:rPr>
              <w:t>Managing Director, H.I.G Capital, LLC</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Stokes</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Castle Biosciences, Inc.</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2022, we created our Environmental, Social and Governance Committee (ESG Committee) with the purpose, duties and responsibility of reviewing and recommending our programs, policies and practices relating to ESG issues. The ESG Committee meets formally at least annually and plans to make recommendations to our President and Chief Executive Officer to be presented to the audit committee of our board of directors (the Audit Committee) when warranted. For more information regarding our ESG initiatives, please refer to www.exagen.com/investors.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9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2024 and 2023 and our total assets as of December 31, 2024 and 2023, is included in our Financial Statements in Item 8 of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8"/>
          <w:szCs w:val="18"/>
          <w:color w:val="auto"/>
        </w:rPr>
        <w:t>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file Annual Reports on Form 10-K, Quarterly Reports on Form 10-Q, Current Reports on Form 8-K, proxy and information statements and other information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 website that contains reports, proxy and information statements, and other information regarding issuers that file electronically with the SEC at www.sec.gov.</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127" w:lineRule="exact"/>
        <w:rPr>
          <w:sz w:val="20"/>
          <w:szCs w:val="20"/>
          <w:color w:val="auto"/>
        </w:rPr>
      </w:pPr>
    </w:p>
    <w:p>
      <w:pPr>
        <w:jc w:val="both"/>
        <w:ind w:left="660" w:hanging="328"/>
        <w:spacing w:after="0" w:line="243" w:lineRule="auto"/>
        <w:tabs>
          <w:tab w:leader="none" w:pos="635"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 We have a history of losses and we may not be able to generate sufficient revenue to achieve and maintain profitability. Our estimates regarding profitability and the time in which we may achieve profitability may ultimately be incorrect;</w:t>
      </w:r>
    </w:p>
    <w:p>
      <w:pPr>
        <w:spacing w:after="0" w:line="123"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10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manage our growth effectively, which could make it difficult to execute our business strategy;</w:t>
      </w:r>
    </w:p>
    <w:p>
      <w:pPr>
        <w:spacing w:after="0" w:line="15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among rheumatologists, patients, third-party payors and others in the medical community;</w:t>
      </w:r>
    </w:p>
    <w:p>
      <w:pPr>
        <w:spacing w:after="0" w:line="8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a sole third-party fulfillment center used to supply healthcare providers with our testing products, and we may not be able to fund replacements or transition to alternative suppliers or fulfillment centers;</w:t>
      </w:r>
    </w:p>
    <w:p>
      <w:pPr>
        <w:spacing w:after="0" w:line="10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5" w:name="page36"/>
    <w:bookmarkEnd w:id="35"/>
    <w:p>
      <w:pPr>
        <w:ind w:left="6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99" w:lineRule="exact"/>
        <w:rPr>
          <w:rFonts w:ascii="Arial" w:cs="Arial" w:eastAsia="Arial" w:hAnsi="Arial"/>
          <w:sz w:val="18"/>
          <w:szCs w:val="18"/>
          <w:color w:val="auto"/>
        </w:rPr>
      </w:pPr>
    </w:p>
    <w:p>
      <w:pPr>
        <w:jc w:val="both"/>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0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0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previously and may again in the future be required to modify our business practices, pay fines, incur significant expenses or experience losses due to litigation or governmental investigations;</w:t>
      </w:r>
    </w:p>
    <w:p>
      <w:pPr>
        <w:spacing w:after="0" w:line="83" w:lineRule="exact"/>
        <w:rPr>
          <w:rFonts w:ascii="Arial" w:cs="Arial" w:eastAsia="Arial" w:hAnsi="Arial"/>
          <w:sz w:val="18"/>
          <w:szCs w:val="18"/>
          <w:color w:val="auto"/>
        </w:rPr>
      </w:pPr>
    </w:p>
    <w:p>
      <w:pPr>
        <w:jc w:val="both"/>
        <w:ind w:left="660" w:hanging="328"/>
        <w:spacing w:after="0" w:line="23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assessment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and any other tests we may develop are LDTs eligible for enforcement discretion and determine that such test products are fully subject to active compliance enforcement under the FDCA and FDA regulations;</w:t>
      </w:r>
    </w:p>
    <w:p>
      <w:pPr>
        <w:spacing w:after="0" w:line="12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15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8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incurred net losses since our inception. For the years ended December 31, 2024 and 2023, we incurred net losses of $15.1 million and $23.7 million, respectively, and we expect to incur additional losses in 2025 and in future periods. As of December 31, 2024, we had an accumulated deficit of $ 294.3 million. We also expect to continue to devote substantial resources to increase adoption of, and reimbursement for, our testing products and to develop future testing products. Over the next several years, we expect to continue to devote substantially all of our resources to increase adoption of, and reimbursement for, our testing products and to develop future testing products. We may not be able to generate sufficient revenue to achieve and maintain profitability. Our failure to achieve and maintain profitability in the future could cause the market price of our common stock to decline and materially and adversely affect our prospects and business.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Successful commercialization, or continued commercialization, of our testing products depends, in large part, on the availability of coverage and adequate reimbursement from third-party payors, including government payors, such as Medicare and Medicaid and commercial payors. For the testing products that we develop and commercialize, each third-party payor decides whether to cover the product, the amount it will reimburse for a covered product and the specific conditions for reimbursement.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10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demonstrated to lead to improved patient outcomes;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tests, they may not provide coverage, or may provide limited coverage, which may materially and adversely affect our revenue and our 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may be materially adversely affected.</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and have been used by third-party payors and healthcare providers as grounds to deny coverage for or refuse to use a test or procedure, including our tests. In addition, third-party payors have increased their efforts to control the cost, utilization and delivery of healthcare services. These measures have resulted in reduced payment rates and decreased utilization for the diagnostics industry.</w:t>
      </w:r>
    </w:p>
    <w:p>
      <w:pPr>
        <w:spacing w:after="0" w:line="12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Effective April 25, 2012, Palmetto GBA, the Medicare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has adopted this coverage policy. In addition, and effective April 1, 2022, CMS agreed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priced this PLA code at $1,085 per test. To determine pricing beyond 2022, CMS recommended crosswalking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(0312U) to Vectra (81490) at a rate of $840.65 per test. This pricing was finalized on the 2023 CLFS and is effective from January 1, 2023 through December 31, 2025. A pricing determination is not synonymous with a coverage determination. Having a price associated with the PLA code for any particular test does not secure coverage or reimbursement for that PLA code from Medicare or any other third-party payor. So, 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On September 27, 2022, we received notice that Noridian has deemed our application for an LCD to be valid, but our application is still pending. Ultimately receiving a favorable LCD is uncertain and may be time-consuming, resource intensive and require multiple quarterly or annual periods to complete. We have faced and may again face or continue to face challenges relating to commercial payor claim processing and revenue with our tests.</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Other third-party payors make their own decisions as to whether to establish a policy to reimburse our testing products. Because approvals must be sought on a payor-by-payor basis, establishing broad coverage is a time-consuming and costly process. There are many third-party payors who have not yet established a coverage policy applicable to our testing products. In addition, several commercial payors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have in the past and may again withdraw coverage at any time, review and adjust the rate of reimbursement, require co-payments from patients or stop paying for our testing products altogether, any of which could materially reduce our revenue.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 Our estimates regarding profitability and the time in which we may achieve profitability may ultimately be incorrect.</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 estimated time in which we may achieve positive Adjusted EBITDA and profitability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8"/>
          <w:szCs w:val="18"/>
          <w:color w:val="auto"/>
        </w:rPr>
        <w:t>fluctuations in our operating results may vary from period to period due to a variety of factors, many of which are beyond our control. These factors include, but are not limited to:</w:t>
      </w:r>
    </w:p>
    <w:p>
      <w:pPr>
        <w:spacing w:after="0" w:line="1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the average selling price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13"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new testing products and to do so in the timelines in which we expect, including the January 2025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incorporating our new T-Cell Biomarkers and RA Sub-Profile Biomarkers;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the T-Cell Biomarkers and RA Sub-Profile Biomarkers are reimbursed by third-party payors;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85"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testing products, which may vary significantly;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timely reimbursement for our tests;</w:t>
      </w:r>
    </w:p>
    <w:p>
      <w:pPr>
        <w:spacing w:after="0" w:line="157"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and could cause our estimates regarding positive Adjusted EBITDA profitability to ultimately be incorrect. For instance during 2024, our quarterly operating results varied due, in part, to our efforts regarding revenue cycle management.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Adjusted EBITDA, profitability estimates or operating results fall below the expectations of analysts or investors or below any forecasts we may provide to the market, this could have a material adverse effect on our business, financial condition and results of operations and/or cause the market price of our common stock to decline.</w:t>
      </w:r>
    </w:p>
    <w:p>
      <w:pPr>
        <w:spacing w:after="0" w:line="11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9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commercialization and research and development with respect to other testing products that we may offer, but there can be no assurance that we will be able to successfully develop or commercialize these testing products.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52" w:lineRule="auto"/>
        <w:rPr>
          <w:sz w:val="20"/>
          <w:szCs w:val="20"/>
          <w:color w:val="auto"/>
        </w:rPr>
      </w:pPr>
      <w:r>
        <w:rPr>
          <w:rFonts w:ascii="Arial" w:cs="Arial" w:eastAsia="Arial" w:hAnsi="Arial"/>
          <w:sz w:val="18"/>
          <w:szCs w:val="18"/>
          <w:color w:val="auto"/>
        </w:rPr>
        <w:t>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political instability, acts of war, including the current conflicts in Ukraine and the Middle East,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When we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and/or hire additional accounting and finance staff as we grow. If we or, if required, our auditors are unable to conclude that our internal control over financial reporting is effective, investors may lose confidence in our financial reporting and the trading price of our common stock may decline.</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has previously identified material weaknesses in our internal controls that we believe have been remediated, however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the Nasdaq Stock Market LLC,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 which could make it difficult to execute our business strategy.</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need to scale our testing capacity, our future growth plans may also impose significant added responsibilities on management, including the need to identify, recruit, train and integrate additional employees and the need to manage additional relationships with various partners, suppliers and other third parties. In addition, if we were to experience rapid and significant growth, our administrative and operational infrastructure may be strained, requiring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among rheumatologists, patients, third-party payors and others in the medical community.</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continue to develop and market testing products that are recognized and accepted as safe, effective, reliable and cost effective, and any testing product that we offer may not gain or maintain market acceptance among rheumatologists, third-party payors, patients or the medical community. Market acceptance of our testing products depends on a number of factors, including:</w:t>
      </w:r>
    </w:p>
    <w:p>
      <w:pPr>
        <w:spacing w:after="0" w:line="1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over alternative products;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demonstration of the performance and clinical validity of our testing products in clinical studies, the results of which, may not replicate the positive results from earlier studies;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tests that compete with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testing products or competing products and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addition, if we or our future partners have to withdraw a product from the market, it could harm our business and/or impact market acceptance of our other testing products.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consist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 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ASP or overall revenue, until such time as it can be remedied. Moreover, if our testing products do not achieve an adequate level of acceptance by rheumatologists, hospitals, third-party payors or patients, we may not generate sufficient revenue from that testing product and may not become or remain profitable. Our efforts to educate the medical community and third-party payors regarding the benefits of our testing products may require significant resources and may never be successful.</w:t>
      </w:r>
    </w:p>
    <w:p>
      <w:pPr>
        <w:spacing w:after="0" w:line="14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experience limits on our revenue if healthcare providers decide not to order our testing products or if we are otherwise unable to create or maintain demand for our testing products.</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are unable to create or maintain demand for our testing products in sufficient volume, we may not generate sufficient revenue to become profitable. To generate increased demand, we will need to continue to educate healthcare providers about the benefits of our testing products through publications in peer-reviewed medical journals, presentations at medical conferences and other similar means. For example, in the fourth quarter of 2024, we were featured in five scientific presentations at the 2024 ACR annual meeting. We will also need to generate demand for our testing products through one-on-one education by our sales force. We also plan to focus on educating patients about the benefits of these testing products, which we believe will be necessary to generate further demand. In addition, our inability to obtain and maintain coverage and adequate reimbursement from third-party payors may limit adoption by healthcare providers, as well as third-party payors exerting pressure on healthcare providers to order in-network testing products which could adversely affect our revenue.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Healthcare providers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testing products have not been established with precision and may be smaller than we estimate.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0" w:name="page41"/>
    <w:bookmarkEnd w:id="40"/>
    <w:p>
      <w:pPr>
        <w:jc w:val="both"/>
        <w:spacing w:after="0" w:line="252" w:lineRule="auto"/>
        <w:rPr>
          <w:sz w:val="20"/>
          <w:szCs w:val="20"/>
          <w:color w:val="auto"/>
        </w:rPr>
      </w:pPr>
      <w:r>
        <w:rPr>
          <w:rFonts w:ascii="Arial" w:cs="Arial" w:eastAsia="Arial" w:hAnsi="Arial"/>
          <w:sz w:val="18"/>
          <w:szCs w:val="18"/>
          <w:color w:val="auto"/>
        </w:rPr>
        <w:t>accuracy of these underlying factors. As a result, our estimates of the annual total addressable market for our current and potential future testing products may prove to be incorrect. If the actual number of patients who would benefit from our testing products,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1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and fail to capitalize on other testing products that may be more profitable or for which there is a greater likelihood of success.</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we have limited financial and managerial resources, we focus on specific testing products.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we may forego other similar arrangements which would have been more advantageous for us to pursue.</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a sole third-party fulfillment center used to supply healthcare providers with our testing products, and we may not be able to find replacements or transition to alternative suppliers or fulfillment centers.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specimen collection and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 Additionally,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rely on a third-party as our sole fulfillment center in Georgia to supply healthcare providers with our testing products. Our sole fulfillment center could be harmed or rendered inoperable by natural or man-made disasters, including fire, earthquake, hurricane, flooding, pandemics or other disease outbreaks and power outages, which may render it difficult or impossible for us to supply healthcare providers with our testing products for some period of time. The inability to supply healthcare providers with our testing products or the backlog of tests that could develop if our sole fulfillment center is inoperable for even a short period of time, may result in the loss of customers or harm to our reputation or business relationships, and we may be unable to regain those customers or repair our reputation in the future. Furthermore, our sole fulfillment center could be costly and time-consuming to repair or replace. If our sole fulfillment center is destroyed or otherwise rendered inoperable, we may have difficulty replacing this fulfillment center and there can be no assurance we could do so in a timely manner, on terms favorable to us or at all.</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jc w:val="both"/>
        <w:spacing w:after="0" w:line="245" w:lineRule="auto"/>
        <w:rPr>
          <w:sz w:val="20"/>
          <w:szCs w:val="20"/>
          <w:color w:val="auto"/>
        </w:rPr>
      </w:pPr>
      <w:r>
        <w:rPr>
          <w:rFonts w:ascii="Arial" w:cs="Arial" w:eastAsia="Arial" w:hAnsi="Arial"/>
          <w:sz w:val="18"/>
          <w:szCs w:val="18"/>
          <w:color w:val="auto"/>
        </w:rPr>
        <w:t>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If we encounter difficulty meeting market demand or quality standards, our reputation could be harmed and our future prospects and our business could suffer.</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Medicaid, and commercial payors,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 and Medicaid;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Payors also conduct external audits to evaluate payments, which add further complexity to the billing process. If the payor makes an overpayment determination, there is a risk that we 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have in the past and may again result in uneven cash flow or impact the timing of revenue recognized with these payors. With respect to payments received from government healthcare programs, factors such as a prolonged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jc w:val="both"/>
        <w:spacing w:after="0" w:line="247" w:lineRule="auto"/>
        <w:rPr>
          <w:sz w:val="20"/>
          <w:szCs w:val="20"/>
          <w:color w:val="auto"/>
        </w:rPr>
      </w:pPr>
      <w:r>
        <w:rPr>
          <w:rFonts w:ascii="Arial" w:cs="Arial" w:eastAsia="Arial" w:hAnsi="Arial"/>
          <w:sz w:val="18"/>
          <w:szCs w:val="18"/>
          <w:color w:val="auto"/>
        </w:rPr>
        <w:t>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3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2024, Noridian posted the calendar year 2025 Medicare Physician Fee Schedule (MPFS), and CLFS, which establishes the reimbursement rates to be paid by Medicare for our jurisdiction for services performed on or after January 1, 2025. PAMA and changes to the MPFS and CLFS are not expected to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2025 compared to levels experienced in 2024. Revenue from Medicare comprised 25% and 34% of our revenue for the years ended December 31, 2024 and 2023, respectively.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comprised 91% and 88% of our revenue for the years ended December 31, 2024 and 2023, respectively.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2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as needed, to adequately address our customers’ and future partners’ needs, our business may be adversely affected.</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sell our testing products through our own specialized sales force. Our testing products compete in a concentrated specialty market of autoimmune and autoimmune-related diseases, and utilizing a specialized sales force is integral to our strategy. As such, we believe it is necessary to maintain a sales force that includes sales representatives with specific technical backgrounds and industry expertise and expect to continue to evaluate the reach and frequency with rheumatologists, including as we launch our pipeline products. We may be required to expand our specialized sales force as our company grows. Training of additional sales representatives can be costly and time consuming, particularly given the level of experience and sophistication we seek in our sales force. If we are unable to effectively retain, train and integrate additional sales representatives, as needed,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future sales will depend in large part on our ability to maintain an effective sales force. If we are unsuccessful in this regard, it could negatively impact our revenue growth and potential profitability.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 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7"/>
          <w:szCs w:val="17"/>
          <w:color w:val="auto"/>
        </w:rPr>
        <w:t>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Aqtual, Inc. Other potential competitors include companies that might develop diagnostic or disease or drug monitoring products, such as AMPEL BioSolutions, LLC; DxTerity Diagnostics Inc.; Genalyte Inc.; Immunovia AB; Oncimmune Holdings plc; and Progentec Diagnostics Inc. In the future, we may also face competition from companies developing new products or technologies.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successful verification, validation and utility studies;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0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accessing archival patient specimens, especially specimens with known clinical results;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8"/>
          <w:szCs w:val="18"/>
          <w:color w:val="auto"/>
        </w:rPr>
        <w:t>adversely affect the timing for generating potential revenue from a new testing product and our ability to invest in other products in our pipeline.</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as we develop testing products, we may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ours, and our inability to control when and if results are published may delay or limit our ability to derive sufficient revenue from any solution.</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finance any acquisitions or investments, we may choose to issue shares of our stock, or stock equivalents,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5" w:name="page46"/>
    <w:bookmarkEnd w:id="45"/>
    <w:p>
      <w:pPr>
        <w:jc w:val="both"/>
        <w:spacing w:after="0" w:line="278" w:lineRule="auto"/>
        <w:rPr>
          <w:sz w:val="20"/>
          <w:szCs w:val="20"/>
          <w:color w:val="auto"/>
        </w:rPr>
      </w:pPr>
      <w:r>
        <w:rPr>
          <w:rFonts w:ascii="Arial" w:cs="Arial" w:eastAsia="Arial" w:hAnsi="Arial"/>
          <w:sz w:val="18"/>
          <w:szCs w:val="18"/>
          <w:b w:val="1"/>
          <w:bCs w:val="1"/>
          <w:i w:val="1"/>
          <w:iCs w:val="1"/>
          <w:color w:val="auto"/>
        </w:rPr>
        <w:t>The diagnostic industry is subject to rapidly changing technology, which could make our current and future testing products obsolete.</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materially increase our insurance rates or prevent us from securing insurance coverage in the future. Additionally, any product liability lawsuit could cause material injury to our reputation or cause us to suspend sales of our testing products. Similarly, any product liability lawsuit affecting our partners could also cause injury to our reputation. We may also initiate a correction or removal for one of our testing products, issue a safety alert or undertake a field action or recall to reduce a risk to health posed by potential failure of our products to perform as designed, which could lead to increased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4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John Aballi,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b w:val="1"/>
          <w:bCs w:val="1"/>
          <w:i w:val="1"/>
          <w:iCs w:val="1"/>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order to rely on a third party to perform the tests contained in our testing products (even assuming we are able to do so in compliance with applicable regulations), we would need to engage another facility with established state licensure and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order to establish additional clinical reference laboratory facilities, we have to spend considerable time and money securing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would be subject to certification under CLIA and licensing by several states, including, as applicable, California and New York, which could take a significant amount of time and result in delays in our ability to begin operations.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We may need to further expand our laboratory space in the future.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the risks associated with damage or disruption to our business, provide coverage in amounts sufficient to cover our potential losses or continue to be available to us on acceptable terms, if at all.</w:t>
      </w:r>
    </w:p>
    <w:p>
      <w:pPr>
        <w:spacing w:after="0" w:line="1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9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part of our process of determining CB-CAPs, the key biomarker detection and measurement technology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products, we utilize a number of flow cytometers that require calibration and performance validation according to the requirements of the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8"/>
          <w:szCs w:val="18"/>
          <w:color w:val="auto"/>
        </w:rPr>
        <w:t>failure to meet specifications or they otherwise become inoperable, our ability to process patient specimens in the required timeframe would be compromised and our business could be harmed.</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0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 force and other personnel in a timely manner to conduct business;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materially and adversely affected if, among other things:</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materially and adversely affect our business and our reputation.</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PHI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 reconstruct any lost or stolen data. In addition, we have limited control over the storage of sensitive data by our third-party partners as well as risks related to the transfer and sale of de-identified data files to such partners.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the adoption of AI technologies may further heighten the risk of cyber-attacks. Leveraging AI capabilities to potentially improve internal functions and operations presents further risks and challenges, including the possibility of creating new attack methods for adversaries. The use of AI to support business operations carries inherent risks related to data privacy, IP, and security, such as intended, unintended, or inadvertent transmission of proprietary, confidential, or sensitive information, as well as challenges related to implementing and maintaining AI tools, such as developing and maintaining appropriate datasets for such support. If we fail to implement adequate safeguards, the use of AI may introduce additional operational vulnerabilities by producing inaccurate outcomes based on flaws in the underlying data or methodologies, or unintended results.</w:t>
      </w:r>
    </w:p>
    <w:p>
      <w:pPr>
        <w:spacing w:after="0" w:line="1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and liability under laws that protect the privacy of personal information, such as HIPAA, as amended by the HITECH Act, and their implementing regulations and similar state data privacy and security laws and regulations including civil and criminal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materially and adversely affect our business. Any breach could also result in the compromise of our trade secrets and other proprietary information, which could materially and adversely affect our competitive position.</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as well as private litigation, which could adversely affect our business.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various laws could cause us to incur substantial costs or require us to change our business practices, systems and compliance procedures in a manner adverse to our business.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unable to prevent such security breaches or privacy violations or implement satisfactory remedial measures in connection with security incidents, we may suffer material loss of reputation, financial loss, civil or criminal fines or other penalties. In addition, these breaches and other forms of inappropriate access can be difficult to detect, and any delay in identifying them may lead to increased harm of the type described above.</w:t>
      </w:r>
    </w:p>
    <w:p>
      <w:pPr>
        <w:spacing w:after="0" w:line="13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financial condition, commercialization efforts and results of operations have been and may again in the future be adversely affected by outbreaks of contagious diseases.</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outbreak of a contagious disease, or other adverse public health developments, could have a material and adverse effect on our business operations. Such adverse effects could include disruptions or restrictions on the ability of our, our collaborators’, or our suppliers’ personnel to travel, and could result in temporary closures of our facilities or the facilities of our collaborators or suppliers, including our sole laboratory. While the impact of the COVID-19 pandemic on our business, financial condition, results of operations and cash flows has subsided, the extent to which any potential pandemics or health epidemics will affect our operations in the future will depend on future developments, which are highly uncertain and cannot be predicted with confidence.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9" w:name="page50"/>
    <w:bookmarkEnd w:id="49"/>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(UPS) and Federal Express Corporation (Federal Express) for reliable and secure point-to-point transport of patient specimens to our laboratory and enhanced tracking of these patient specimens. Should Federal Express, UPS,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terrorist attacks or threats, labor strikes, work stoppages or boycotts, or for other reasons, could adversely affect our ability to receive and process patient specimens on a timely basis.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Federal Express, or UPS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UPS. If any new provider does not provide, or if Federal Express or UPS does not continue to provide, the required quality and reliability of transport services at the same or similar costs, it could materially and adversely affect our business, reputation,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affect our business and financial results.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 Inflation may continue to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our cash, cash equivalents, and marketable securities with high quality, accredited financial institutions. However, some of these accounts exceed the Federal Deposit Insurance Corporation (FDIC) insurance limit of $250,000 and, while we believe we are not exposed to significant credit risk due to the financial strength of these depository institutions or investments, if any such depository institution fails to return our deposits, or if a depository institution is subject to other adverse conditions in the financial or credit markets, this could further impact access to our invested cash or cash equivalents and could adversely impact our operating liquidity and financial performance. Further, the failure or collapse of one or more of these depository institutions or default on these investments could materially adversely affect our ability to recover these assets and/or materially harm our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0" w:name="page51"/>
    <w:bookmarkEnd w:id="50"/>
    <w:p>
      <w:pPr>
        <w:jc w:val="both"/>
        <w:spacing w:after="0" w:line="247" w:lineRule="auto"/>
        <w:rPr>
          <w:sz w:val="20"/>
          <w:szCs w:val="20"/>
          <w:color w:val="auto"/>
        </w:rPr>
      </w:pPr>
      <w:r>
        <w:rPr>
          <w:rFonts w:ascii="Arial" w:cs="Arial" w:eastAsia="Arial" w:hAnsi="Arial"/>
          <w:sz w:val="18"/>
          <w:szCs w:val="18"/>
          <w:color w:val="auto"/>
        </w:rPr>
        <w:t>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 our ability to use NOL carryforwards and other tax attributes to offset taxable income and taxes, as applicable, may be limited.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September 2017, we entered into the loan and security agreement (the 2017 Term Loan) with Innovatus Life Sciences Lending Fund I, LP (Innovatus), which we subsequently amended in November 2019, November 2021, April 2023 and April 2024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achieve certain minimum amounts of annual revenue, as measured on a rolling twelve-month basis, periodically deliver financial statements to Innovatus with an unqualified opinion (including no “going concern”) from our independent certified public accounting firm,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As of December 31, 2024, there was $15.0 million in principal outstanding under the term loan and an additional $3.5 million outstanding representing interest payable in-kind by adding the paid in-kind interest amount to the outstanding principal balance of the term loans. Under the Amended Loan Agreement, we are required to repay any outstanding principal and capitalized interest in monthly installments over a ten-month period commencing on April 1, 2026. At December 31, 2024,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$0.5 million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payors and government payors, or other risks described in this “Risk Factors” section, we may seek to raise additional capital through equity offerings, debt financings, collaborations or licensing arrangements.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jc w:val="both"/>
        <w:spacing w:after="0" w:line="242" w:lineRule="auto"/>
        <w:rPr>
          <w:sz w:val="20"/>
          <w:szCs w:val="20"/>
          <w:color w:val="auto"/>
        </w:rPr>
      </w:pPr>
      <w:r>
        <w:rPr>
          <w:rFonts w:ascii="Arial" w:cs="Arial" w:eastAsia="Arial" w:hAnsi="Arial"/>
          <w:sz w:val="18"/>
          <w:szCs w:val="18"/>
          <w:color w:val="auto"/>
        </w:rPr>
        <w:t>On November 17, 2023, we filed a shelf registration statement on Form S-3, as amended by Amendment No. 1 to Form S-3 filed on November 27, 2023, that provides for aggregate offerings of up to $150.0 million of our securities subject to various limitations. We filed a prospectus on November 29, 2023 pursuant to this registration statement, registering sales of our common stock in an amount not to exceed $50.0 million, pursuant to a sales agreement by and between us and TD Securities (USA) LLC (as successor in interest to Cowen and Company, LLC) (TD Cowen), as amended by Amendment No. 1 to Sales Agreement dated November 17, 2023 (the Amended Sales Agreement). Using a shelf registration statement to raise capital generally takes less time and is less expensive than other means, such as conducting an offering under a registration statement on Form S-1 and companies may be able to receive more favorable terms by raising capital pursuant to a shelf registration statement on Form S-3. Our ability to raise capital under our current shelf registration statement (and any future registration statement on Form S-3) has in the past, and may again in the future be, limited by, among other things, current and future SEC rules and regulations impacting the eligibility of smaller companies to use Form S-3 without restrictions. We have previously been subject to the "baby shelf rules" and if we were to become subject to the "baby shelf rules" again, we would be unable to use our shelf registration statement on Form S-3 or the Amended Sales Agreement to raise additional funds to the extent the aggregate market value of securities sold by us or on our behalf pursuant to Instruction I.B.6. of Form S-3 during the 12 calendar months immediately prior to, and including, any intended sale would exceed one-third of the aggregate market value of our public float, calculated in accordance with the instructions to Form S-3. As of the date of this Annual Report, we are not subject to the "baby shelf rules" because the market value of our outstanding shares of common stock held by non-affiliates calculated in accordance with Instruction I.B.6. of Form S-3, or public float, was greater than $75.0 million as of the date of this Annual Report.</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the sum (the Basic Rate) of (a) the greater of 8.0% or The Wall Street Journal prime rate (the Prime Rate), plus (b) 2.0% (provided that 1.5% of the Basic Rate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including as a result of our existing sales agreement with TD Cowen,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(similar to our current obligations pursuant to the Amended Loan Agreement),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or market development programs, which could lower the economic value of those products or programs to our company.</w:t>
      </w:r>
    </w:p>
    <w:p>
      <w:pPr>
        <w:spacing w:after="0" w:line="15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“smaller reporting company” as defined in the Exchange Act. We may take advantage of certain of the scaled disclosures available to smaller reporting companies and will be able to take advantage of these scaled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2" w:name="page53"/>
    <w:bookmarkEnd w:id="52"/>
    <w:p>
      <w:pPr>
        <w:jc w:val="both"/>
        <w:spacing w:after="0" w:line="252" w:lineRule="auto"/>
        <w:rPr>
          <w:sz w:val="20"/>
          <w:szCs w:val="20"/>
          <w:color w:val="auto"/>
        </w:rPr>
      </w:pPr>
      <w:r>
        <w:rPr>
          <w:rFonts w:ascii="Arial" w:cs="Arial" w:eastAsia="Arial" w:hAnsi="Arial"/>
          <w:sz w:val="18"/>
          <w:szCs w:val="18"/>
          <w:color w:val="auto"/>
        </w:rPr>
        <w:t>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changes could cause significant harm to our business, operations and financial condition.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commercial payors. The ACA also introduced mechanisms to reduce the per capita rate of growth in Medicare spending if expenditures exceed certain targets. Any such reductions could affect reimbursement payments for our tests.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Since December 2019, Congress has passed a series of laws to modify PAMA’s statutory requirements related to the data reporting period and phase-in of payment reductions under the CLFS for CDLTs that are not ADLTs. Most recently, on September 26, 2024, Section 221 of the Continuing Appropriations and Extensions Act, 2025, was passed, and it delayed data reporting requirements for CDLTs that are not ADLTs as well as the phase-in of payment reductions until 2026.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laws, regulations and policies could be amended or additional healthcare initiatives could be implemented in the future.</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1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and to some patients covered by commercial payors.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NYSDOH on a product-by-product basis before they are offered in New York. We are also subject to periodic inspection by the NYSDOH and required to demonstrate ongoing compliance with NYSDOH regulations and standards. To the extent NYSDOH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NYSDOH approval for our laboratory developed tests in New York or if we were to lose our license in other states where we are required to hold licenses, we would not be able to test specimens from those states, which would limit our revenue.</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0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 as well as state licensure laws and regulations;</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laws and regulations that apply to medical devices such as our companion diagnostics and other IVDs as well as LDTs, following the July 2024 effective date of the agency’s LDT final rule;</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payment mechanisms for clinical laboratory services resulting from PAMA;</w:t>
      </w:r>
    </w:p>
    <w:p>
      <w:pPr>
        <w:spacing w:after="0" w:line="8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Medicare or Medicaid, including laboratory and pathology services, if the physician or an immediate family member has a financial relationship with the entity providing the designated health services;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federal False Claims Act, which imposes up to treble damages and per-claim civil penalties, and provides for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CMP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0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29"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99"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5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71"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9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and</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Various federal and state laws, such as the Sunshine Act and state gift bans, that apply to medical device manufacturers could extend to our clinical reference laboratory now that FDA will actively regulate LDTs as medical devices pursuant to the 2024 final rule, and clinical laboratories offering and furnishing LDTs are considered to be device manufacturers as a result. We are in the process of evaluating whether and to what extent those kinds of medical device-specific state requirements may be applicable to our operations.</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jc w:val="both"/>
        <w:spacing w:after="0" w:line="243" w:lineRule="auto"/>
        <w:rPr>
          <w:sz w:val="20"/>
          <w:szCs w:val="20"/>
          <w:color w:val="auto"/>
        </w:rPr>
      </w:pPr>
      <w:r>
        <w:rPr>
          <w:rFonts w:ascii="Arial" w:cs="Arial" w:eastAsia="Arial" w:hAnsi="Arial"/>
          <w:sz w:val="18"/>
          <w:szCs w:val="18"/>
          <w:color w:val="auto"/>
        </w:rPr>
        <w:t>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For additional information see the risk factor below entitled “</w:t>
      </w:r>
      <w:r>
        <w:rPr>
          <w:rFonts w:ascii="Arial" w:cs="Arial" w:eastAsia="Arial" w:hAnsi="Arial"/>
          <w:sz w:val="18"/>
          <w:szCs w:val="18"/>
          <w:i w:val="1"/>
          <w:iCs w:val="1"/>
          <w:color w:val="auto"/>
        </w:rPr>
        <w:t>We have previously and may again in the future be required to modify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business practices, pay fines, incur significant expenses or experience losses due to litigation or governmental investigations.” </w:t>
      </w:r>
      <w:r>
        <w:rPr>
          <w:rFonts w:ascii="Arial" w:cs="Arial" w:eastAsia="Arial" w:hAnsi="Arial"/>
          <w:sz w:val="18"/>
          <w:szCs w:val="18"/>
          <w:color w:val="auto"/>
        </w:rPr>
        <w:t>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2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have previously and may again in the future be required to modify our business practices, pay fines, incur significant expenses or experience losses due to litigation or governmental investigations.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In addition, any litigation or government investigation generally, diverts the attention of our management team and resources from our core business and limits the time and attention of our management team otherwise available to devote to our business. Government investigation and litigation in general may cause us to incur significant expenses, to experience significant losses, and, as a result of such matters, we may also be required to materially alter the conduct of our operations or pay significant penalties. For example, pursuant to a settlement agreement, we made a single lump-sum remittance to the government in the amount of $0.7 million plus interest in October 2023, the U.S. Attorney’s Office dismissed this “covered conduct”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with prejudice, while non-covered conduct was dismissed without prejudice. The Department of Justice excused itself from the case in connection with the settlement. In November 2023, the complaint was unsealed and served on Exagen. Exagen filed a motion to dismiss the complaint. In February 2024, the relator filed a motion for leave to amend the complaint. Exagen opposed this motion, and all motions are still pending. While we cannot predict when these matters will be resolved, the Company intends to vigorously defend against the claims being asserted in the complaint.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may adversely affect our business, prospects, reputation and results of operations.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jc w:val="both"/>
        <w:spacing w:after="0" w:line="243"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i w:val="1"/>
          <w:iCs w:val="1"/>
          <w:color w:val="auto"/>
        </w:rPr>
        <w:t>The FDA may disagree with our assessment that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 products and any other tests we may develop are LDTs eligible for enforcement discretion and determine that such test products are fully subject to active compliance enforcement under the FDCA and FDA regulations.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Historically, the FDA had generally exercised its enforcement discretion and not enforced applicable regulations with respect to LDTs, which are IVDs that are designed, manufactured, and used within a single high-complexity CLIA-certified laboratory.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w:t>
      </w:r>
    </w:p>
    <w:p>
      <w:pPr>
        <w:spacing w:after="0" w:line="6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If the FDA were to disagree with our conclusion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fall within the scope of the agency’s LDT definition and determines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thus subject to FDA’s medical device authorities and implementing regulations, we would become immediately subject to extensive regulatory requirements and may be required to stop selling our existing tests or refrain from launching any other tests we may develop. In particular, the FDA may require us to obtain marketing authorization for each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order for use to commercialize them.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all of which would adversely impact our business.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or financial condition.</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Planned changes in the way that the FDA regulates tests designed and performed by laboratories like ours could result in delay or additional expense in offering our current tests and tests that we may develop in the future.</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LDTs and may, in the future, market other tests as LDTs. Historically, the FDA had exercised enforcement discretion with respect to most LDTs and generally had not required laboratories that furnish LDTs to comply with the agency’s requirements for medical devices (e.g., establishment registration, device listing, quality system regulations, premarket clearance or approval, and post-market controls). However, 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18"/>
          <w:szCs w:val="18"/>
          <w:color w:val="auto"/>
        </w:rPr>
        <w:t>May 2024, the FDA issued a final rule to regulate LDTs under the current medical device framework and phasing out its existing enforcement discretion policy for this category of diagnostic tests over several years. The effective date of the agency’s final rule was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four-year mark, although FDA has stated that if premarket submissions are pending review it will continue to exercise enforcement discretion with respect to those tests.</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Of potential relevance is the agency’s position on LDTs that were marketed prior to the official publication date of the final rule. Such “currently marketed” tests are subject to many of the device regulatory controls but are exempted from the premarket review and FDA authorization requirements (unless or until significant modifications are made to such “currently marketed” tests). Similarly, FDA has created a partial enforcement discretion policy for tests approved by the New York State Clinical Laboratory Evaluation Program whereby such tests also do not need to undergo FDA premarket review but must come into compliance with all other device general controls in a stagged fashion between 2025 and 2027. We have begun the process of evaluating the final rule’s potential impact on our tests, as well as our operations and business more generally.</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May 29, 2024, the American Clinical Laboratory Association (ACLA) and one of its members filed a complaint against the FDA in the Eastern District of Texas, alleging that the agency does not have authority to promulgate the LDT final rule and seeking to vacate the FDA’s action. A second lawsuit was also filed against FDA by the Association for Molecular Pathology (AMP) on August 19, 2024 in the Southern District of Texas, and subsequently the two cases were consolidated into a single action pending in the Eastern District of Texas. Briefing is ongoing in the consolidated case, and the outcome of such litigation is uncertain. The litigation could potentially affect FDA’s plans to implement these new LDT requirements, making the potential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 FDA prevails in the Texas litigation and is able to fully implement the multi-year phase-in plan for the LDT final rule or Congress enacts comprehensive legislation to regulate in vitro diagnostics that moots the need for the LDT final rule, it could have a materially adverse impact on our results of operations. 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FTC and/or state enforcement or regulatory agencies may object to the methods and materials we use to promote our tests and initiate enforcement against us, which could adversely affect our business and financial condition.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materially and adversely affect our business, results of operations and financial condition.</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and damage to our reputation, any of which could have a material adverse effect on our operations, financial performance and business.</w:t>
      </w:r>
    </w:p>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 or private litigation.</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Numerous federal, state and foreign laws and regulations, including HIPAA and the HITECH Act in the United States, govern the collection, dissemination, disclosure, security, use and confidentiality of individually identifiable health information and, in many cases, other personal information. HIPAA and the HITECH Act require us to comply with standards for the use and disclosure of PHI within our company and with respect to third 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 Associate to help us carry out healthcare activities and functions, we must have a written Business Associate contract or other arrangement with the Business Associate that establishes specifically what the Business Associate has been engaged to do and obligates the Business Associate to comply with HIPAA requirements. Further, in the event of a breach of unsecured PHI we must notify each individual whose PHI is breached as well as federal regulators and in some cases, must publicize the breach in local or national media.</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material breach of privacy or security will not occur. If there is a breach, we could be subject to various lawsuits, penalties and damages and may be required to incur costs to mitigate the impact of the breach on affected individuals such that our business may be materially and adversely affected.</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regulatory authority, the California Privacy Protection Agency (CPPA), which is authorized to issue substantive regulations and could result in increased privacy and information security enforcement. In the event that we are subject to or affected by HIPAA, the CCPA, the CPRA or other domestic privacy and data protection laws (for example Virginia's Consumer Data Protection Act and other similar laws that recently went into effect in in other states, such as Utah, Colorado, Connecticut, Delaware, Florida, Indiana, Iowa, Montana, Oregon, Tennessee, and Texas or Washington's "My Health My Data" Act), any liability from failure to comply with the requirements of these laws could adversely affect our financial condition.</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18"/>
          <w:szCs w:val="18"/>
          <w:color w:val="auto"/>
        </w:rPr>
        <w:t>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countries outside of the EEA that have not been found to provide adequate protection to such personal data.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and the adequacy decision could be altered or withdrawn. Future actions of EU data protection authorities and the potential impacts on data transfers are difficult to predict.</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The U.K. GDPR sits alongside the amended U.K. Data Protection Act 2018, which implements certain derogations in the EU GDPR into U.K. law. The U.K. GDPR mirrors the fines under the GDPR, i.e., fines up to the greater of € 20 million (£ 17.5 million) or 4% of annual global turnover. In June of 2021, the European Commission issued a decision, which will sunset on June 27, 2025 without further action, that the United Kingdom ensures an adequate level of protection for personal data transferred under the EU GDPR from the EU to the United Kingdom.</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in foreign markets. We are not permitted to market or promote any of our testing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testing products. If we obtain regulatory approval of our testing products and ultimately commercialize our testing products in foreign markets, we would be subject to additional risks and uncertainties, including any or all of the following:</w:t>
      </w:r>
    </w:p>
    <w:p>
      <w:pPr>
        <w:spacing w:after="0" w:line="12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IVDs in foreign countries;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0" w:name="page61"/>
    <w:bookmarkEnd w:id="60"/>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57"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inflationary pressures, such as those the global market is currently experiencing, which have and may increase costs for materials, supplies, and services;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current conflicts in Ukraine and the Middle East; natural disasters which may be exacerbated due to climate change, including earthquakes, typhoons, floods and fires; outbreak of disease; boycotts; or other business restrictions.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ectPr>
          <w:pgSz w:w="11900" w:h="16838" w:orient="portrait"/>
          <w:cols w:equalWidth="0" w:num="1">
            <w:col w:w="11240"/>
          </w:cols>
          <w:pgMar w:left="320" w:top="1052" w:right="339" w:bottom="1440" w:gutter="0" w:footer="0" w:header="0"/>
        </w:sectPr>
      </w:pPr>
    </w:p>
    <w:p>
      <w:pPr>
        <w:spacing w:after="0" w:line="153"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ability to protect our technologies, such as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profitability. We rely on a combination of U.S. and foreign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hanging="23"/>
        <w:spacing w:after="0" w:line="253" w:lineRule="auto"/>
        <w:rPr>
          <w:sz w:val="20"/>
          <w:szCs w:val="20"/>
          <w:color w:val="auto"/>
        </w:rPr>
      </w:pPr>
      <w:r>
        <w:rPr>
          <w:rFonts w:ascii="Arial" w:cs="Arial" w:eastAsia="Arial" w:hAnsi="Arial"/>
          <w:sz w:val="18"/>
          <w:szCs w:val="18"/>
          <w:color w:val="auto"/>
        </w:rPr>
        <w:t>Lupus platform, affects our ability to compete and to achieve sustained patents and patent applications, copyrights, trademarks and trademark</w:t>
      </w:r>
    </w:p>
    <w:p>
      <w:pPr>
        <w:spacing w:after="0" w:line="1" w:lineRule="exact"/>
        <w:rPr>
          <w:sz w:val="20"/>
          <w:szCs w:val="20"/>
          <w:color w:val="auto"/>
        </w:rPr>
      </w:pPr>
    </w:p>
    <w:p>
      <w:pPr>
        <w:sectPr>
          <w:pgSz w:w="11900" w:h="16838" w:orient="portrait"/>
          <w:cols w:equalWidth="0" w:num="2">
            <w:col w:w="5080" w:space="100"/>
            <w:col w:w="6060"/>
          </w:cols>
          <w:pgMar w:left="320" w:top="1052" w:right="339" w:bottom="1440" w:gutter="0" w:footer="0" w:header="0"/>
          <w:type w:val="continuous"/>
        </w:sectPr>
      </w:pPr>
    </w:p>
    <w:p>
      <w:pPr>
        <w:jc w:val="both"/>
        <w:spacing w:after="0" w:line="229" w:lineRule="auto"/>
        <w:rPr>
          <w:sz w:val="20"/>
          <w:szCs w:val="20"/>
          <w:color w:val="auto"/>
        </w:rPr>
      </w:pPr>
      <w:r>
        <w:rPr>
          <w:rFonts w:ascii="Arial" w:cs="Arial" w:eastAsia="Arial" w:hAnsi="Arial"/>
          <w:sz w:val="18"/>
          <w:szCs w:val="18"/>
          <w:color w:val="auto"/>
        </w:rPr>
        <w:t>applications, and contractual restrictions to protect our intellectual property rights. We cannot be certain that the claims in our granted patents and pending patent applications covering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be considered patentable or enforceable by the United States Patent and Trademark Office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2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two issued U.S. patents, one U.S. patent application,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own five issued U.S. patents, three pending U.S. patent applications,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previously held licenses to five patent families related to CB-CAPs technology from UPitt. We have terminated these license agreements (related to U.S. Patent Nos. 7,361,517; 7,390,631; 7,585,640; 7,588,905; 8,080,382;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61" w:name="page62"/>
    <w:bookmarkEnd w:id="61"/>
    <w:p>
      <w:pPr>
        <w:jc w:val="both"/>
        <w:ind w:right="20"/>
        <w:spacing w:after="0" w:line="271" w:lineRule="auto"/>
        <w:rPr>
          <w:sz w:val="20"/>
          <w:szCs w:val="20"/>
          <w:color w:val="auto"/>
        </w:rPr>
      </w:pPr>
      <w:r>
        <w:rPr>
          <w:rFonts w:ascii="Arial" w:cs="Arial" w:eastAsia="Arial" w:hAnsi="Arial"/>
          <w:sz w:val="18"/>
          <w:szCs w:val="18"/>
          <w:color w:val="auto"/>
        </w:rPr>
        <w:t>8,126,654, and foreign equivalents thereof), effective March 22, 2024, and as a result may face increased competition with respect to the portion of our testing products previously protected by these patents.</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5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3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2" w:name="page63"/>
    <w:bookmarkEnd w:id="62"/>
    <w:p>
      <w:pPr>
        <w:jc w:val="both"/>
        <w:spacing w:after="0" w:line="242" w:lineRule="auto"/>
        <w:rPr>
          <w:sz w:val="20"/>
          <w:szCs w:val="20"/>
          <w:color w:val="auto"/>
        </w:rPr>
      </w:pPr>
      <w:r>
        <w:rPr>
          <w:rFonts w:ascii="Arial" w:cs="Arial" w:eastAsia="Arial" w:hAnsi="Arial"/>
          <w:sz w:val="18"/>
          <w:szCs w:val="18"/>
          <w:color w:val="auto"/>
        </w:rPr>
        <w:t>property embodied in our testing products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8"/>
          <w:szCs w:val="18"/>
          <w:color w:val="auto"/>
        </w:rPr>
        <w:t>be invalid and/or unenforceable, and such applications may never result in valid, enforceable patents. Any of these outcomes could impair our ability to prevent competition from third parties, which may have an adverse impact on our business.</w:t>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1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we license certain patent rights from AHN and JHU. Our existing license agreements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UPitt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9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More established companies may have a competitive advantage over us due to their size, cash resources and greater clinical development and commercialization capabilities.</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business, financial condition and prospects for growth could suffer.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6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brings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may give rise to claims of infringement of the patent rights of others.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5" w:name="page66"/>
    <w:bookmarkEnd w:id="65"/>
    <w:p>
      <w:pPr>
        <w:jc w:val="both"/>
        <w:spacing w:after="0" w:line="208"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14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technology.</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be issued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1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15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current conflicts in the Ukraine and the Middle East.</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At December 31, 2024, our employees and members of our board of directors collectively hold options to acquire up to 489,296 shares of our common stock and restricted stock units representing the contingent right to receive up to 1,710,373 shares of our common stock. These shares are registered pursuant to our previously filed registration statements on Form S-8 and are generally freely-tradeable. Future sales of substantial amounts of our common stock in the public market, including sales by our directors, employees, or other significant holders, shares issued upon exercise of then outstanding options or warrants, or the perception that such sales may occur, could adversely affect the market price of our common stock and cause significant dilution to our existing stockholders.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1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28" w:lineRule="exact"/>
        <w:rPr>
          <w:sz w:val="20"/>
          <w:szCs w:val="20"/>
          <w:color w:val="auto"/>
        </w:rPr>
      </w:pPr>
    </w:p>
    <w:p>
      <w:pPr>
        <w:ind w:left="66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28"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99"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85"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8" w:name="page69"/>
    <w:bookmarkEnd w:id="68"/>
    <w:p>
      <w:pPr>
        <w:ind w:left="660" w:hanging="328"/>
        <w:spacing w:after="0" w:line="27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their most recent publicly filed beneficial ownership reports, our greater than 5% stockholders collectively own approximately 50% of our outstanding capital stock and our greater than 5% stockholders, directors and executive officers collectively own (without duplication) approximately 52% of our outstanding capital stock as of February 15, 2025.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2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9" w:name="page70"/>
    <w:bookmarkEnd w:id="69"/>
    <w:p>
      <w:pPr>
        <w:jc w:val="both"/>
        <w:ind w:right="20"/>
        <w:spacing w:after="0" w:line="271" w:lineRule="auto"/>
        <w:rPr>
          <w:sz w:val="20"/>
          <w:szCs w:val="20"/>
          <w:color w:val="auto"/>
        </w:rPr>
      </w:pPr>
      <w:r>
        <w:rPr>
          <w:rFonts w:ascii="Arial" w:cs="Arial" w:eastAsia="Arial" w:hAnsi="Arial"/>
          <w:sz w:val="18"/>
          <w:szCs w:val="18"/>
          <w:color w:val="auto"/>
        </w:rPr>
        <w:t>requirements, general business conditions and other factors that our board of directors may deem relevant. As a result, capital appreciation, if any, of our common stock will be the sole source of gain for the foreseeable future.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to our initial public offering, there had been no public market for our common stock. While our common stock now trades on The Nasdaq Global Market (Nasdaq),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During 2024, our average daily trading volume has been approximately 56,732 shares.</w:t>
      </w:r>
    </w:p>
    <w:p>
      <w:pPr>
        <w:spacing w:after="0" w:line="12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or The Nasdaq Stock Market LLC could result in a delisting of our common stock.</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downgrade our common stock or otherwise issue adverse opinions or commentary regarding our stock or do not publish research or reports about our company, our stock price and trading volume could decline.</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life sciences and diagnostics companies have experienced significant stock price volatility in recent years. If we face such litigation, it could result in substantial costs and a diversion of management’s attention and resources, which could harm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 the critical importance of maintaining the trust and confidence of physicians,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NIST and other applicable industry standards, as well as the HIPAA Security Rule and other recognized frameworks.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Cybersecurity Risk Management and Strategy; Effect of Risk</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in addition to other company risks as part of our overall risk assessment process. We employ a range of tools and services, including regular network and endpoint monitoring, audits, vulnerability assessments, and penetration testing to inform our risk identification and assessment. As discussed in more detail under “Cybersecurity Governance” below, our Audit Committee provides oversight of our cybersecurity risk management and strategy processes, which are led by our Vice President of Information Services.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identify our cybersecurity threat risks by comparing our processes to standards set by NIST, as well as performing intrusion detection and prevention. 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0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 emerging data protection laws and implement changes to our processes that are designed to comply with such laws;</w:t>
      </w:r>
    </w:p>
    <w:p>
      <w:pPr>
        <w:spacing w:after="0" w:line="171"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our policies, practices and contracts (as applicable), require employees, as well as third parties that provide services on our behalf, to treat confidential information and data with care;</w:t>
      </w:r>
    </w:p>
    <w:p>
      <w:pPr>
        <w:spacing w:after="0" w:line="99" w:lineRule="exact"/>
        <w:rPr>
          <w:rFonts w:ascii="Arial" w:cs="Arial" w:eastAsia="Arial" w:hAnsi="Arial"/>
          <w:sz w:val="18"/>
          <w:szCs w:val="18"/>
          <w:color w:val="auto"/>
        </w:rPr>
      </w:pPr>
    </w:p>
    <w:p>
      <w:pPr>
        <w:jc w:val="both"/>
        <w:ind w:left="660" w:hanging="328"/>
        <w:spacing w:after="0" w:line="261" w:lineRule="auto"/>
        <w:tabs>
          <w:tab w:leader="none" w:pos="6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07" w:lineRule="exact"/>
        <w:rPr>
          <w:rFonts w:ascii="Arial" w:cs="Arial" w:eastAsia="Arial" w:hAnsi="Arial"/>
          <w:sz w:val="18"/>
          <w:szCs w:val="18"/>
          <w:color w:val="auto"/>
        </w:rPr>
      </w:pPr>
    </w:p>
    <w:p>
      <w:pPr>
        <w:jc w:val="both"/>
        <w:ind w:left="660" w:hanging="328"/>
        <w:spacing w:after="0" w:line="28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regular, mandatory training for our employees regarding cybersecurity threats as a means to equip them with effective tools to address cybersecurity threats, and to communicate our evolving information security policies, standards, processes and practices;</w:t>
      </w:r>
    </w:p>
    <w:p>
      <w:pPr>
        <w:spacing w:after="0" w:line="85"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regular phishing email simulations for all employees with access to our email systems to enhance awareness and responsiveness to possible threats;</w:t>
      </w:r>
    </w:p>
    <w:p>
      <w:pPr>
        <w:spacing w:after="0" w:line="113" w:lineRule="exact"/>
        <w:rPr>
          <w:rFonts w:ascii="Arial" w:cs="Arial" w:eastAsia="Arial" w:hAnsi="Arial"/>
          <w:sz w:val="18"/>
          <w:szCs w:val="18"/>
          <w:color w:val="auto"/>
        </w:rPr>
      </w:pPr>
    </w:p>
    <w:p>
      <w:pPr>
        <w:ind w:left="660" w:hanging="328"/>
        <w:spacing w:after="0" w:line="271"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monthly cybersecurity management and incident training for employees involved in our systems and processes that handle sensitive data;</w:t>
      </w:r>
    </w:p>
    <w:p>
      <w:pPr>
        <w:spacing w:after="0" w:line="99"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leverage internal and external resources to help us identify, protect, detect, respond and recover when there is an actual or potential cybersecurity incident; and</w:t>
      </w:r>
    </w:p>
    <w:p>
      <w:pPr>
        <w:spacing w:after="0" w:line="85" w:lineRule="exact"/>
        <w:rPr>
          <w:rFonts w:ascii="Arial" w:cs="Arial" w:eastAsia="Arial" w:hAnsi="Arial"/>
          <w:sz w:val="18"/>
          <w:szCs w:val="18"/>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carry information security risk insurance that provides protection against the potential losses arising from a cybersecurity incident</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As part of the above processes, we rely on internal resources rather than consultants, auditors or other third parties, to review our cybersecurity program.</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Arial" w:cs="Arial" w:eastAsia="Arial" w:hAnsi="Arial"/>
          <w:sz w:val="18"/>
          <w:szCs w:val="18"/>
          <w:i w:val="1"/>
          <w:iCs w:val="1"/>
          <w:color w:val="auto"/>
        </w:rPr>
        <w:t>Failure in our information technology, telephone or other systems could significantly disrupt our operations and adversely</w:t>
      </w:r>
      <w:r>
        <w:rPr>
          <w:rFonts w:ascii="Arial" w:cs="Arial" w:eastAsia="Arial" w:hAnsi="Arial"/>
          <w:sz w:val="18"/>
          <w:szCs w:val="18"/>
          <w:color w:val="auto"/>
        </w:rPr>
        <w:t xml:space="preserve"> </w:t>
      </w:r>
      <w:r>
        <w:rPr>
          <w:rFonts w:ascii="Arial" w:cs="Arial" w:eastAsia="Arial" w:hAnsi="Arial"/>
          <w:sz w:val="18"/>
          <w:szCs w:val="18"/>
          <w:i w:val="1"/>
          <w:iCs w:val="1"/>
          <w:color w:val="auto"/>
        </w:rPr>
        <w:t>affect our business and financial condition</w:t>
      </w:r>
      <w:r>
        <w:rPr>
          <w:rFonts w:ascii="Arial" w:cs="Arial" w:eastAsia="Arial" w:hAnsi="Arial"/>
          <w:sz w:val="18"/>
          <w:szCs w:val="18"/>
          <w:color w:val="auto"/>
        </w:rPr>
        <w:t>,” which disclosures are incorporated by reference herein.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Cybersecurity Governance; Management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detection of a material cybersecurity threat, our Audit Committee receives an update from management of the cybersecurity threat, risk management and strategy processes, as well as the steps management has taken to respond to such risks. In such sessions, our Audit Committee generally receives materials that include cybersecurity materials discussing current material cybersecurity threat risks, and describing our ability to mitigate those risks, and discusses such matters with our Chief Executive Officer. Our Audit Committee and board of directors receive prompt and timely information regarding any cybersecurity incident that meets established reporting thresholds.</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cybersecurity risk management and strategy processes, which are discussed in greater detail above, are led by our Vice President of Information Services, with support from our entire Information Services department. Such individuals have collectively over 10 years of prior work experience in various roles involving managing information security, developing cybersecurity strategy, implementing effective information and cybersecurity programs, as well as several relevant degrees and certifications. These Information Services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Information Services team members report to our Chief Executive Officer, and ultimately to the Audit Committee of our board of directors about material cybersecurity threats.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lease approximately 28,000 square feet of additional office space in Carlsbad, California, under a sublease that is co-terminus with our other lease expiring in 2027. We believe that our current facilities are adequate for our current needs and that suitable additional or alternative spaces will be available in the future on commercially reasonable terms, if required.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October 2023, we resolved an investigation with the U.S. Attorney’s Office for the District of Massachusetts that was initiated by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Pursuant to a Settlement Agreement, we made a single lump-sum remittance to the government in the amount of $0.7 million plus interest in connection with specimen processing arrangements that we historically had with physicians. The U.S. Attorney’s Office dismissed this “covered conduct” in the qui tam with prejudice, while non-covered conduct was dismissed without prejudice. The Department of Justice excused itself from the case in connection with the settlement. In November 2023, the complaint was unsealed and served on us. We filed a motion to dismiss the complaint. In February 2024, the relator filed a motion for leave to amend the complaint. We opposed this motion, and all motions are still pending. While we cannot predict when these matters will be resolved, the Company intends to vigorously defend against the claims being asserted in the complaint.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right="520" w:firstLine="512"/>
        <w:spacing w:after="0" w:line="46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7, 2025, there were approximately 23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w:t>
      </w:r>
      <w:r>
        <w:rPr>
          <w:rFonts w:ascii="Arial" w:cs="Arial" w:eastAsia="Arial" w:hAnsi="Arial"/>
          <w:sz w:val="18"/>
          <w:szCs w:val="18"/>
          <w:b w:val="1"/>
          <w:bCs w:val="1"/>
          <w:i w:val="1"/>
          <w:iCs w:val="1"/>
          <w:color w:val="auto"/>
        </w:rPr>
        <w:t>Reserved.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Some of the information contained in this discussion and analysis or set forth elsewhere in this Annual Report,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4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CDTs and other related diseases with overlapping symptoms. Traditional screening methods often lack accuracy, resulting in repeat testing and delayed diagnosis. With significant increases in autoimmune incidence in recent years,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unique biomarkers that empower clinicians to confidently and quickly diagnose various CTDs. Beginning in late 2022, w</w:t>
      </w:r>
      <w:r>
        <w:rPr>
          <w:rFonts w:ascii="Arial" w:cs="Arial" w:eastAsia="Arial" w:hAnsi="Arial"/>
          <w:sz w:val="18"/>
          <w:szCs w:val="18"/>
          <w:color w:val="080808"/>
        </w:rPr>
        <w:t>e revitalized our organization with the addition of key members to our senior leadership team,</w:t>
      </w:r>
      <w:r>
        <w:rPr>
          <w:rFonts w:ascii="Arial" w:cs="Arial" w:eastAsia="Arial" w:hAnsi="Arial"/>
          <w:sz w:val="18"/>
          <w:szCs w:val="18"/>
          <w:color w:val="auto"/>
        </w:rPr>
        <w:t xml:space="preserve"> </w:t>
      </w:r>
      <w:r>
        <w:rPr>
          <w:rFonts w:ascii="Arial" w:cs="Arial" w:eastAsia="Arial" w:hAnsi="Arial"/>
          <w:sz w:val="18"/>
          <w:szCs w:val="18"/>
          <w:color w:val="080808"/>
        </w:rPr>
        <w:t xml:space="preserve">including our Chief Executive Officer, Chief Financial Officer, Vice President of Sales, Chief Medical Officer, and Medical and Laboratory Director. </w:t>
      </w:r>
      <w:r>
        <w:rPr>
          <w:rFonts w:ascii="Arial" w:cs="Arial" w:eastAsia="Arial" w:hAnsi="Arial"/>
          <w:sz w:val="18"/>
          <w:szCs w:val="18"/>
          <w:color w:val="000000"/>
        </w:rPr>
        <w:t>By leveraging our team’s extensive experience to create clinically distinct solutions that improve patient lives, we</w:t>
      </w:r>
      <w:r>
        <w:rPr>
          <w:rFonts w:ascii="Arial" w:cs="Arial" w:eastAsia="Arial" w:hAnsi="Arial"/>
          <w:sz w:val="18"/>
          <w:szCs w:val="18"/>
          <w:color w:val="080808"/>
        </w:rPr>
        <w:t xml:space="preserve"> have created a strong foundation for growth and </w:t>
      </w:r>
      <w:r>
        <w:rPr>
          <w:rFonts w:ascii="Arial" w:cs="Arial" w:eastAsia="Arial" w:hAnsi="Arial"/>
          <w:sz w:val="18"/>
          <w:szCs w:val="18"/>
          <w:color w:val="000000"/>
        </w:rPr>
        <w:t>believe that we are well-positioned</w:t>
      </w:r>
      <w:r>
        <w:rPr>
          <w:rFonts w:ascii="Arial" w:cs="Arial" w:eastAsia="Arial" w:hAnsi="Arial"/>
          <w:sz w:val="18"/>
          <w:szCs w:val="18"/>
          <w:color w:val="080808"/>
        </w:rPr>
        <w:t xml:space="preserve"> to positively impact patient care and address unmet clinical needs in autoimmune disease</w:t>
      </w:r>
      <w:r>
        <w:rPr>
          <w:rFonts w:ascii="Arial" w:cs="Arial" w:eastAsia="Arial" w:hAnsi="Arial"/>
          <w:sz w:val="18"/>
          <w:szCs w:val="18"/>
          <w:color w:val="000000"/>
        </w:rPr>
        <w:t>. We strive to become a partner of choice for doctors, hospitals, healthcare systems, and payors.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are executing an operational turnaround of the business, resulting in a return to revenue growth and gross margin expansion while significantly reducing operating expenses and cash burn.</w:t>
      </w:r>
    </w:p>
    <w:p>
      <w:pPr>
        <w:spacing w:after="0" w:line="10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performed in our approximately 13,000 square foot laboratory located in Vista, California, which is certified under the CLIA and accredited by CAP. Our laboratory is certified for performance of high-complexity testing by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0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Since launching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have produced an extensive body of peer-reviewed literature supporting the test’s clinical validity and utility, demonstrating the importance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patient care. Revenue from this product comprised 91% and 88% of our revenue for the years ended December 31, 2024 and 2023, respectively.</w:t>
      </w:r>
    </w:p>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3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5" w:name="page76"/>
    <w:bookmarkEnd w:id="75"/>
    <w:p>
      <w:pPr>
        <w:jc w:val="both"/>
        <w:spacing w:after="0" w:line="261" w:lineRule="auto"/>
        <w:rPr>
          <w:sz w:val="20"/>
          <w:szCs w:val="20"/>
          <w:color w:val="auto"/>
        </w:rPr>
      </w:pPr>
      <w:r>
        <w:rPr>
          <w:rFonts w:ascii="Arial" w:cs="Arial" w:eastAsia="Arial" w:hAnsi="Arial"/>
          <w:sz w:val="18"/>
          <w:szCs w:val="18"/>
          <w:color w:val="auto"/>
        </w:rPr>
        <w:t>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83" w:lineRule="exact"/>
        <w:rPr>
          <w:sz w:val="20"/>
          <w:szCs w:val="20"/>
          <w:color w:val="auto"/>
        </w:rPr>
      </w:pPr>
    </w:p>
    <w:p>
      <w:pPr>
        <w:jc w:val="both"/>
        <w:ind w:left="660" w:hanging="328"/>
        <w:spacing w:after="0" w:line="226" w:lineRule="auto"/>
        <w:tabs>
          <w:tab w:leader="none" w:pos="683"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Commercial Launch of AVISE</w:t>
      </w:r>
      <w:r>
        <w:rPr>
          <w:rFonts w:ascii="Arial" w:cs="Arial" w:eastAsia="Arial" w:hAnsi="Arial"/>
          <w:sz w:val="23"/>
          <w:szCs w:val="23"/>
          <w:u w:val="single" w:color="auto"/>
          <w:color w:val="auto"/>
          <w:vertAlign w:val="superscript"/>
        </w:rPr>
        <w:t>®</w:t>
      </w:r>
      <w:r>
        <w:rPr>
          <w:rFonts w:ascii="Arial" w:cs="Arial" w:eastAsia="Arial" w:hAnsi="Arial"/>
          <w:sz w:val="18"/>
          <w:szCs w:val="18"/>
          <w:i w:val="1"/>
          <w:iCs w:val="1"/>
          <w:color w:val="auto"/>
        </w:rPr>
        <w:t xml:space="preserve"> CTD Enhancements</w:t>
      </w:r>
      <w:r>
        <w:rPr>
          <w:rFonts w:ascii="Arial" w:cs="Arial" w:eastAsia="Arial" w:hAnsi="Arial"/>
          <w:sz w:val="18"/>
          <w:szCs w:val="18"/>
          <w:color w:val="auto"/>
        </w:rPr>
        <w:t>. Our flagship product,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lupus, rheumatoid arthritis, and Sjögren’s syndrome earlier and with greater accuracy, as compared to the current standard of care. Our laboratory specializes in the testing of rheumatic diseases, delivering precise and timely results, supported by a full suite of AVISE</w:t>
      </w:r>
      <w:r>
        <w:rPr>
          <w:rFonts w:ascii="Arial" w:cs="Arial" w:eastAsia="Arial" w:hAnsi="Arial"/>
          <w:sz w:val="23"/>
          <w:szCs w:val="23"/>
          <w:color w:val="auto"/>
          <w:vertAlign w:val="superscript"/>
        </w:rPr>
        <w:t>®</w:t>
      </w:r>
      <w:r>
        <w:rPr>
          <w:rFonts w:ascii="Arial" w:cs="Arial" w:eastAsia="Arial" w:hAnsi="Arial"/>
          <w:sz w:val="18"/>
          <w:szCs w:val="18"/>
          <w:color w:val="auto"/>
        </w:rPr>
        <w:t>-branded tests for disease diagnosis, prognosis, and monitoring. With a focus on research, innovation, education, and patient-centered care, we are dedicated to addressing the ongoing challenges of autoimmune disease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-685800</wp:posOffset>
            </wp:positionV>
            <wp:extent cx="11029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09"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In January 2025, we announced conditional approval by NYSDOH and commercial launch of our new SLE and RA biomarker assays on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platform. Collectively, we believe these new biomarkers will further improve the clinical utility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providing clinicians with the information they need to definitively diagnose patients and shorten their autoimmune diagnostic journeys. We expect the addition of these new biomarkers will drive gains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average selling price, gross margin expansion and increase demand while positioning us for profitability.</w:t>
      </w:r>
    </w:p>
    <w:p>
      <w:pPr>
        <w:spacing w:after="0" w:line="143" w:lineRule="exact"/>
        <w:rPr>
          <w:sz w:val="20"/>
          <w:szCs w:val="20"/>
          <w:color w:val="auto"/>
        </w:rPr>
      </w:pPr>
    </w:p>
    <w:p>
      <w:pPr>
        <w:jc w:val="both"/>
        <w:ind w:left="660" w:hanging="328"/>
        <w:spacing w:after="0" w:line="242" w:lineRule="auto"/>
        <w:tabs>
          <w:tab w:leader="none" w:pos="656"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color w:val="auto"/>
        </w:rPr>
        <w:t>. 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held claims in the first half of the year which resulted in increases in our accounts receivable and an accelerated decrease in our cash in the first half of the year. As expected, this trend reversed in the second half of the year, as cash was collected on billed tests.</w:t>
      </w:r>
    </w:p>
    <w:p>
      <w:pPr>
        <w:spacing w:after="0" w:line="127" w:lineRule="exact"/>
        <w:rPr>
          <w:rFonts w:ascii="Arial" w:cs="Arial" w:eastAsia="Arial" w:hAnsi="Arial"/>
          <w:sz w:val="18"/>
          <w:szCs w:val="18"/>
          <w:b w:val="1"/>
          <w:bCs w:val="1"/>
          <w:i w:val="1"/>
          <w:iCs w:val="1"/>
          <w:color w:val="auto"/>
        </w:rPr>
      </w:pPr>
    </w:p>
    <w:p>
      <w:pPr>
        <w:jc w:val="both"/>
        <w:ind w:left="660" w:hanging="328"/>
        <w:spacing w:after="0" w:line="224"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Expanding Adoption of AVISE</w:t>
      </w:r>
      <w:r>
        <w:rPr>
          <w:rFonts w:ascii="Arial" w:cs="Arial" w:eastAsia="Arial" w:hAnsi="Arial"/>
          <w:sz w:val="23"/>
          <w:szCs w:val="23"/>
          <w:i w:val="1"/>
          <w:iCs w:val="1"/>
          <w:u w:val="single" w:color="auto"/>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CTD</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in 2012 and through December 31, 2024, we have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1,009,812 of these tests. 122,883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in the year ended December 31, 2024, representing approximately 11% decline over the same period in 2023. The number of ordering healthcare providers in the quarter ended December 31, 2024 was 2,370, representing an approximate 1% decrease over the same period in 2023. Revenue growth for our testing products will depend, in part, on our ability to continue to expand our base of ordering healthcare providers and increase our penetration with existing healthcare providers.</w:t>
      </w:r>
    </w:p>
    <w:p>
      <w:pPr>
        <w:spacing w:after="0" w:line="140" w:lineRule="exact"/>
        <w:rPr>
          <w:rFonts w:ascii="Arial" w:cs="Arial" w:eastAsia="Arial" w:hAnsi="Arial"/>
          <w:sz w:val="18"/>
          <w:szCs w:val="18"/>
          <w:color w:val="auto"/>
        </w:rPr>
      </w:pPr>
    </w:p>
    <w:p>
      <w:pPr>
        <w:jc w:val="both"/>
        <w:ind w:left="660" w:hanging="328"/>
        <w:spacing w:after="0" w:line="247" w:lineRule="auto"/>
        <w:tabs>
          <w:tab w:leader="none" w:pos="683"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spacing w:after="0" w:line="122" w:lineRule="exact"/>
        <w:rPr>
          <w:rFonts w:ascii="Arial" w:cs="Arial" w:eastAsia="Arial" w:hAnsi="Arial"/>
          <w:sz w:val="18"/>
          <w:szCs w:val="18"/>
          <w:color w:val="auto"/>
        </w:rPr>
      </w:pPr>
    </w:p>
    <w:p>
      <w:pPr>
        <w:jc w:val="both"/>
        <w:ind w:left="660" w:hanging="328"/>
        <w:spacing w:after="0" w:line="261"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6" w:name="page77"/>
    <w:bookmarkEnd w:id="76"/>
    <w:p>
      <w:pPr>
        <w:jc w:val="both"/>
        <w:ind w:left="660"/>
        <w:spacing w:after="0" w:line="252" w:lineRule="auto"/>
        <w:rPr>
          <w:sz w:val="20"/>
          <w:szCs w:val="20"/>
          <w:color w:val="auto"/>
        </w:rPr>
      </w:pPr>
      <w:r>
        <w:rPr>
          <w:rFonts w:ascii="Arial" w:cs="Arial" w:eastAsia="Arial" w:hAnsi="Arial"/>
          <w:sz w:val="18"/>
          <w:szCs w:val="18"/>
          <w:color w:val="auto"/>
        </w:rPr>
        <w:t>and reimbursement-oriented clinical studies to facilitate payor coverage of our testing products. We center our efforts around long-term reimbursement and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116" w:lineRule="exact"/>
        <w:rPr>
          <w:sz w:val="20"/>
          <w:szCs w:val="20"/>
          <w:color w:val="auto"/>
        </w:rPr>
      </w:pPr>
    </w:p>
    <w:p>
      <w:pPr>
        <w:jc w:val="both"/>
        <w:ind w:left="660" w:hanging="328"/>
        <w:spacing w:after="0" w:line="235" w:lineRule="auto"/>
        <w:tabs>
          <w:tab w:leader="none" w:pos="67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144" w:lineRule="exact"/>
        <w:rPr>
          <w:rFonts w:ascii="Arial" w:cs="Arial" w:eastAsia="Arial" w:hAnsi="Arial"/>
          <w:sz w:val="18"/>
          <w:szCs w:val="18"/>
          <w:color w:val="auto"/>
        </w:rPr>
      </w:pPr>
    </w:p>
    <w:p>
      <w:pPr>
        <w:jc w:val="both"/>
        <w:ind w:left="660" w:hanging="328"/>
        <w:spacing w:after="0" w:line="253" w:lineRule="auto"/>
        <w:tabs>
          <w:tab w:leader="none" w:pos="683"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comprised 91% and 88% of our revenue for the years ended December 31, 2024 and 2023, respectively.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2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ability to increase our revenue will depend on the success of the commercial launch of the T-Cell Biomarker and RA Sub-Profile Biomarkers enhancements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in addition to our ability to further penetrate the market for our current and future testing products and increase our ASP for tests delivered.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7" w:name="page78"/>
    <w:bookmarkEnd w:id="77"/>
    <w:p>
      <w:pPr>
        <w:jc w:val="both"/>
        <w:spacing w:after="0" w:line="233" w:lineRule="auto"/>
        <w:rPr>
          <w:sz w:val="20"/>
          <w:szCs w:val="20"/>
          <w:color w:val="auto"/>
        </w:rPr>
      </w:pPr>
      <w:r>
        <w:rPr>
          <w:rFonts w:ascii="Arial" w:cs="Arial" w:eastAsia="Arial" w:hAnsi="Arial"/>
          <w:sz w:val="18"/>
          <w:szCs w:val="18"/>
          <w:color w:val="auto"/>
        </w:rPr>
        <w:t>In April 2022, we were granted a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is offered standalone or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Noridian, our MAC, has set the current pricing for this PLA code at $840.65 per test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4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and on September 27, 2022, we received notice that Noridian deemed our application for an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In the meantime, we have continued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 On January 31, 2024, CMS released a coverage article under which all multi-analyte proteomic testing will be considered within the scope of MolDX and reviewed through their technology assessment process. The article listed several such tests, including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and requires all laboratories furnishing multi-analyte proteomics testing in MolDX jurisdictions to register with the 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Diagnostics Exchange Registry and obtain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We were issued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in May 2024. To determine if the submitted tests are compliant with relevant policy requirements, these tests will undergo technical assessment by Palmetto GBA as part of the MolDX program.</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We've experienced moderate declines in test volume since the second half of 2023, as rheumatologists and patients adjust to these changes. We delivered 122,883 tests for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the year ended December 31, 2024 as compared to 137,650 tests for the year ended December 31, 2023 resulting from the expected impacts of revenue cycle management initiatives and the reduction of sales territories which began in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 We expect that our costs of revenue will increase year-over-year in the near-term as a result of costs associated with the addition of the T-Cell Biomarkers and RA Sub-Profile Biomarkers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 We expect that our selling, general and administrative expenses will increase year-over-year in the near-term as a result of increased headcount.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color w:val="auto"/>
        </w:rPr>
        <w:t>up and conducting clinical studies and allocated overhead (including rent and utilities). We expense all research and development costs in the periods in which they are incurred. We expect that our research and development expenses will remain relatively consistent year-over-year in the near-term.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 We expect interest expense to remain relatively consistent in the year ending December 31, 2025 as compared to the year ended December 31,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w:t>
            </w:r>
          </w:p>
        </w:tc>
      </w:tr>
      <w:tr>
        <w:trPr>
          <w:trHeight w:val="17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7"/>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w:t>
            </w:r>
          </w:p>
        </w:tc>
      </w:tr>
      <w:tr>
        <w:trPr>
          <w:trHeight w:val="198"/>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r>
      <w:tr>
        <w:trPr>
          <w:trHeight w:val="200"/>
        </w:trPr>
        <w:tc>
          <w:tcPr>
            <w:tcW w:w="68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46,748</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(5,545)</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9,201</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2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Revenue increased $3.1 million, or 5.9%, for the year ended December 31, 2024 compared to the year ended December 31, 2023, primarily due to improved ASP (including cash collected related to tests performed in prior periods), partially offset by decreased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year-over-year volume resulting from the expected impacts of revenue cycle management initiatives and the reduction of sales territories which began in 2022.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decreased to 122,883 in the year ended December 31, 2024 compared to 137,650 tests delivered in the same 2023 period.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accounted for 91% and 88% of revenue for the years ended December 31, 2024 and 2023, respectively. The number of ordering healthcare providers decreased to 2,370 for the three months ended December 31, 2024 compared to 2,383 in the same 2023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Costs of revenue decreased $0.6 million, or 2.4%, for the year ended December 31, 2024 compared to the year ended December 31, 2023. This decrease was primarily due to decreases of $1.0 million in materials and supplies expenses and additional decreases in facilities and allocated overhead expenses, royalties expenses and phlebotomy expenses. These decreases were partially offset by an increase of $0.7 million in shipping and handling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costs resulting from increased cost-per-shipment, offset in-part by reduced shipping volume; and an increase of $0.7 million in direct labor.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margin as a percentage of revenue increased to 59.5% for the year ended December 31, 2024 compared to 56.1% for the year ended December 31, 2023, primarily due to improved ASP (including cash collected related to tests performed in prior periods) and decreases in materials and supplies expenses, facilities and allocated overhead expenses, royalties expenses and phlebotomy expenses; partially offset by increases in shipping and handling costs resulting from increased cost-per shipment, and increases in direct labor.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Selling, general and administrative expenses decreased $6.1 million, or 12.8%, for the year ended December 31, 2024 compared to the year ended December 31, 2023. This decrease was primarily due to a decrease of $1.8 million in stock-based compensation expense and a decrease of $1.5 million in asset disposal costs related to the assignment of a lease in 2023; in addition to decreases in professional service expenses, legal expenses, insurance expenses, facilities and allocated overhead expenses, personnel costs and audit and tax services. These decreases were partially offset by an increase in commissions.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increased $0.5 million, or 10.5%, for the year ended December 31, 2024 compared to the year ended December 31, 2023. This increase was primarily due to increases of $0.7 million of personnel costs (including salaries, benefits and stock-based compensation) resulting from increased allocation of labor to research and development for laboratory personnel working on the validation of the T-Cell Biomarkers and RA Sub-Profile Biomarkers; and increases in professional service fees and laboratory expenses. These increases were partially offset by decreases of $0.3 million of clinical trial expenses and decreases in facilities and allocated overhead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substantially consistent for the year ended December 31, 2024 compared to the year ended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income decreased $0.7 million for the year ended December 31, 2024 compared to the year ended December 31, 2023, primarily due to lower cash and cash equivalents balances of interest-earning accounts.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remained substantially consistent for the year ended December 31, 2024 compared to the year ended December 31,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incurred net losses since our inception. For the years ended December 31, 2024 and 2023, we incurred a net loss of $15.1 million and $23.7 million, respectively, and we expect to incur additional losses in future periods. To date, we have generated only limited revenue, and despite any estimates we may make regarding our ability to become profitable, we may never achieve revenue sufficient to offset our expenses. As of December 31, 2024, we had an accumulated deficit of $294.3 million and cash and cash equivalents of $22.0 million. Cash in excess of immediate requirements is invested in accordance with our investment policy, primarily with a view to liquidity and capital preservation. Currently, our funds are held in cash and money market funds.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2017 Term Loan. 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0" w:name="page81"/>
    <w:bookmarkEnd w:id="80"/>
    <w:p>
      <w:pPr>
        <w:jc w:val="both"/>
        <w:spacing w:after="0" w:line="244" w:lineRule="auto"/>
        <w:rPr>
          <w:sz w:val="20"/>
          <w:szCs w:val="20"/>
          <w:color w:val="auto"/>
        </w:rPr>
      </w:pPr>
      <w:r>
        <w:rPr>
          <w:rFonts w:ascii="Arial" w:cs="Arial" w:eastAsia="Arial" w:hAnsi="Arial"/>
          <w:sz w:val="18"/>
          <w:szCs w:val="18"/>
          <w:color w:val="auto"/>
        </w:rPr>
        <w:t>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 (i) within thirty days of failing to achieve the performance covenant, we submit a new financial plan approved by our board of directors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As of December 31, 2024, we were in compliance with all covenants of the Amended Loan Agreement with Innovatus.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17, 2023, we filed a registration statement on Form S-3 (Shelf Registration Statement) covering the offering, from time to time, of up to $ 150.0 million of common stock, preferred stock, debt securities, warrants and units, all of which remain available for sale at December 31, 2023.</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15, 2022, we entered into a sales agreement, as amended on November 17, 2023 (the Sales Agreement) with TD Securities (USA) LLC, as sales agent, pursuant to which the Company may offer and sell, from time to time, shares of Company common stock having an aggregate offering price of up to $50.0 million. The Company is not obligated to sell any shares of Company common stock in the offering and, as of December 31, 2024, the Company has not sold any shares of its common stock pursuant to the Sales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costs of revenue as a result of costs associated with the addition of the T-Cell Biomarkers and RA Sub-Profile Biomarkers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finance leases related to our laboratory equipment (see Note 4, "Borrowings," and Note 6, "Commitments and Contingencies," to our audited financial statements included in this Annual Report).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00" w:lineRule="exact"/>
        <w:rPr>
          <w:sz w:val="20"/>
          <w:szCs w:val="20"/>
          <w:color w:val="auto"/>
        </w:rPr>
      </w:pPr>
    </w:p>
    <w:p>
      <w:pPr>
        <w:ind w:left="660" w:right="20" w:hanging="328"/>
        <w:spacing w:after="0" w:line="23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improve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ASP as a result of the launch of the T-Cell Biomarkers and RA Sub-Profile Biomarkers, in addition to our ability to achieve adequate reimbursement for these additions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offering;</w:t>
      </w:r>
    </w:p>
    <w:p>
      <w:pPr>
        <w:spacing w:after="0" w:line="58"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99" w:lineRule="exact"/>
        <w:rPr>
          <w:rFonts w:ascii="Arial" w:cs="Arial" w:eastAsia="Arial" w:hAnsi="Arial"/>
          <w:sz w:val="18"/>
          <w:szCs w:val="18"/>
          <w:color w:val="auto"/>
        </w:rPr>
      </w:pPr>
    </w:p>
    <w:p>
      <w:pPr>
        <w:ind w:left="660" w:hanging="328"/>
        <w:spacing w:after="0" w:line="23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12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1" w:name="page82"/>
    <w:bookmarkEnd w:id="81"/>
    <w:p>
      <w:pPr>
        <w:ind w:left="660" w:hanging="328"/>
        <w:spacing w:after="0" w:line="271" w:lineRule="auto"/>
        <w:tabs>
          <w:tab w:leader="none" w:pos="65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113" w:lineRule="exact"/>
        <w:rPr>
          <w:rFonts w:ascii="Arial" w:cs="Arial" w:eastAsia="Arial" w:hAnsi="Arial"/>
          <w:sz w:val="18"/>
          <w:szCs w:val="18"/>
          <w:b w:val="1"/>
          <w:bCs w:val="1"/>
          <w:color w:val="auto"/>
        </w:rPr>
      </w:pPr>
    </w:p>
    <w:p>
      <w:pPr>
        <w:ind w:left="660" w:hanging="328"/>
        <w:spacing w:after="0" w:line="271" w:lineRule="auto"/>
        <w:tabs>
          <w:tab w:leader="none" w:pos="65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as needed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6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(13,279)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(14,462)</w:t>
            </w:r>
          </w:p>
        </w:tc>
      </w:tr>
      <w:tr>
        <w:trPr>
          <w:trHeight w:val="207"/>
        </w:trPr>
        <w:tc>
          <w:tcPr>
            <w:tcW w:w="8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r>
      <w:tr>
        <w:trPr>
          <w:trHeight w:val="198"/>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cash used in operating activities for the year ended December 31, 2024 was $13.3 million and primarily resulted from (i) our net loss of $15.1 million adjusted for non-cash charges of $4.9 million primarily related to stock-based compensation, depreciation, amortization, non-cash lease expenses and non-cash interest and (ii) changes in our net operating assets of $3.1 million primarily related to net increases in prepaid expenses and other current assets and accounts receivable, and net decreases in operating lease liabilities, partially offset by net increases in accounts payable.</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used in operating activities for the year ended December 31, 2023 was $14.5 million and primarily resulted from (i) our net loss of $23.7 million adjusted for non-cash charges of $8.9 million primarily related to stock-based compensation, depreciation, amortization, loss on disposal of assets primarily related to the assignment of a lease, non-cash lease expenses and non-cash interest and (ii) changes in our net operating assets of $0.3 million primarily related to net increases in prepaid expenses and other current assets and accounts receivable, and net decreases in operating lease liabilities, partially offset by net increases in accrued and other current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for the year ended December 31, 2024 and 2023 was $0.5 million and $0.8 million, respectively, and was primarily due to net purchases of property and equipment.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2" w:name="page83"/>
    <w:bookmarkEnd w:id="82"/>
    <w:p>
      <w:pPr>
        <w:jc w:val="both"/>
        <w:spacing w:after="0" w:line="261" w:lineRule="auto"/>
        <w:rPr>
          <w:sz w:val="20"/>
          <w:szCs w:val="20"/>
          <w:color w:val="auto"/>
        </w:rPr>
      </w:pPr>
      <w:r>
        <w:rPr>
          <w:rFonts w:ascii="Arial" w:cs="Arial" w:eastAsia="Arial" w:hAnsi="Arial"/>
          <w:sz w:val="18"/>
          <w:szCs w:val="18"/>
          <w:color w:val="auto"/>
        </w:rPr>
        <w:t>Net cash used in financing activities for the year ended December 31, 2024 was $0.7 million, primarily consisting of principal payments on finance lease obligations and notes payable, partially offset by the proceeds from the Exagen Inc. 2019 Employee Stock Purchase Plan (the ESPP) purchases.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for the year ended December 31, 2023 was $10.6 million, primarily consisting of principal payments on the Amended Loan Agreement, finance lease obligations and notes payable, partially offset by the proceeds from the ESPP purchases.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accounting principles generally accepted in United States of America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the following accounting estimates are the most critical to us, in that they require our most difficult, subjective or complex judgments in the preparation of our financial statements. For further information, see Note 2, "Summary of Significant Accounting Policies," to our Financial Statements, which outlines our application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commercial payors, government payors (primarily Medicare and Medicaid), client payors (hospitals, other laboratories, etc.) and patient self-pays.</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are recorded upon settlement. The transaction price is estimated using an expected value method on a portfolio basis. Our portfolios are grouped per payor (each individual third-party insurance, Medicare, Medicaid, client payors, patient self-pay, etc.) and per test basis.</w:t>
      </w:r>
    </w:p>
    <w:p>
      <w:pPr>
        <w:spacing w:after="0" w:line="13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judgements underlying estimated collections change, our financial results could be impacted in future periods. Included in revenues for the years ended December 31, 2024 and 2023 were net revenue increases of $ 6.6 million and $3.4 million, respectively, associated with changes in estimated variable consideration related to performance obligations satisfied in previous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"Recent Accounting Pronouncements, of our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2024, our disclosure controls and procedures were effective at a reasonable level of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December 31, 2024, our management assessed the effectiveness of our internal control over financial reporting using the criteria set forth by the Committee of Sponsoring Organizations of the Treadway Commission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our management concluded that, as of December 31, 2024, our internal control over financial reporting was effective.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2024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twelve months ended December 31, 2024, none of our directors or officers adopted or terminated a "Rule 10b5-1 trading arrangement" or "non-Rule 10b5-1 trading arrangement," as each term is defined in Item 408 of Regulation S-K.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an Insider Trading Policy that, among other things, prohibits all officers, directors, and other employees with access to sensitive Company information from engaging in “hedging” transactions with respect to our shares. This includes short sales, hedging of share ownership positions, and transactions involving derivative securities relating to our shares. The Insider Trading Policy also generally prohibits borrowing or other arrangements involving the non-recourse pledge of our shares. This policy is included as Exhibit 19 to this Annual Report.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w:t>
      </w: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BDO USA, P.C., San Diego, California, PCAOB ID #243.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Exhibits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All financial statements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financial statements of Exagen Inc., together with the report thereon of BDO USA, P.C., an independent registered public accounting firm, are included in this Annual Report beginning on page F-2.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schedules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4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43"/>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43"/>
          </w:tcPr>
          <w:p>
            <w:pPr>
              <w:spacing w:after="0" w:line="155" w:lineRule="exact"/>
              <w:rPr>
                <w:rFonts w:ascii="Arial" w:cs="Arial" w:eastAsia="Arial" w:hAnsi="Arial"/>
                <w:sz w:val="14"/>
                <w:szCs w:val="14"/>
                <w:color w:val="0000FF"/>
              </w:rPr>
            </w:pPr>
            <w:hyperlink r:id="rId103">
              <w:r>
                <w:rPr>
                  <w:rFonts w:ascii="Arial" w:cs="Arial" w:eastAsia="Arial" w:hAnsi="Arial"/>
                  <w:sz w:val="14"/>
                  <w:szCs w:val="14"/>
                  <w:color w:val="0000FF"/>
                </w:rPr>
                <w:t>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103">
              <w:r>
                <w:rPr>
                  <w:rFonts w:ascii="Arial" w:cs="Arial" w:eastAsia="Arial" w:hAnsi="Arial"/>
                  <w:sz w:val="14"/>
                  <w:szCs w:val="14"/>
                  <w:color w:val="0000FF"/>
                </w:rPr>
                <w:t>Incorporation.</w:t>
              </w:r>
            </w:hyperlink>
          </w:p>
        </w:tc>
        <w:tc>
          <w:tcPr>
            <w:tcW w:w="1480" w:type="dxa"/>
            <w:vAlign w:val="bottom"/>
            <w:tcBorders>
              <w:top w:val="single" w:sz="8" w:color="0000FF"/>
            </w:tcBorders>
            <w:gridSpan w:val="11"/>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43"/>
          </w:tcPr>
          <w:p>
            <w:pPr>
              <w:spacing w:after="0"/>
              <w:rPr>
                <w:rFonts w:ascii="Arial" w:cs="Arial" w:eastAsia="Arial" w:hAnsi="Arial"/>
                <w:sz w:val="14"/>
                <w:szCs w:val="14"/>
                <w:color w:val="0000FF"/>
              </w:rPr>
            </w:pPr>
            <w:hyperlink r:id="rId104">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43"/>
          </w:tcPr>
          <w:p>
            <w:pPr>
              <w:spacing w:after="0"/>
              <w:rPr>
                <w:rFonts w:ascii="Arial" w:cs="Arial" w:eastAsia="Arial" w:hAnsi="Arial"/>
                <w:sz w:val="14"/>
                <w:szCs w:val="14"/>
                <w:color w:val="0000FF"/>
              </w:rPr>
            </w:pPr>
            <w:hyperlink r:id="rId105">
              <w:r>
                <w:rPr>
                  <w:rFonts w:ascii="Arial" w:cs="Arial" w:eastAsia="Arial" w:hAnsi="Arial"/>
                  <w:sz w:val="14"/>
                  <w:szCs w:val="14"/>
                  <w:color w:val="0000FF"/>
                </w:rPr>
                <w:t>Amendment to Amended and Restated Bylaws,</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56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05">
              <w:r>
                <w:rPr>
                  <w:rFonts w:ascii="Arial" w:cs="Arial" w:eastAsia="Arial" w:hAnsi="Arial"/>
                  <w:sz w:val="14"/>
                  <w:szCs w:val="14"/>
                  <w:color w:val="0000FF"/>
                </w:rPr>
                <w:t>dated January 19, 2023.</w:t>
              </w:r>
            </w:hyperlink>
          </w:p>
        </w:tc>
        <w:tc>
          <w:tcPr>
            <w:tcW w:w="146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43"/>
          </w:tcPr>
          <w:p>
            <w:pPr>
              <w:spacing w:after="0"/>
              <w:rPr>
                <w:rFonts w:ascii="Arial" w:cs="Arial" w:eastAsia="Arial" w:hAnsi="Arial"/>
                <w:sz w:val="14"/>
                <w:szCs w:val="14"/>
                <w:color w:val="0000FF"/>
              </w:rPr>
            </w:pPr>
            <w:hyperlink r:id="rId106">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3100" w:type="dxa"/>
            <w:vAlign w:val="bottom"/>
            <w:tcBorders>
              <w:top w:val="single" w:sz="8" w:color="0000FF"/>
            </w:tcBorders>
            <w:gridSpan w:val="41"/>
          </w:tcPr>
          <w:p>
            <w:pPr>
              <w:spacing w:after="0" w:line="129" w:lineRule="exact"/>
              <w:rPr>
                <w:rFonts w:ascii="Arial" w:cs="Arial" w:eastAsia="Arial" w:hAnsi="Arial"/>
                <w:sz w:val="14"/>
                <w:szCs w:val="14"/>
                <w:color w:val="0000FF"/>
              </w:rPr>
            </w:pPr>
            <w:hyperlink r:id="rId106">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43"/>
          </w:tcPr>
          <w:p>
            <w:pPr>
              <w:spacing w:after="0"/>
              <w:rPr>
                <w:rFonts w:ascii="Arial" w:cs="Arial" w:eastAsia="Arial" w:hAnsi="Arial"/>
                <w:sz w:val="14"/>
                <w:szCs w:val="14"/>
                <w:color w:val="0000FF"/>
              </w:rPr>
            </w:pPr>
            <w:hyperlink r:id="rId107">
              <w:r>
                <w:rPr>
                  <w:rFonts w:ascii="Arial" w:cs="Arial" w:eastAsia="Arial" w:hAnsi="Arial"/>
                  <w:sz w:val="14"/>
                  <w:szCs w:val="14"/>
                  <w:color w:val="0000FF"/>
                </w:rPr>
                <w:t>Form of Common Stock Purchase Warrant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74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gridSpan w:val="43"/>
          </w:tcPr>
          <w:p>
            <w:pPr>
              <w:spacing w:after="0" w:line="115" w:lineRule="exact"/>
              <w:rPr>
                <w:rFonts w:ascii="Arial" w:cs="Arial" w:eastAsia="Arial" w:hAnsi="Arial"/>
                <w:sz w:val="13"/>
                <w:szCs w:val="13"/>
                <w:color w:val="0000FF"/>
              </w:rPr>
            </w:pPr>
            <w:hyperlink r:id="rId107">
              <w:r>
                <w:rPr>
                  <w:rFonts w:ascii="Arial" w:cs="Arial" w:eastAsia="Arial" w:hAnsi="Arial"/>
                  <w:sz w:val="13"/>
                  <w:szCs w:val="13"/>
                  <w:color w:val="0000FF"/>
                </w:rPr>
                <w:t>connection with private placement financings.</w:t>
              </w:r>
            </w:hyperlink>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32"/>
          </w:tcPr>
          <w:p>
            <w:pPr>
              <w:spacing w:after="0"/>
              <w:rPr>
                <w:rFonts w:ascii="Arial" w:cs="Arial" w:eastAsia="Arial" w:hAnsi="Arial"/>
                <w:sz w:val="14"/>
                <w:szCs w:val="14"/>
                <w:color w:val="0000FF"/>
              </w:rPr>
            </w:pPr>
            <w:hyperlink r:id="rId108">
              <w:r>
                <w:rPr>
                  <w:rFonts w:ascii="Arial" w:cs="Arial" w:eastAsia="Arial" w:hAnsi="Arial"/>
                  <w:sz w:val="14"/>
                  <w:szCs w:val="14"/>
                  <w:color w:val="0000FF"/>
                </w:rPr>
                <w:t>Form of Common Stock Purchase Warrant to</w:t>
              </w:r>
            </w:hyperlink>
          </w:p>
        </w:tc>
        <w:tc>
          <w:tcPr>
            <w:tcW w:w="26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43"/>
          </w:tcPr>
          <w:p>
            <w:pPr>
              <w:spacing w:after="0" w:line="129" w:lineRule="exact"/>
              <w:rPr>
                <w:rFonts w:ascii="Arial" w:cs="Arial" w:eastAsia="Arial" w:hAnsi="Arial"/>
                <w:sz w:val="14"/>
                <w:szCs w:val="14"/>
                <w:color w:val="0000FF"/>
              </w:rPr>
            </w:pPr>
            <w:hyperlink r:id="rId108">
              <w:r>
                <w:rPr>
                  <w:rFonts w:ascii="Arial" w:cs="Arial" w:eastAsia="Arial" w:hAnsi="Arial"/>
                  <w:sz w:val="14"/>
                  <w:szCs w:val="14"/>
                  <w:color w:val="0000FF"/>
                </w:rPr>
                <w:t>purchase common stock issued to investors by</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8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08">
              <w:r>
                <w:rPr>
                  <w:rFonts w:ascii="Arial" w:cs="Arial" w:eastAsia="Arial" w:hAnsi="Arial"/>
                  <w:sz w:val="13"/>
                  <w:szCs w:val="13"/>
                  <w:color w:val="0000FF"/>
                </w:rPr>
                <w:t>the Company in 2016.</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bottom w:val="single" w:sz="8" w:color="0000FF"/>
            </w:tcBorders>
            <w:gridSpan w:val="31"/>
          </w:tcPr>
          <w:p>
            <w:pPr>
              <w:spacing w:after="0"/>
              <w:rPr>
                <w:rFonts w:ascii="Arial" w:cs="Arial" w:eastAsia="Arial" w:hAnsi="Arial"/>
                <w:sz w:val="14"/>
                <w:szCs w:val="14"/>
                <w:color w:val="0000FF"/>
              </w:rPr>
            </w:pPr>
            <w:hyperlink r:id="rId109">
              <w:r>
                <w:rPr>
                  <w:rFonts w:ascii="Arial" w:cs="Arial" w:eastAsia="Arial" w:hAnsi="Arial"/>
                  <w:sz w:val="14"/>
                  <w:szCs w:val="14"/>
                  <w:color w:val="0000FF"/>
                </w:rPr>
                <w:t>Form of Warrant to Purchase Stock issued to</w:t>
              </w:r>
            </w:hyperlink>
          </w:p>
        </w:tc>
        <w:tc>
          <w:tcPr>
            <w:tcW w:w="26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3"/>
          </w:tcPr>
          <w:p>
            <w:pPr>
              <w:spacing w:after="0" w:line="129" w:lineRule="exact"/>
              <w:rPr>
                <w:rFonts w:ascii="Arial" w:cs="Arial" w:eastAsia="Arial" w:hAnsi="Arial"/>
                <w:sz w:val="14"/>
                <w:szCs w:val="14"/>
                <w:color w:val="0000FF"/>
              </w:rPr>
            </w:pPr>
            <w:hyperlink r:id="rId109">
              <w:r>
                <w:rPr>
                  <w:rFonts w:ascii="Arial" w:cs="Arial" w:eastAsia="Arial" w:hAnsi="Arial"/>
                  <w:sz w:val="14"/>
                  <w:szCs w:val="14"/>
                  <w:color w:val="0000FF"/>
                </w:rPr>
                <w:t>Innovatus Life Sciences Lending Fund I, LP in</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94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09">
              <w:r>
                <w:rPr>
                  <w:rFonts w:ascii="Arial" w:cs="Arial" w:eastAsia="Arial" w:hAnsi="Arial"/>
                  <w:sz w:val="13"/>
                  <w:szCs w:val="13"/>
                  <w:color w:val="0000FF"/>
                </w:rPr>
                <w:t>connection with the Company's 2018 loan</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6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09">
              <w:r>
                <w:rPr>
                  <w:rFonts w:ascii="Arial" w:cs="Arial" w:eastAsia="Arial" w:hAnsi="Arial"/>
                  <w:sz w:val="14"/>
                  <w:szCs w:val="14"/>
                  <w:color w:val="0000FF"/>
                </w:rPr>
                <w:t>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1760" w:type="dxa"/>
            <w:vAlign w:val="bottom"/>
            <w:tcBorders>
              <w:bottom w:val="single" w:sz="8" w:color="0000FF"/>
            </w:tcBorders>
            <w:gridSpan w:val="11"/>
          </w:tcPr>
          <w:p>
            <w:pPr>
              <w:spacing w:after="0"/>
              <w:rPr>
                <w:rFonts w:ascii="Arial" w:cs="Arial" w:eastAsia="Arial" w:hAnsi="Arial"/>
                <w:sz w:val="14"/>
                <w:szCs w:val="14"/>
                <w:color w:val="0000FF"/>
              </w:rPr>
            </w:pPr>
            <w:hyperlink r:id="rId110">
              <w:r>
                <w:rPr>
                  <w:rFonts w:ascii="Arial" w:cs="Arial" w:eastAsia="Arial" w:hAnsi="Arial"/>
                  <w:sz w:val="14"/>
                  <w:szCs w:val="14"/>
                  <w:color w:val="0000FF"/>
                </w:rPr>
                <w:t>Form of Exchange Warrant.</w:t>
              </w:r>
            </w:hyperlink>
          </w:p>
        </w:tc>
        <w:tc>
          <w:tcPr>
            <w:tcW w:w="1380" w:type="dxa"/>
            <w:vAlign w:val="bottom"/>
            <w:gridSpan w:val="32"/>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3140" w:type="dxa"/>
            <w:vAlign w:val="bottom"/>
            <w:gridSpan w:val="43"/>
          </w:tcPr>
          <w:p>
            <w:pPr>
              <w:spacing w:after="0"/>
              <w:rPr>
                <w:rFonts w:ascii="Arial" w:cs="Arial" w:eastAsia="Arial" w:hAnsi="Arial"/>
                <w:sz w:val="14"/>
                <w:szCs w:val="14"/>
                <w:color w:val="0000FF"/>
              </w:rPr>
            </w:pPr>
            <w:hyperlink r:id="rId111">
              <w:r>
                <w:rPr>
                  <w:rFonts w:ascii="Arial" w:cs="Arial" w:eastAsia="Arial" w:hAnsi="Arial"/>
                  <w:sz w:val="14"/>
                  <w:szCs w:val="14"/>
                  <w:color w:val="0000FF"/>
                </w:rPr>
                <w:t>Description of Securities</w:t>
              </w:r>
            </w:hyperlink>
            <w:r>
              <w:rPr>
                <w:rFonts w:ascii="Arial" w:cs="Arial" w:eastAsia="Arial" w:hAnsi="Arial"/>
                <w:sz w:val="14"/>
                <w:szCs w:val="14"/>
                <w:color w:val="000000"/>
              </w:rPr>
              <w:t>.</w:t>
            </w: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3/18/2024</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12">
              <w:r>
                <w:rPr>
                  <w:rFonts w:ascii="Arial" w:cs="Arial" w:eastAsia="Arial" w:hAnsi="Arial"/>
                  <w:sz w:val="14"/>
                  <w:szCs w:val="14"/>
                  <w:color w:val="0000FF"/>
                </w:rPr>
                <w:t>Exagen Diagnostics, Inc. 2013 Stock Option</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28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12">
              <w:r>
                <w:rPr>
                  <w:rFonts w:ascii="Arial" w:cs="Arial" w:eastAsia="Arial" w:hAnsi="Arial"/>
                  <w:sz w:val="14"/>
                  <w:szCs w:val="14"/>
                  <w:color w:val="0000FF"/>
                </w:rPr>
                <w:t>Plan, as amended, and form of option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12">
              <w:r>
                <w:rPr>
                  <w:rFonts w:ascii="Arial" w:cs="Arial" w:eastAsia="Arial" w:hAnsi="Arial"/>
                  <w:sz w:val="13"/>
                  <w:szCs w:val="13"/>
                  <w:color w:val="0000FF"/>
                </w:rPr>
                <w:t>agreement thereunder.</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3140" w:type="dxa"/>
            <w:vAlign w:val="bottom"/>
            <w:gridSpan w:val="43"/>
          </w:tcPr>
          <w:p>
            <w:pPr>
              <w:spacing w:after="0"/>
              <w:rPr>
                <w:rFonts w:ascii="Arial" w:cs="Arial" w:eastAsia="Arial" w:hAnsi="Arial"/>
                <w:sz w:val="14"/>
                <w:szCs w:val="14"/>
                <w:color w:val="0000FF"/>
              </w:rPr>
            </w:pPr>
            <w:hyperlink r:id="rId113">
              <w:r>
                <w:rPr>
                  <w:rFonts w:ascii="Arial" w:cs="Arial" w:eastAsia="Arial" w:hAnsi="Arial"/>
                  <w:sz w:val="14"/>
                  <w:szCs w:val="14"/>
                  <w:color w:val="0000FF"/>
                </w:rPr>
                <w:t>Exagen Inc. 2019 Incentive Award Plan.</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3140" w:type="dxa"/>
            <w:vAlign w:val="bottom"/>
            <w:gridSpan w:val="43"/>
          </w:tcPr>
          <w:p>
            <w:pPr>
              <w:spacing w:after="0"/>
              <w:rPr>
                <w:rFonts w:ascii="Arial" w:cs="Arial" w:eastAsia="Arial" w:hAnsi="Arial"/>
                <w:sz w:val="14"/>
                <w:szCs w:val="14"/>
                <w:color w:val="0000FF"/>
              </w:rPr>
            </w:pPr>
            <w:hyperlink r:id="rId114">
              <w:r>
                <w:rPr>
                  <w:rFonts w:ascii="Arial" w:cs="Arial" w:eastAsia="Arial" w:hAnsi="Arial"/>
                  <w:sz w:val="14"/>
                  <w:szCs w:val="14"/>
                  <w:color w:val="0000FF"/>
                </w:rPr>
                <w:t>Form of Option Agreement under Exagen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9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114">
              <w:r>
                <w:rPr>
                  <w:rFonts w:ascii="Arial" w:cs="Arial" w:eastAsia="Arial" w:hAnsi="Arial"/>
                  <w:sz w:val="14"/>
                  <w:szCs w:val="14"/>
                  <w:color w:val="0000FF"/>
                </w:rPr>
                <w:t>2019 Incentive Award Plan.</w:t>
              </w:r>
            </w:hyperlink>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40" w:type="dxa"/>
            <w:vAlign w:val="bottom"/>
            <w:gridSpan w:val="43"/>
          </w:tcPr>
          <w:p>
            <w:pPr>
              <w:spacing w:after="0"/>
              <w:rPr>
                <w:rFonts w:ascii="Arial" w:cs="Arial" w:eastAsia="Arial" w:hAnsi="Arial"/>
                <w:sz w:val="14"/>
                <w:szCs w:val="14"/>
                <w:color w:val="0000FF"/>
              </w:rPr>
            </w:pPr>
            <w:hyperlink r:id="rId115">
              <w:r>
                <w:rPr>
                  <w:rFonts w:ascii="Arial" w:cs="Arial" w:eastAsia="Arial" w:hAnsi="Arial"/>
                  <w:sz w:val="14"/>
                  <w:szCs w:val="14"/>
                  <w:color w:val="0000FF"/>
                </w:rPr>
                <w:t>Form of Restricted Stock Unit Agreement under</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04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15">
              <w:r>
                <w:rPr>
                  <w:rFonts w:ascii="Arial" w:cs="Arial" w:eastAsia="Arial" w:hAnsi="Arial"/>
                  <w:sz w:val="14"/>
                  <w:szCs w:val="14"/>
                  <w:color w:val="0000FF"/>
                </w:rPr>
                <w:t>Exagen Inc. 2019 Incentive Award Plan.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40" w:type="dxa"/>
            <w:vAlign w:val="bottom"/>
            <w:gridSpan w:val="43"/>
          </w:tcPr>
          <w:p>
            <w:pPr>
              <w:spacing w:after="0"/>
              <w:rPr>
                <w:rFonts w:ascii="Arial" w:cs="Arial" w:eastAsia="Arial" w:hAnsi="Arial"/>
                <w:sz w:val="14"/>
                <w:szCs w:val="14"/>
                <w:color w:val="0000FF"/>
              </w:rPr>
            </w:pPr>
            <w:hyperlink r:id="rId116">
              <w:r>
                <w:rPr>
                  <w:rFonts w:ascii="Arial" w:cs="Arial" w:eastAsia="Arial" w:hAnsi="Arial"/>
                  <w:sz w:val="14"/>
                  <w:szCs w:val="14"/>
                  <w:color w:val="0000FF"/>
                </w:rPr>
                <w:t>Exagen Inc. 2019 Employee Stock Purchase</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8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16">
              <w:r>
                <w:rPr>
                  <w:rFonts w:ascii="Arial" w:cs="Arial" w:eastAsia="Arial" w:hAnsi="Arial"/>
                  <w:sz w:val="14"/>
                  <w:szCs w:val="14"/>
                  <w:color w:val="0000FF"/>
                </w:rPr>
                <w:t>Plan.</w:t>
              </w:r>
            </w:hyperlink>
          </w:p>
        </w:tc>
        <w:tc>
          <w:tcPr>
            <w:tcW w:w="20" w:type="dxa"/>
            <w:vAlign w:val="bottom"/>
          </w:tcPr>
          <w:p>
            <w:pPr>
              <w:spacing w:after="0"/>
              <w:rPr>
                <w:sz w:val="11"/>
                <w:szCs w:val="11"/>
                <w:color w:val="auto"/>
              </w:rPr>
            </w:pPr>
          </w:p>
        </w:tc>
        <w:tc>
          <w:tcPr>
            <w:tcW w:w="20" w:type="dxa"/>
            <w:vAlign w:val="bottom"/>
            <w:gridSpan w:val="2"/>
          </w:tcPr>
          <w:p>
            <w:pPr>
              <w:spacing w:after="0"/>
              <w:rPr>
                <w:sz w:val="11"/>
                <w:szCs w:val="11"/>
                <w:color w:val="auto"/>
              </w:rPr>
            </w:pPr>
          </w:p>
        </w:tc>
        <w:tc>
          <w:tcPr>
            <w:tcW w:w="16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900" w:type="dxa"/>
            <w:vAlign w:val="bottom"/>
            <w:tcBorders>
              <w:bottom w:val="single" w:sz="8" w:color="0000FF"/>
            </w:tcBorders>
            <w:gridSpan w:val="33"/>
          </w:tcPr>
          <w:p>
            <w:pPr>
              <w:spacing w:after="0"/>
              <w:rPr>
                <w:rFonts w:ascii="Arial" w:cs="Arial" w:eastAsia="Arial" w:hAnsi="Arial"/>
                <w:sz w:val="14"/>
                <w:szCs w:val="14"/>
                <w:color w:val="0000FF"/>
              </w:rPr>
            </w:pPr>
            <w:hyperlink r:id="rId117">
              <w:r>
                <w:rPr>
                  <w:rFonts w:ascii="Arial" w:cs="Arial" w:eastAsia="Arial" w:hAnsi="Arial"/>
                  <w:sz w:val="14"/>
                  <w:szCs w:val="14"/>
                  <w:color w:val="0000FF"/>
                </w:rPr>
                <w:t>Asset Purchase Agreement, dated October 8,</w:t>
              </w:r>
            </w:hyperlink>
          </w:p>
        </w:tc>
        <w:tc>
          <w:tcPr>
            <w:tcW w:w="240" w:type="dxa"/>
            <w:vAlign w:val="bottom"/>
            <w:gridSpan w:val="10"/>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40" w:type="dxa"/>
            <w:vAlign w:val="bottom"/>
            <w:gridSpan w:val="43"/>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2010, by and between Cypress Bioscience,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108"/>
              <w:spacing w:after="0"/>
              <w:rPr>
                <w:sz w:val="20"/>
                <w:szCs w:val="20"/>
                <w:color w:val="auto"/>
              </w:rPr>
            </w:pPr>
            <w:r>
              <w:rPr>
                <w:rFonts w:ascii="Arial" w:cs="Arial" w:eastAsia="Arial" w:hAnsi="Arial"/>
                <w:sz w:val="14"/>
                <w:szCs w:val="14"/>
                <w:color w:val="auto"/>
                <w:w w:val="96"/>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06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117">
              <w:r>
                <w:rPr>
                  <w:rFonts w:ascii="Arial" w:cs="Arial" w:eastAsia="Arial" w:hAnsi="Arial"/>
                  <w:sz w:val="13"/>
                  <w:szCs w:val="13"/>
                  <w:color w:val="0000FF"/>
                </w:rPr>
                <w:t>Proprius, Inc. and the Company.</w:t>
              </w:r>
            </w:hyperlink>
          </w:p>
        </w:tc>
        <w:tc>
          <w:tcPr>
            <w:tcW w:w="100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580" w:type="dxa"/>
            <w:vAlign w:val="bottom"/>
            <w:tcBorders>
              <w:bottom w:val="single" w:sz="8" w:color="0000FF"/>
            </w:tcBorders>
            <w:gridSpan w:val="19"/>
          </w:tcPr>
          <w:p>
            <w:pPr>
              <w:spacing w:after="0"/>
              <w:rPr>
                <w:rFonts w:ascii="Arial" w:cs="Arial" w:eastAsia="Arial" w:hAnsi="Arial"/>
                <w:sz w:val="14"/>
                <w:szCs w:val="14"/>
                <w:color w:val="0000FF"/>
              </w:rPr>
            </w:pPr>
            <w:hyperlink r:id="rId118">
              <w:r>
                <w:rPr>
                  <w:rFonts w:ascii="Arial" w:cs="Arial" w:eastAsia="Arial" w:hAnsi="Arial"/>
                  <w:sz w:val="14"/>
                  <w:szCs w:val="14"/>
                  <w:color w:val="0000FF"/>
                </w:rPr>
                <w:t>Amendment No. One to Asset Purchase</w:t>
              </w:r>
            </w:hyperlink>
          </w:p>
        </w:tc>
        <w:tc>
          <w:tcPr>
            <w:tcW w:w="560" w:type="dxa"/>
            <w:vAlign w:val="bottom"/>
            <w:gridSpan w:val="24"/>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40" w:type="dxa"/>
            <w:vAlign w:val="bottom"/>
            <w:gridSpan w:val="43"/>
          </w:tcPr>
          <w:p>
            <w:pPr>
              <w:spacing w:after="0" w:line="115" w:lineRule="exact"/>
              <w:rPr>
                <w:rFonts w:ascii="Arial" w:cs="Arial" w:eastAsia="Arial" w:hAnsi="Arial"/>
                <w:sz w:val="13"/>
                <w:szCs w:val="13"/>
                <w:color w:val="0000FF"/>
              </w:rPr>
            </w:pPr>
            <w:hyperlink r:id="rId118">
              <w:r>
                <w:rPr>
                  <w:rFonts w:ascii="Arial" w:cs="Arial" w:eastAsia="Arial" w:hAnsi="Arial"/>
                  <w:sz w:val="13"/>
                  <w:szCs w:val="13"/>
                  <w:color w:val="0000FF"/>
                </w:rPr>
                <w:t>Agreement, dated March 10, 2011, by 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2720" w:type="dxa"/>
            <w:vAlign w:val="bottom"/>
            <w:tcBorders>
              <w:top w:val="single" w:sz="8" w:color="0000FF"/>
            </w:tcBorders>
            <w:gridSpan w:val="23"/>
          </w:tcPr>
          <w:p>
            <w:pPr>
              <w:spacing w:after="0" w:line="122" w:lineRule="exact"/>
              <w:rPr>
                <w:rFonts w:ascii="Arial" w:cs="Arial" w:eastAsia="Arial" w:hAnsi="Arial"/>
                <w:sz w:val="14"/>
                <w:szCs w:val="14"/>
                <w:color w:val="0000FF"/>
                <w:w w:val="98"/>
              </w:rPr>
            </w:pPr>
            <w:hyperlink r:id="rId118">
              <w:r>
                <w:rPr>
                  <w:rFonts w:ascii="Arial" w:cs="Arial" w:eastAsia="Arial" w:hAnsi="Arial"/>
                  <w:sz w:val="14"/>
                  <w:szCs w:val="14"/>
                  <w:color w:val="0000FF"/>
                  <w:w w:val="98"/>
                </w:rPr>
                <w:t>between Cypress Bioscience, Inc., Proprius,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00" w:type="dxa"/>
            <w:vAlign w:val="bottom"/>
            <w:gridSpan w:val="14"/>
          </w:tcPr>
          <w:p>
            <w:pPr>
              <w:spacing w:after="0" w:line="122" w:lineRule="exact"/>
              <w:rPr>
                <w:rFonts w:ascii="Arial" w:cs="Arial" w:eastAsia="Arial" w:hAnsi="Arial"/>
                <w:sz w:val="14"/>
                <w:szCs w:val="14"/>
                <w:color w:val="0000FF"/>
              </w:rPr>
            </w:pPr>
            <w:hyperlink r:id="rId118">
              <w:r>
                <w:rPr>
                  <w:rFonts w:ascii="Arial" w:cs="Arial" w:eastAsia="Arial" w:hAnsi="Arial"/>
                  <w:sz w:val="14"/>
                  <w:szCs w:val="14"/>
                  <w:color w:val="0000FF"/>
                </w:rPr>
                <w:t>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9"/>
              </w:rPr>
            </w:pPr>
            <w:hyperlink r:id="rId118">
              <w:r>
                <w:rPr>
                  <w:rFonts w:ascii="Arial" w:cs="Arial" w:eastAsia="Arial" w:hAnsi="Arial"/>
                  <w:sz w:val="14"/>
                  <w:szCs w:val="14"/>
                  <w:color w:val="0000FF"/>
                  <w:w w:val="99"/>
                </w:rPr>
                <w:t>and the Company.</w:t>
              </w:r>
            </w:hyperlink>
          </w:p>
        </w:tc>
        <w:tc>
          <w:tcPr>
            <w:tcW w:w="1920" w:type="dxa"/>
            <w:vAlign w:val="bottom"/>
            <w:tcBorders>
              <w:top w:val="single" w:sz="8" w:color="0000FF"/>
            </w:tcBorders>
            <w:gridSpan w:val="3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19">
              <w:r>
                <w:rPr>
                  <w:rFonts w:ascii="Arial" w:cs="Arial" w:eastAsia="Arial" w:hAnsi="Arial"/>
                  <w:sz w:val="14"/>
                  <w:szCs w:val="14"/>
                  <w:color w:val="0000FF"/>
                </w:rPr>
                <w:t>Amendment No. Two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4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Agreement, dated August 21, 2012, by</w:t>
              </w:r>
            </w:hyperlink>
          </w:p>
        </w:tc>
        <w:tc>
          <w:tcPr>
            <w:tcW w:w="600" w:type="dxa"/>
            <w:vAlign w:val="bottom"/>
            <w:gridSpan w:val="26"/>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276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19">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7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Proprius, Inc. and the Company.</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4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40" w:type="dxa"/>
            <w:vAlign w:val="bottom"/>
            <w:gridSpan w:val="1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tcBorders>
              <w:bottom w:val="single" w:sz="8" w:color="0000FF"/>
            </w:tcBorders>
            <w:gridSpan w:val="21"/>
          </w:tcPr>
          <w:p>
            <w:pPr>
              <w:spacing w:after="0"/>
              <w:rPr>
                <w:rFonts w:ascii="Arial" w:cs="Arial" w:eastAsia="Arial" w:hAnsi="Arial"/>
                <w:sz w:val="14"/>
                <w:szCs w:val="14"/>
                <w:color w:val="0000FF"/>
              </w:rPr>
            </w:pPr>
            <w:hyperlink r:id="rId120">
              <w:r>
                <w:rPr>
                  <w:rFonts w:ascii="Arial" w:cs="Arial" w:eastAsia="Arial" w:hAnsi="Arial"/>
                  <w:sz w:val="14"/>
                  <w:szCs w:val="14"/>
                  <w:color w:val="0000FF"/>
                </w:rPr>
                <w:t>Amendment No. Three to Asset Purchase</w:t>
              </w:r>
            </w:hyperlink>
          </w:p>
        </w:tc>
        <w:tc>
          <w:tcPr>
            <w:tcW w:w="460" w:type="dxa"/>
            <w:vAlign w:val="bottom"/>
            <w:gridSpan w:val="2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3"/>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Agreement, dated February 6,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280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20">
              <w:r>
                <w:rPr>
                  <w:rFonts w:ascii="Arial" w:cs="Arial" w:eastAsia="Arial" w:hAnsi="Arial"/>
                  <w:sz w:val="13"/>
                  <w:szCs w:val="13"/>
                  <w:color w:val="0000FF"/>
                </w:rPr>
                <w:t>between Royalty Pharma Collection Trust,</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4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21">
              <w:r>
                <w:rPr>
                  <w:rFonts w:ascii="Arial" w:cs="Arial" w:eastAsia="Arial" w:hAnsi="Arial"/>
                  <w:sz w:val="14"/>
                  <w:szCs w:val="14"/>
                  <w:color w:val="0000FF"/>
                </w:rPr>
                <w:t>Amendment No. Four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21">
              <w:r>
                <w:rPr>
                  <w:rFonts w:ascii="Arial" w:cs="Arial" w:eastAsia="Arial" w:hAnsi="Arial"/>
                  <w:sz w:val="14"/>
                  <w:szCs w:val="14"/>
                  <w:color w:val="0000FF"/>
                </w:rPr>
                <w:t>Agreement and Consent, dated October</w:t>
              </w:r>
            </w:hyperlink>
          </w:p>
        </w:tc>
        <w:tc>
          <w:tcPr>
            <w:tcW w:w="560" w:type="dxa"/>
            <w:vAlign w:val="bottom"/>
            <w:gridSpan w:val="24"/>
          </w:tcPr>
          <w:p>
            <w:pPr>
              <w:jc w:val="right"/>
              <w:ind w:right="40"/>
              <w:spacing w:after="0" w:line="129" w:lineRule="exact"/>
              <w:rPr>
                <w:rFonts w:ascii="Arial" w:cs="Arial" w:eastAsia="Arial" w:hAnsi="Arial"/>
                <w:sz w:val="14"/>
                <w:szCs w:val="14"/>
                <w:color w:val="0000FF"/>
                <w:w w:val="98"/>
              </w:rPr>
            </w:pPr>
            <w:hyperlink r:id="rId121">
              <w:r>
                <w:rPr>
                  <w:rFonts w:ascii="Arial" w:cs="Arial" w:eastAsia="Arial" w:hAnsi="Arial"/>
                  <w:sz w:val="14"/>
                  <w:szCs w:val="14"/>
                  <w:color w:val="0000FF"/>
                  <w:w w:val="98"/>
                </w:rPr>
                <w:t>8, 2013,</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312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by and between Royalty Pharma Collection</w:t>
              </w:r>
            </w:hyperlink>
          </w:p>
        </w:tc>
        <w:tc>
          <w:tcPr>
            <w:tcW w:w="20" w:type="dxa"/>
            <w:vAlign w:val="bottom"/>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78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21">
              <w:r>
                <w:rPr>
                  <w:rFonts w:ascii="Arial" w:cs="Arial" w:eastAsia="Arial" w:hAnsi="Arial"/>
                  <w:sz w:val="14"/>
                  <w:szCs w:val="14"/>
                  <w:color w:val="0000FF"/>
                </w:rPr>
                <w:t>Trust, Proprius, Inc. and the Company.</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60" w:type="dxa"/>
            <w:vAlign w:val="bottom"/>
            <w:gridSpan w:val="1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gridSpan w:val="1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Amendment No. Five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Agreement, dated January 26, 2016, by</w:t>
              </w:r>
            </w:hyperlink>
          </w:p>
        </w:tc>
        <w:tc>
          <w:tcPr>
            <w:tcW w:w="580" w:type="dxa"/>
            <w:vAlign w:val="bottom"/>
            <w:gridSpan w:val="25"/>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284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22">
              <w:r>
                <w:rPr>
                  <w:rFonts w:ascii="Arial" w:cs="Arial" w:eastAsia="Arial" w:hAnsi="Arial"/>
                  <w:sz w:val="13"/>
                  <w:szCs w:val="13"/>
                  <w:color w:val="0000FF"/>
                </w:rPr>
                <w:t>between Royalty Pharma Collection Trust,</w:t>
              </w:r>
            </w:hyperlink>
          </w:p>
        </w:tc>
        <w:tc>
          <w:tcPr>
            <w:tcW w:w="40" w:type="dxa"/>
            <w:vAlign w:val="bottom"/>
            <w:gridSpan w:val="2"/>
          </w:tcPr>
          <w:p>
            <w:pPr>
              <w:spacing w:after="0"/>
              <w:rPr>
                <w:sz w:val="10"/>
                <w:szCs w:val="10"/>
                <w:color w:val="auto"/>
              </w:rPr>
            </w:pPr>
          </w:p>
        </w:tc>
        <w:tc>
          <w:tcPr>
            <w:tcW w:w="260" w:type="dxa"/>
            <w:vAlign w:val="bottom"/>
            <w:gridSpan w:val="1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180" w:type="dxa"/>
            <w:vAlign w:val="bottom"/>
            <w:gridSpan w:val="9"/>
          </w:tcPr>
          <w:p>
            <w:pPr>
              <w:spacing w:after="0"/>
              <w:rPr>
                <w:sz w:val="11"/>
                <w:szCs w:val="11"/>
                <w:color w:val="auto"/>
              </w:rPr>
            </w:pPr>
          </w:p>
        </w:tc>
        <w:tc>
          <w:tcPr>
            <w:tcW w:w="260" w:type="dxa"/>
            <w:vAlign w:val="bottom"/>
            <w:gridSpan w:val="1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540" w:type="dxa"/>
            <w:vAlign w:val="bottom"/>
            <w:tcBorders>
              <w:bottom w:val="single" w:sz="8" w:color="0000FF"/>
            </w:tcBorders>
            <w:gridSpan w:val="17"/>
          </w:tcPr>
          <w:p>
            <w:pPr>
              <w:spacing w:after="0"/>
              <w:rPr>
                <w:rFonts w:ascii="Arial" w:cs="Arial" w:eastAsia="Arial" w:hAnsi="Arial"/>
                <w:sz w:val="14"/>
                <w:szCs w:val="14"/>
                <w:color w:val="0000FF"/>
              </w:rPr>
            </w:pPr>
            <w:hyperlink r:id="rId123">
              <w:r>
                <w:rPr>
                  <w:rFonts w:ascii="Arial" w:cs="Arial" w:eastAsia="Arial" w:hAnsi="Arial"/>
                  <w:sz w:val="14"/>
                  <w:szCs w:val="14"/>
                  <w:color w:val="0000FF"/>
                </w:rPr>
                <w:t>Amendment No. Six to Asset Purchase</w:t>
              </w:r>
            </w:hyperlink>
          </w:p>
        </w:tc>
        <w:tc>
          <w:tcPr>
            <w:tcW w:w="600" w:type="dxa"/>
            <w:vAlign w:val="bottom"/>
            <w:gridSpan w:val="26"/>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3"/>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Agreement, dated February 16, 2017,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10.12†</w:t>
            </w:r>
          </w:p>
        </w:tc>
        <w:tc>
          <w:tcPr>
            <w:tcW w:w="288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23">
              <w:r>
                <w:rPr>
                  <w:rFonts w:ascii="Arial" w:cs="Arial" w:eastAsia="Arial" w:hAnsi="Arial"/>
                  <w:sz w:val="13"/>
                  <w:szCs w:val="13"/>
                  <w:color w:val="0000FF"/>
                </w:rPr>
                <w:t>between Royalty Pharma Collection Trust,</w:t>
              </w:r>
            </w:hyperlink>
          </w:p>
        </w:tc>
        <w:tc>
          <w:tcPr>
            <w:tcW w:w="260" w:type="dxa"/>
            <w:vAlign w:val="bottom"/>
            <w:gridSpan w:val="1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440" w:type="dxa"/>
            <w:vAlign w:val="bottom"/>
            <w:gridSpan w:val="21"/>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33" w:right="11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42"/>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Amended and Restated Exclusive License</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68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Agreement, dated August 2, 2011, by and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2"/>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between the University of Pittsburgh-Of the</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10.13†</w:t>
            </w:r>
          </w:p>
        </w:tc>
        <w:tc>
          <w:tcPr>
            <w:tcW w:w="2740" w:type="dxa"/>
            <w:vAlign w:val="bottom"/>
            <w:tcBorders>
              <w:top w:val="single" w:sz="8" w:color="0000FF"/>
            </w:tcBorders>
            <w:gridSpan w:val="21"/>
          </w:tcPr>
          <w:p>
            <w:pPr>
              <w:spacing w:after="0" w:line="129" w:lineRule="exact"/>
              <w:rPr>
                <w:rFonts w:ascii="Arial" w:cs="Arial" w:eastAsia="Arial" w:hAnsi="Arial"/>
                <w:sz w:val="14"/>
                <w:szCs w:val="14"/>
                <w:color w:val="0000FF"/>
                <w:w w:val="99"/>
              </w:rPr>
            </w:pPr>
            <w:hyperlink r:id="rId125">
              <w:r>
                <w:rPr>
                  <w:rFonts w:ascii="Arial" w:cs="Arial" w:eastAsia="Arial" w:hAnsi="Arial"/>
                  <w:sz w:val="14"/>
                  <w:szCs w:val="14"/>
                  <w:color w:val="0000FF"/>
                  <w:w w:val="99"/>
                </w:rPr>
                <w:t>Commonwealth System of Higher Education</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16"/>
          </w:tcPr>
          <w:p>
            <w:pPr>
              <w:jc w:val="right"/>
              <w:ind w:right="160"/>
              <w:spacing w:after="0" w:line="129" w:lineRule="exact"/>
              <w:rPr>
                <w:rFonts w:ascii="Arial" w:cs="Arial" w:eastAsia="Arial" w:hAnsi="Arial"/>
                <w:sz w:val="14"/>
                <w:szCs w:val="14"/>
                <w:color w:val="0000FF"/>
                <w:w w:val="93"/>
              </w:rPr>
            </w:pPr>
            <w:hyperlink r:id="rId125">
              <w:r>
                <w:rPr>
                  <w:rFonts w:ascii="Arial" w:cs="Arial" w:eastAsia="Arial" w:hAnsi="Arial"/>
                  <w:sz w:val="14"/>
                  <w:szCs w:val="14"/>
                  <w:color w:val="0000FF"/>
                  <w:w w:val="93"/>
                </w:rPr>
                <w:t>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8"/>
              </w:rPr>
            </w:pPr>
            <w:hyperlink r:id="rId125">
              <w:r>
                <w:rPr>
                  <w:rFonts w:ascii="Arial" w:cs="Arial" w:eastAsia="Arial" w:hAnsi="Arial"/>
                  <w:sz w:val="14"/>
                  <w:szCs w:val="14"/>
                  <w:color w:val="0000FF"/>
                  <w:w w:val="98"/>
                </w:rPr>
                <w:t>the Company.</w:t>
              </w:r>
            </w:hyperlink>
          </w:p>
        </w:tc>
        <w:tc>
          <w:tcPr>
            <w:tcW w:w="2300" w:type="dxa"/>
            <w:vAlign w:val="bottom"/>
            <w:tcBorders>
              <w:top w:val="single" w:sz="8" w:color="0000FF"/>
            </w:tcBorders>
            <w:gridSpan w:val="40"/>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40" w:type="dxa"/>
            <w:vAlign w:val="bottom"/>
            <w:tcBorders>
              <w:bottom w:val="single" w:sz="8" w:color="0000FF"/>
            </w:tcBorders>
            <w:gridSpan w:val="25"/>
          </w:tcPr>
          <w:p>
            <w:pPr>
              <w:spacing w:after="0"/>
              <w:rPr>
                <w:rFonts w:ascii="Arial" w:cs="Arial" w:eastAsia="Arial" w:hAnsi="Arial"/>
                <w:sz w:val="14"/>
                <w:szCs w:val="14"/>
                <w:color w:val="0000FF"/>
              </w:rPr>
            </w:pPr>
            <w:hyperlink r:id="rId126">
              <w:r>
                <w:rPr>
                  <w:rFonts w:ascii="Arial" w:cs="Arial" w:eastAsia="Arial" w:hAnsi="Arial"/>
                  <w:sz w:val="14"/>
                  <w:szCs w:val="14"/>
                  <w:color w:val="0000FF"/>
                </w:rPr>
                <w:t>First Amendment to Amended and Restated</w:t>
              </w:r>
            </w:hyperlink>
          </w:p>
        </w:tc>
        <w:tc>
          <w:tcPr>
            <w:tcW w:w="420" w:type="dxa"/>
            <w:vAlign w:val="bottom"/>
            <w:gridSpan w:val="17"/>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2"/>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Exclusive License Agreement, dated May 17,</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2012, by and between the University of</w:t>
              </w:r>
            </w:hyperlink>
          </w:p>
        </w:tc>
        <w:tc>
          <w:tcPr>
            <w:tcW w:w="400" w:type="dxa"/>
            <w:vAlign w:val="bottom"/>
            <w:tcBorders>
              <w:top w:val="single" w:sz="8" w:color="0000FF"/>
            </w:tcBorders>
            <w:gridSpan w:val="1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10.14†</w:t>
            </w:r>
          </w:p>
        </w:tc>
        <w:tc>
          <w:tcPr>
            <w:tcW w:w="3260" w:type="dxa"/>
            <w:vAlign w:val="bottom"/>
            <w:gridSpan w:val="42"/>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Higher Education and the 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2"/>
          </w:tcPr>
          <w:p>
            <w:pPr>
              <w:spacing w:after="0"/>
              <w:rPr>
                <w:rFonts w:ascii="Arial" w:cs="Arial" w:eastAsia="Arial" w:hAnsi="Arial"/>
                <w:sz w:val="14"/>
                <w:szCs w:val="14"/>
                <w:color w:val="0000FF"/>
              </w:rPr>
            </w:pPr>
            <w:hyperlink r:id="rId127">
              <w:r>
                <w:rPr>
                  <w:rFonts w:ascii="Arial" w:cs="Arial" w:eastAsia="Arial" w:hAnsi="Arial"/>
                  <w:sz w:val="14"/>
                  <w:szCs w:val="14"/>
                  <w:color w:val="0000FF"/>
                </w:rPr>
                <w:t>Second Amendment to Amended and Restated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33"/>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Exclusive License Agreement, dated September</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720" w:type="dxa"/>
            <w:vAlign w:val="bottom"/>
            <w:tcBorders>
              <w:bottom w:val="single" w:sz="8" w:color="0000FF"/>
            </w:tcBorders>
            <w:gridSpan w:val="20"/>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30, 2013, by and between the University of</w:t>
              </w:r>
            </w:hyperlink>
          </w:p>
        </w:tc>
        <w:tc>
          <w:tcPr>
            <w:tcW w:w="36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3260" w:type="dxa"/>
            <w:vAlign w:val="bottom"/>
            <w:gridSpan w:val="42"/>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10.20</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Higher Education and the 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60" w:type="dxa"/>
            <w:vAlign w:val="bottom"/>
            <w:tcBorders>
              <w:bottom w:val="single" w:sz="8" w:color="0000FF"/>
            </w:tcBorders>
            <w:gridSpan w:val="26"/>
          </w:tcPr>
          <w:p>
            <w:pPr>
              <w:spacing w:after="0"/>
              <w:rPr>
                <w:rFonts w:ascii="Arial" w:cs="Arial" w:eastAsia="Arial" w:hAnsi="Arial"/>
                <w:sz w:val="14"/>
                <w:szCs w:val="14"/>
                <w:color w:val="0000FF"/>
              </w:rPr>
            </w:pPr>
            <w:hyperlink r:id="rId128">
              <w:r>
                <w:rPr>
                  <w:rFonts w:ascii="Arial" w:cs="Arial" w:eastAsia="Arial" w:hAnsi="Arial"/>
                  <w:sz w:val="14"/>
                  <w:szCs w:val="14"/>
                  <w:color w:val="0000FF"/>
                </w:rPr>
                <w:t>Third Amendment to Amended and Restated</w:t>
              </w:r>
            </w:hyperlink>
          </w:p>
        </w:tc>
        <w:tc>
          <w:tcPr>
            <w:tcW w:w="400" w:type="dxa"/>
            <w:vAlign w:val="bottom"/>
            <w:gridSpan w:val="1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2"/>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Exclusive License Agreement, dated June 24,</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2016, by and between the University of</w:t>
              </w:r>
            </w:hyperlink>
          </w:p>
        </w:tc>
        <w:tc>
          <w:tcPr>
            <w:tcW w:w="4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3260" w:type="dxa"/>
            <w:vAlign w:val="bottom"/>
            <w:gridSpan w:val="42"/>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Higher Education and the Company.</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2"/>
          </w:tcPr>
          <w:p>
            <w:pPr>
              <w:spacing w:after="0"/>
              <w:rPr>
                <w:rFonts w:ascii="Arial" w:cs="Arial" w:eastAsia="Arial" w:hAnsi="Arial"/>
                <w:sz w:val="14"/>
                <w:szCs w:val="14"/>
                <w:color w:val="0000FF"/>
              </w:rPr>
            </w:pPr>
            <w:hyperlink r:id="rId129">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30, 2013, by and between the University of</w:t>
              </w:r>
            </w:hyperlink>
          </w:p>
        </w:tc>
        <w:tc>
          <w:tcPr>
            <w:tcW w:w="36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3260" w:type="dxa"/>
            <w:vAlign w:val="bottom"/>
            <w:gridSpan w:val="42"/>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Higher Education and the Company.</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0">
              <w:r>
                <w:rPr>
                  <w:rFonts w:ascii="Arial" w:cs="Arial" w:eastAsia="Arial" w:hAnsi="Arial"/>
                  <w:sz w:val="14"/>
                  <w:szCs w:val="14"/>
                  <w:color w:val="0000FF"/>
                </w:rPr>
                <w:t>Exclusive License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3100" w:type="dxa"/>
            <w:vAlign w:val="bottom"/>
            <w:tcBorders>
              <w:top w:val="single" w:sz="8" w:color="0000FF"/>
              <w:bottom w:val="single" w:sz="8" w:color="0000FF"/>
            </w:tcBorders>
            <w:gridSpan w:val="37"/>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5, 2011, by and between Thierry Dervieux, Ph.D.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10.23</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180" w:type="dxa"/>
            <w:vAlign w:val="bottom"/>
            <w:tcBorders>
              <w:bottom w:val="single" w:sz="8" w:color="0000FF"/>
            </w:tcBorders>
            <w:gridSpan w:val="3"/>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and the Company.</w:t>
              </w:r>
            </w:hyperlink>
          </w:p>
        </w:tc>
        <w:tc>
          <w:tcPr>
            <w:tcW w:w="1980" w:type="dxa"/>
            <w:vAlign w:val="bottom"/>
            <w:gridSpan w:val="37"/>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40" w:type="dxa"/>
            <w:vAlign w:val="bottom"/>
            <w:tcBorders>
              <w:bottom w:val="single" w:sz="8" w:color="0000FF"/>
            </w:tcBorders>
            <w:gridSpan w:val="25"/>
          </w:tcPr>
          <w:p>
            <w:pPr>
              <w:spacing w:after="0"/>
              <w:rPr>
                <w:rFonts w:ascii="Arial" w:cs="Arial" w:eastAsia="Arial" w:hAnsi="Arial"/>
                <w:sz w:val="14"/>
                <w:szCs w:val="14"/>
                <w:color w:val="0000FF"/>
              </w:rPr>
            </w:pPr>
            <w:hyperlink r:id="rId131">
              <w:r>
                <w:rPr>
                  <w:rFonts w:ascii="Arial" w:cs="Arial" w:eastAsia="Arial" w:hAnsi="Arial"/>
                  <w:sz w:val="14"/>
                  <w:szCs w:val="14"/>
                  <w:color w:val="0000FF"/>
                </w:rPr>
                <w:t>Standard Industrial/Commercial Multi-Tenant</w:t>
              </w:r>
            </w:hyperlink>
          </w:p>
        </w:tc>
        <w:tc>
          <w:tcPr>
            <w:tcW w:w="420" w:type="dxa"/>
            <w:vAlign w:val="bottom"/>
            <w:gridSpan w:val="17"/>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10.19</w:t>
            </w:r>
          </w:p>
        </w:tc>
        <w:tc>
          <w:tcPr>
            <w:tcW w:w="3260" w:type="dxa"/>
            <w:vAlign w:val="bottom"/>
            <w:gridSpan w:val="42"/>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Lease, dated January 13, 2012, by and between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2"/>
          </w:tcPr>
          <w:p>
            <w:pPr>
              <w:spacing w:after="0"/>
              <w:rPr>
                <w:rFonts w:ascii="Arial" w:cs="Arial" w:eastAsia="Arial" w:hAnsi="Arial"/>
                <w:sz w:val="14"/>
                <w:szCs w:val="14"/>
                <w:color w:val="0000FF"/>
              </w:rPr>
            </w:pPr>
            <w:hyperlink r:id="rId132">
              <w:r>
                <w:rPr>
                  <w:rFonts w:ascii="Arial" w:cs="Arial" w:eastAsia="Arial" w:hAnsi="Arial"/>
                  <w:sz w:val="14"/>
                  <w:szCs w:val="14"/>
                  <w:color w:val="0000FF"/>
                </w:rPr>
                <w:t>First Amendment to Standard</w:t>
              </w:r>
            </w:hyperlink>
          </w:p>
        </w:tc>
        <w:tc>
          <w:tcPr>
            <w:tcW w:w="1060" w:type="dxa"/>
            <w:vAlign w:val="bottom"/>
            <w:gridSpan w:val="30"/>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9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Industrial/Commercial Multi-</w:t>
              </w:r>
            </w:hyperlink>
          </w:p>
        </w:tc>
        <w:tc>
          <w:tcPr>
            <w:tcW w:w="1360" w:type="dxa"/>
            <w:vAlign w:val="bottom"/>
            <w:gridSpan w:val="33"/>
          </w:tcPr>
          <w:p>
            <w:pPr>
              <w:jc w:val="right"/>
              <w:ind w:right="180"/>
              <w:spacing w:after="0" w:line="129" w:lineRule="exact"/>
              <w:rPr>
                <w:rFonts w:ascii="Arial" w:cs="Arial" w:eastAsia="Arial" w:hAnsi="Arial"/>
                <w:sz w:val="14"/>
                <w:szCs w:val="14"/>
                <w:color w:val="0000FF"/>
                <w:w w:val="90"/>
              </w:rPr>
            </w:pPr>
            <w:hyperlink r:id="rId132">
              <w:r>
                <w:rPr>
                  <w:rFonts w:ascii="Arial" w:cs="Arial" w:eastAsia="Arial" w:hAnsi="Arial"/>
                  <w:sz w:val="14"/>
                  <w:szCs w:val="14"/>
                  <w:color w:val="0000FF"/>
                  <w:w w:val="90"/>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10.20</w:t>
            </w: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December 1, 2013, by and between RGS</w:t>
              </w:r>
            </w:hyperlink>
          </w:p>
        </w:tc>
        <w:tc>
          <w:tcPr>
            <w:tcW w:w="12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8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Properties and the Company.</w:t>
              </w:r>
            </w:hyperlink>
          </w:p>
        </w:tc>
        <w:tc>
          <w:tcPr>
            <w:tcW w:w="760" w:type="dxa"/>
            <w:vAlign w:val="bottom"/>
            <w:tcBorders>
              <w:top w:val="single" w:sz="8" w:color="0000FF"/>
            </w:tcBorders>
            <w:gridSpan w:val="10"/>
          </w:tcPr>
          <w:p>
            <w:pPr>
              <w:spacing w:after="0"/>
              <w:rPr>
                <w:sz w:val="11"/>
                <w:szCs w:val="11"/>
                <w:color w:val="auto"/>
              </w:rPr>
            </w:pPr>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3">
              <w:r>
                <w:rPr>
                  <w:rFonts w:ascii="Arial" w:cs="Arial" w:eastAsia="Arial" w:hAnsi="Arial"/>
                  <w:sz w:val="14"/>
                  <w:szCs w:val="14"/>
                  <w:color w:val="0000FF"/>
                </w:rPr>
                <w:t>Second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2"/>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10.21</w:t>
            </w: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33">
              <w:r>
                <w:rPr>
                  <w:rFonts w:ascii="Arial" w:cs="Arial" w:eastAsia="Arial" w:hAnsi="Arial"/>
                  <w:sz w:val="13"/>
                  <w:szCs w:val="13"/>
                  <w:color w:val="0000FF"/>
                </w:rPr>
                <w:t>April 29, 2016, by and between RGS Properties</w:t>
              </w:r>
            </w:hyperlink>
          </w:p>
        </w:tc>
        <w:tc>
          <w:tcPr>
            <w:tcW w:w="12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10.27</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and the Company.</w:t>
              </w:r>
            </w:hyperlink>
          </w:p>
        </w:tc>
        <w:tc>
          <w:tcPr>
            <w:tcW w:w="186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4">
              <w:r>
                <w:rPr>
                  <w:rFonts w:ascii="Arial" w:cs="Arial" w:eastAsia="Arial" w:hAnsi="Arial"/>
                  <w:sz w:val="14"/>
                  <w:szCs w:val="14"/>
                  <w:color w:val="0000FF"/>
                </w:rPr>
                <w:t>Third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184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134">
              <w:r>
                <w:rPr>
                  <w:rFonts w:ascii="Arial" w:cs="Arial" w:eastAsia="Arial" w:hAnsi="Arial"/>
                  <w:sz w:val="14"/>
                  <w:szCs w:val="14"/>
                  <w:color w:val="0000FF"/>
                </w:rPr>
                <w:t>Industrial/Commercial Multi-</w:t>
              </w:r>
            </w:hyperlink>
          </w:p>
        </w:tc>
        <w:tc>
          <w:tcPr>
            <w:tcW w:w="1420" w:type="dxa"/>
            <w:vAlign w:val="bottom"/>
            <w:gridSpan w:val="36"/>
          </w:tcPr>
          <w:p>
            <w:pPr>
              <w:jc w:val="right"/>
              <w:ind w:right="180"/>
              <w:spacing w:after="0" w:line="129" w:lineRule="exact"/>
              <w:rPr>
                <w:rFonts w:ascii="Arial" w:cs="Arial" w:eastAsia="Arial" w:hAnsi="Arial"/>
                <w:sz w:val="14"/>
                <w:szCs w:val="14"/>
                <w:color w:val="0000FF"/>
                <w:w w:val="94"/>
              </w:rPr>
            </w:pPr>
            <w:hyperlink r:id="rId134">
              <w:r>
                <w:rPr>
                  <w:rFonts w:ascii="Arial" w:cs="Arial" w:eastAsia="Arial" w:hAnsi="Arial"/>
                  <w:sz w:val="14"/>
                  <w:szCs w:val="14"/>
                  <w:color w:val="0000FF"/>
                  <w:w w:val="94"/>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10.22</w:t>
            </w: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June 16, 2017, by and between RGS Properties</w:t>
              </w:r>
            </w:hyperlink>
          </w:p>
        </w:tc>
        <w:tc>
          <w:tcPr>
            <w:tcW w:w="12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34">
              <w:r>
                <w:rPr>
                  <w:rFonts w:ascii="Arial" w:cs="Arial" w:eastAsia="Arial" w:hAnsi="Arial"/>
                  <w:sz w:val="14"/>
                  <w:szCs w:val="14"/>
                  <w:color w:val="0000FF"/>
                  <w:w w:val="99"/>
                </w:rPr>
                <w:t>and the Company.</w:t>
              </w:r>
            </w:hyperlink>
          </w:p>
        </w:tc>
        <w:tc>
          <w:tcPr>
            <w:tcW w:w="1900" w:type="dxa"/>
            <w:vAlign w:val="bottom"/>
            <w:tcBorders>
              <w:top w:val="single" w:sz="8" w:color="0000FF"/>
            </w:tcBorders>
            <w:gridSpan w:val="33"/>
          </w:tcPr>
          <w:p>
            <w:pPr>
              <w:spacing w:after="0"/>
              <w:rPr>
                <w:sz w:val="11"/>
                <w:szCs w:val="11"/>
                <w:color w:val="auto"/>
              </w:rPr>
            </w:pPr>
          </w:p>
        </w:tc>
        <w:tc>
          <w:tcPr>
            <w:tcW w:w="20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0" w:type="dxa"/>
            <w:vAlign w:val="bottom"/>
            <w:tcBorders>
              <w:bottom w:val="single" w:sz="8" w:color="0000FF"/>
            </w:tcBorders>
            <w:gridSpan w:val="11"/>
          </w:tcPr>
          <w:p>
            <w:pPr>
              <w:spacing w:after="0"/>
              <w:rPr>
                <w:rFonts w:ascii="Arial" w:cs="Arial" w:eastAsia="Arial" w:hAnsi="Arial"/>
                <w:sz w:val="14"/>
                <w:szCs w:val="14"/>
                <w:color w:val="0000FF"/>
              </w:rPr>
            </w:pPr>
            <w:hyperlink r:id="rId135">
              <w:r>
                <w:rPr>
                  <w:rFonts w:ascii="Arial" w:cs="Arial" w:eastAsia="Arial" w:hAnsi="Arial"/>
                  <w:sz w:val="14"/>
                  <w:szCs w:val="14"/>
                  <w:color w:val="0000FF"/>
                </w:rPr>
                <w:t>Fourth Addendum to Standard</w:t>
              </w:r>
            </w:hyperlink>
          </w:p>
        </w:tc>
        <w:tc>
          <w:tcPr>
            <w:tcW w:w="1260" w:type="dxa"/>
            <w:vAlign w:val="bottom"/>
            <w:gridSpan w:val="3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2"/>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10.23</w:t>
            </w: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March 16, 2020, by and between RGS</w:t>
              </w:r>
            </w:hyperlink>
          </w:p>
        </w:tc>
        <w:tc>
          <w:tcPr>
            <w:tcW w:w="12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Properties and the Company.</w:t>
              </w:r>
            </w:hyperlink>
          </w:p>
        </w:tc>
        <w:tc>
          <w:tcPr>
            <w:tcW w:w="580" w:type="dxa"/>
            <w:vAlign w:val="bottom"/>
            <w:tcBorders>
              <w:top w:val="single" w:sz="8" w:color="0000FF"/>
            </w:tcBorders>
            <w:gridSpan w:val="7"/>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6">
              <w:r>
                <w:rPr>
                  <w:rFonts w:ascii="Arial" w:cs="Arial" w:eastAsia="Arial" w:hAnsi="Arial"/>
                  <w:sz w:val="14"/>
                  <w:szCs w:val="14"/>
                  <w:color w:val="0000FF"/>
                </w:rPr>
                <w:t>Fifth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0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r:id="rId136">
              <w:r>
                <w:rPr>
                  <w:rFonts w:ascii="Arial" w:cs="Arial" w:eastAsia="Arial" w:hAnsi="Arial"/>
                  <w:sz w:val="14"/>
                  <w:szCs w:val="14"/>
                  <w:color w:val="0000FF"/>
                </w:rPr>
                <w:t>Industrial/Commercial Multi-</w:t>
              </w:r>
            </w:hyperlink>
          </w:p>
        </w:tc>
        <w:tc>
          <w:tcPr>
            <w:tcW w:w="1460" w:type="dxa"/>
            <w:vAlign w:val="bottom"/>
            <w:gridSpan w:val="37"/>
          </w:tcPr>
          <w:p>
            <w:pPr>
              <w:jc w:val="right"/>
              <w:ind w:right="180"/>
              <w:spacing w:after="0" w:line="129" w:lineRule="exact"/>
              <w:rPr>
                <w:rFonts w:ascii="Arial" w:cs="Arial" w:eastAsia="Arial" w:hAnsi="Arial"/>
                <w:sz w:val="14"/>
                <w:szCs w:val="14"/>
                <w:color w:val="0000FF"/>
                <w:w w:val="98"/>
              </w:rPr>
            </w:pPr>
            <w:hyperlink r:id="rId136">
              <w:r>
                <w:rPr>
                  <w:rFonts w:ascii="Arial" w:cs="Arial" w:eastAsia="Arial" w:hAnsi="Arial"/>
                  <w:sz w:val="14"/>
                  <w:szCs w:val="14"/>
                  <w:color w:val="0000FF"/>
                  <w:w w:val="98"/>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October 19, 2021, by and between RGS</w:t>
              </w:r>
            </w:hyperlink>
          </w:p>
        </w:tc>
        <w:tc>
          <w:tcPr>
            <w:tcW w:w="12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920" w:type="dxa"/>
            <w:vAlign w:val="bottom"/>
            <w:vMerge w:val="restart"/>
          </w:tcPr>
          <w:p>
            <w:pPr>
              <w:jc w:val="center"/>
              <w:ind w:left="14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8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36">
              <w:r>
                <w:rPr>
                  <w:rFonts w:ascii="Arial" w:cs="Arial" w:eastAsia="Arial" w:hAnsi="Arial"/>
                  <w:sz w:val="14"/>
                  <w:szCs w:val="14"/>
                  <w:color w:val="0000FF"/>
                </w:rPr>
                <w:t>Properties and the Company.</w:t>
              </w:r>
            </w:hyperlink>
          </w:p>
        </w:tc>
        <w:tc>
          <w:tcPr>
            <w:tcW w:w="68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7">
              <w:r>
                <w:rPr>
                  <w:rFonts w:ascii="Arial" w:cs="Arial" w:eastAsia="Arial" w:hAnsi="Arial"/>
                  <w:sz w:val="14"/>
                  <w:szCs w:val="14"/>
                  <w:color w:val="0000FF"/>
                </w:rPr>
                <w:t>Standard Industrial/Commercial Single-Tenant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294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Lease, dated September 4, 2014,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bottom w:val="single" w:sz="8" w:color="0000FF"/>
            </w:tcBorders>
            <w:gridSpan w:val="31"/>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between Geiger Court, LLC and the Company.</w:t>
              </w:r>
            </w:hyperlink>
          </w:p>
        </w:tc>
        <w:tc>
          <w:tcPr>
            <w:tcW w:w="280" w:type="dxa"/>
            <w:vAlign w:val="bottom"/>
            <w:gridSpan w:val="11"/>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8">
              <w:r>
                <w:rPr>
                  <w:rFonts w:ascii="Arial" w:cs="Arial" w:eastAsia="Arial" w:hAnsi="Arial"/>
                  <w:sz w:val="14"/>
                  <w:szCs w:val="14"/>
                  <w:color w:val="0000FF"/>
                </w:rPr>
                <w:t>First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0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9"/>
              </w:rPr>
            </w:pPr>
            <w:hyperlink r:id="rId138">
              <w:r>
                <w:rPr>
                  <w:rFonts w:ascii="Arial" w:cs="Arial" w:eastAsia="Arial" w:hAnsi="Arial"/>
                  <w:sz w:val="14"/>
                  <w:szCs w:val="14"/>
                  <w:color w:val="0000FF"/>
                  <w:w w:val="99"/>
                </w:rPr>
                <w:t>Industrial/Commercial Single</w:t>
              </w:r>
            </w:hyperlink>
          </w:p>
        </w:tc>
        <w:tc>
          <w:tcPr>
            <w:tcW w:w="980" w:type="dxa"/>
            <w:vAlign w:val="bottom"/>
            <w:tcBorders>
              <w:bottom w:val="single" w:sz="8" w:color="0000FF"/>
            </w:tcBorders>
            <w:gridSpan w:val="17"/>
          </w:tcPr>
          <w:p>
            <w:pPr>
              <w:jc w:val="right"/>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-Tenant Lease,</w:t>
              </w:r>
            </w:hyperlink>
          </w:p>
        </w:tc>
        <w:tc>
          <w:tcPr>
            <w:tcW w:w="480" w:type="dxa"/>
            <w:vAlign w:val="bottom"/>
            <w:gridSpan w:val="20"/>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3260" w:type="dxa"/>
            <w:vAlign w:val="bottom"/>
            <w:gridSpan w:val="42"/>
          </w:tcPr>
          <w:p>
            <w:pPr>
              <w:spacing w:after="0" w:line="115" w:lineRule="exact"/>
              <w:rPr>
                <w:rFonts w:ascii="Arial" w:cs="Arial" w:eastAsia="Arial" w:hAnsi="Arial"/>
                <w:sz w:val="13"/>
                <w:szCs w:val="13"/>
                <w:color w:val="0000FF"/>
              </w:rPr>
            </w:pPr>
            <w:hyperlink r:id="rId138">
              <w:r>
                <w:rPr>
                  <w:rFonts w:ascii="Arial" w:cs="Arial" w:eastAsia="Arial" w:hAnsi="Arial"/>
                  <w:sz w:val="13"/>
                  <w:szCs w:val="13"/>
                  <w:color w:val="0000FF"/>
                </w:rPr>
                <w:t>dated August 2, 2017, by and between Geiger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9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Court, LLC and the Company.</w:t>
              </w:r>
            </w:hyperlink>
          </w:p>
        </w:tc>
        <w:tc>
          <w:tcPr>
            <w:tcW w:w="104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39">
              <w:r>
                <w:rPr>
                  <w:rFonts w:ascii="Arial" w:cs="Arial" w:eastAsia="Arial" w:hAnsi="Arial"/>
                  <w:sz w:val="14"/>
                  <w:szCs w:val="14"/>
                  <w:color w:val="0000FF"/>
                </w:rPr>
                <w:t>Extension of Lease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2800" w:type="dxa"/>
            <w:vAlign w:val="bottom"/>
            <w:tcBorders>
              <w:bottom w:val="single" w:sz="8" w:color="0000FF"/>
            </w:tcBorders>
            <w:gridSpan w:val="23"/>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Industrial/Commercial Single-Tenant Lease,</w:t>
              </w:r>
            </w:hyperlink>
          </w:p>
        </w:tc>
        <w:tc>
          <w:tcPr>
            <w:tcW w:w="460" w:type="dxa"/>
            <w:vAlign w:val="bottom"/>
            <w:gridSpan w:val="19"/>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3260" w:type="dxa"/>
            <w:vAlign w:val="bottom"/>
            <w:gridSpan w:val="42"/>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dated March 12, 2020,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Vista and the Company.</w:t>
              </w:r>
            </w:hyperlink>
          </w:p>
        </w:tc>
        <w:tc>
          <w:tcPr>
            <w:tcW w:w="146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2"/>
          </w:tcPr>
          <w:p>
            <w:pPr>
              <w:spacing w:after="0"/>
              <w:rPr>
                <w:rFonts w:ascii="Arial" w:cs="Arial" w:eastAsia="Arial" w:hAnsi="Arial"/>
                <w:sz w:val="14"/>
                <w:szCs w:val="14"/>
                <w:color w:val="0000FF"/>
              </w:rPr>
            </w:pPr>
            <w:hyperlink r:id="rId140">
              <w:r>
                <w:rPr>
                  <w:rFonts w:ascii="Arial" w:cs="Arial" w:eastAsia="Arial" w:hAnsi="Arial"/>
                  <w:sz w:val="14"/>
                  <w:szCs w:val="14"/>
                  <w:color w:val="0000FF"/>
                </w:rPr>
                <w:t>First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4"/>
          </w:tcPr>
          <w:p>
            <w:pPr>
              <w:jc w:val="right"/>
              <w:spacing w:after="0" w:line="129" w:lineRule="exact"/>
              <w:rPr>
                <w:rFonts w:ascii="Arial" w:cs="Arial" w:eastAsia="Arial" w:hAnsi="Arial"/>
                <w:sz w:val="14"/>
                <w:szCs w:val="14"/>
                <w:color w:val="0000FF"/>
                <w:w w:val="98"/>
              </w:rPr>
            </w:pPr>
            <w:hyperlink r:id="rId140">
              <w:r>
                <w:rPr>
                  <w:rFonts w:ascii="Arial" w:cs="Arial" w:eastAsia="Arial" w:hAnsi="Arial"/>
                  <w:sz w:val="14"/>
                  <w:szCs w:val="14"/>
                  <w:color w:val="0000FF"/>
                  <w:w w:val="98"/>
                </w:rPr>
                <w:t>Tenant Lease,</w:t>
              </w:r>
            </w:hyperlink>
          </w:p>
        </w:tc>
        <w:tc>
          <w:tcPr>
            <w:tcW w:w="480" w:type="dxa"/>
            <w:vAlign w:val="bottom"/>
            <w:gridSpan w:val="20"/>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260" w:type="dxa"/>
            <w:vAlign w:val="bottom"/>
            <w:gridSpan w:val="42"/>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dated January 6, 2021,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Vista and the Company.</w:t>
              </w:r>
            </w:hyperlink>
          </w:p>
        </w:tc>
        <w:tc>
          <w:tcPr>
            <w:tcW w:w="1480" w:type="dxa"/>
            <w:vAlign w:val="bottom"/>
            <w:tcBorders>
              <w:top w:val="single" w:sz="8" w:color="0000FF"/>
            </w:tcBorders>
            <w:gridSpan w:val="28"/>
          </w:tcPr>
          <w:p>
            <w:pPr>
              <w:spacing w:after="0"/>
              <w:rPr>
                <w:sz w:val="11"/>
                <w:szCs w:val="11"/>
                <w:color w:val="auto"/>
              </w:rPr>
            </w:pPr>
          </w:p>
        </w:tc>
        <w:tc>
          <w:tcPr>
            <w:tcW w:w="26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53"/>
          </w:tcPr>
          <w:p>
            <w:pPr>
              <w:spacing w:after="0"/>
              <w:rPr>
                <w:rFonts w:ascii="Arial" w:cs="Arial" w:eastAsia="Arial" w:hAnsi="Arial"/>
                <w:sz w:val="14"/>
                <w:szCs w:val="14"/>
                <w:color w:val="0000FF"/>
              </w:rPr>
            </w:pPr>
            <w:hyperlink r:id="rId142">
              <w:r>
                <w:rPr>
                  <w:rFonts w:ascii="Arial" w:cs="Arial" w:eastAsia="Arial" w:hAnsi="Arial"/>
                  <w:sz w:val="14"/>
                  <w:szCs w:val="14"/>
                  <w:color w:val="0000FF"/>
                </w:rPr>
                <w:t>Second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2780" w:type="dxa"/>
            <w:vAlign w:val="bottom"/>
            <w:tcBorders>
              <w:bottom w:val="single" w:sz="8" w:color="0000FF"/>
            </w:tcBorders>
            <w:gridSpan w:val="27"/>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Industrial/Commercial Single-Tenant Lease,</w:t>
              </w:r>
            </w:hyperlink>
          </w:p>
        </w:tc>
        <w:tc>
          <w:tcPr>
            <w:tcW w:w="480" w:type="dxa"/>
            <w:vAlign w:val="bottom"/>
            <w:gridSpan w:val="2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260" w:type="dxa"/>
            <w:vAlign w:val="bottom"/>
            <w:gridSpan w:val="53"/>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dated October 11, 2021, by and between Liberty</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Vista and the Company.</w:t>
              </w:r>
            </w:hyperlink>
          </w:p>
        </w:tc>
        <w:tc>
          <w:tcPr>
            <w:tcW w:w="1680" w:type="dxa"/>
            <w:vAlign w:val="bottom"/>
            <w:tcBorders>
              <w:top w:val="single" w:sz="8" w:color="0000FF"/>
            </w:tcBorders>
            <w:gridSpan w:val="3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1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Standard Industrial/Commercial Multi-Tenant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288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Lease, dated March 17, 2020 by and between</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1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60" w:type="dxa"/>
            <w:vAlign w:val="bottom"/>
            <w:gridSpan w:val="35"/>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17"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6"/>
          </w:tcPr>
          <w:p>
            <w:pPr>
              <w:spacing w:after="0"/>
              <w:rPr>
                <w:rFonts w:ascii="Arial" w:cs="Arial" w:eastAsia="Arial" w:hAnsi="Arial"/>
                <w:sz w:val="14"/>
                <w:szCs w:val="14"/>
                <w:color w:val="0000FF"/>
              </w:rPr>
            </w:pPr>
            <w:hyperlink r:id="rId144">
              <w:r>
                <w:rPr>
                  <w:rFonts w:ascii="Arial" w:cs="Arial" w:eastAsia="Arial" w:hAnsi="Arial"/>
                  <w:sz w:val="14"/>
                  <w:szCs w:val="14"/>
                  <w:color w:val="0000FF"/>
                </w:rPr>
                <w:t>First Addendum to Standard</w:t>
              </w:r>
            </w:hyperlink>
          </w:p>
        </w:tc>
        <w:tc>
          <w:tcPr>
            <w:tcW w:w="1060" w:type="dxa"/>
            <w:vAlign w:val="bottom"/>
            <w:gridSpan w:val="37"/>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180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Industrial/Commercial Multi-</w:t>
              </w:r>
            </w:hyperlink>
          </w:p>
        </w:tc>
        <w:tc>
          <w:tcPr>
            <w:tcW w:w="1460" w:type="dxa"/>
            <w:vAlign w:val="bottom"/>
            <w:gridSpan w:val="40"/>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3260" w:type="dxa"/>
            <w:vAlign w:val="bottom"/>
            <w:tcBorders>
              <w:top w:val="single" w:sz="8" w:color="0000FF"/>
            </w:tcBorders>
            <w:gridSpan w:val="50"/>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October 19, 2021, by and between RGS</w:t>
              </w:r>
            </w:hyperlink>
          </w:p>
        </w:tc>
        <w:tc>
          <w:tcPr>
            <w:tcW w:w="20" w:type="dxa"/>
            <w:vAlign w:val="bottom"/>
          </w:tcPr>
          <w:p>
            <w:pPr>
              <w:spacing w:after="0"/>
              <w:rPr>
                <w:sz w:val="10"/>
                <w:szCs w:val="10"/>
                <w:color w:val="auto"/>
              </w:rPr>
            </w:pPr>
          </w:p>
        </w:tc>
        <w:tc>
          <w:tcPr>
            <w:tcW w:w="4294967117"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Properties and the Company.</w:t>
              </w:r>
            </w:hyperlink>
          </w:p>
        </w:tc>
        <w:tc>
          <w:tcPr>
            <w:tcW w:w="7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29496711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5">
              <w:r>
                <w:rPr>
                  <w:rFonts w:ascii="Arial" w:cs="Arial" w:eastAsia="Arial" w:hAnsi="Arial"/>
                  <w:sz w:val="14"/>
                  <w:szCs w:val="14"/>
                  <w:color w:val="0000FF"/>
                </w:rPr>
                <w:t>Sublease Agreement, dated August 19, 2021, by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100" w:type="dxa"/>
            <w:vAlign w:val="bottom"/>
            <w:tcBorders>
              <w:top w:val="single" w:sz="8" w:color="0000FF"/>
            </w:tcBorders>
            <w:gridSpan w:val="52"/>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and between Plum Healthcare Group, LLC and</w:t>
              </w:r>
            </w:hyperlink>
          </w:p>
        </w:tc>
        <w:tc>
          <w:tcPr>
            <w:tcW w:w="160" w:type="dxa"/>
            <w:vAlign w:val="bottom"/>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the Company.</w:t>
              </w:r>
            </w:hyperlink>
          </w:p>
        </w:tc>
        <w:tc>
          <w:tcPr>
            <w:tcW w:w="2200" w:type="dxa"/>
            <w:vAlign w:val="bottom"/>
            <w:tcBorders>
              <w:top w:val="single" w:sz="8" w:color="0000FF"/>
            </w:tcBorders>
            <w:gridSpan w:val="3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117"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6">
              <w:r>
                <w:rPr>
                  <w:rFonts w:ascii="Arial" w:cs="Arial" w:eastAsia="Arial" w:hAnsi="Arial"/>
                  <w:sz w:val="14"/>
                  <w:szCs w:val="14"/>
                  <w:color w:val="0000FF"/>
                </w:rPr>
                <w:t>Master Lease Agreement, dated February 1,</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24"/>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2018, by and between Celtic Commercial</w:t>
              </w:r>
            </w:hyperlink>
          </w:p>
        </w:tc>
        <w:tc>
          <w:tcPr>
            <w:tcW w:w="2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29496711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260" w:type="dxa"/>
            <w:vAlign w:val="bottom"/>
            <w:gridSpan w:val="53"/>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Finance, a division of MB Equipment Finance,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94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LLC and the Company.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29496711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7">
              <w:r>
                <w:rPr>
                  <w:rFonts w:ascii="Arial" w:cs="Arial" w:eastAsia="Arial" w:hAnsi="Arial"/>
                  <w:sz w:val="14"/>
                  <w:szCs w:val="14"/>
                  <w:color w:val="0000FF"/>
                </w:rPr>
                <w:t>Loan and Security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280" w:type="dxa"/>
            <w:vAlign w:val="bottom"/>
            <w:tcBorders>
              <w:top w:val="single" w:sz="8" w:color="0000FF"/>
            </w:tcBorders>
            <w:gridSpan w:val="51"/>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7, 2017, by and between Innovatus Life</w:t>
              </w:r>
            </w:hyperlink>
          </w:p>
        </w:tc>
        <w:tc>
          <w:tcPr>
            <w:tcW w:w="4294967117"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10.34</w:t>
            </w:r>
          </w:p>
        </w:tc>
        <w:tc>
          <w:tcPr>
            <w:tcW w:w="2520" w:type="dxa"/>
            <w:vAlign w:val="bottom"/>
            <w:tcBorders>
              <w:top w:val="single" w:sz="8" w:color="0000FF"/>
              <w:bottom w:val="single" w:sz="8" w:color="0000FF"/>
            </w:tcBorders>
            <w:gridSpan w:val="20"/>
          </w:tcPr>
          <w:p>
            <w:pPr>
              <w:spacing w:after="0" w:line="122" w:lineRule="exact"/>
              <w:rPr>
                <w:rFonts w:ascii="Arial" w:cs="Arial" w:eastAsia="Arial" w:hAnsi="Arial"/>
                <w:sz w:val="14"/>
                <w:szCs w:val="14"/>
                <w:color w:val="0000FF"/>
              </w:rPr>
            </w:pPr>
            <w:hyperlink r:id="rId147">
              <w:r>
                <w:rPr>
                  <w:rFonts w:ascii="Arial" w:cs="Arial" w:eastAsia="Arial" w:hAnsi="Arial"/>
                  <w:sz w:val="14"/>
                  <w:szCs w:val="14"/>
                  <w:color w:val="0000FF"/>
                </w:rPr>
                <w:t>Sciences Lending Fund I, LP and the</w:t>
              </w:r>
            </w:hyperlink>
          </w:p>
        </w:tc>
        <w:tc>
          <w:tcPr>
            <w:tcW w:w="660" w:type="dxa"/>
            <w:vAlign w:val="bottom"/>
            <w:tcBorders>
              <w:bottom w:val="single" w:sz="8" w:color="0000FF"/>
            </w:tcBorders>
            <w:gridSpan w:val="26"/>
          </w:tcPr>
          <w:p>
            <w:pPr>
              <w:spacing w:after="0" w:line="122" w:lineRule="exact"/>
              <w:rPr>
                <w:rFonts w:ascii="Arial" w:cs="Arial" w:eastAsia="Arial" w:hAnsi="Arial"/>
                <w:sz w:val="14"/>
                <w:szCs w:val="14"/>
                <w:color w:val="0000FF"/>
              </w:rPr>
            </w:pPr>
            <w:hyperlink r:id="rId147">
              <w:r>
                <w:rPr>
                  <w:rFonts w:ascii="Arial" w:cs="Arial" w:eastAsia="Arial" w:hAnsi="Arial"/>
                  <w:sz w:val="14"/>
                  <w:szCs w:val="14"/>
                  <w:color w:val="0000FF"/>
                </w:rPr>
                <w:t>Company.</w:t>
              </w:r>
            </w:hyperlink>
          </w:p>
        </w:tc>
        <w:tc>
          <w:tcPr>
            <w:tcW w:w="80" w:type="dxa"/>
            <w:vAlign w:val="bottom"/>
            <w:gridSpan w:val="7"/>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10.33</w:t>
            </w:r>
          </w:p>
        </w:tc>
        <w:tc>
          <w:tcPr>
            <w:tcW w:w="940" w:type="dxa"/>
            <w:vAlign w:val="bottom"/>
          </w:tcPr>
          <w:p>
            <w:pPr>
              <w:jc w:val="center"/>
              <w:ind w:left="148"/>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8">
              <w:r>
                <w:rPr>
                  <w:rFonts w:ascii="Arial" w:cs="Arial" w:eastAsia="Arial" w:hAnsi="Arial"/>
                  <w:sz w:val="14"/>
                  <w:szCs w:val="14"/>
                  <w:color w:val="0000FF"/>
                </w:rPr>
                <w:t>First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440" w:type="dxa"/>
            <w:vAlign w:val="bottom"/>
            <w:tcBorders>
              <w:top w:val="single" w:sz="8" w:color="0000FF"/>
            </w:tcBorders>
            <w:gridSpan w:val="18"/>
          </w:tcPr>
          <w:p>
            <w:pPr>
              <w:spacing w:after="0" w:line="129" w:lineRule="exact"/>
              <w:rPr>
                <w:rFonts w:ascii="Arial" w:cs="Arial" w:eastAsia="Arial" w:hAnsi="Arial"/>
                <w:sz w:val="14"/>
                <w:szCs w:val="14"/>
                <w:color w:val="0000FF"/>
                <w:w w:val="99"/>
              </w:rPr>
            </w:pPr>
            <w:hyperlink r:id="rId148">
              <w:r>
                <w:rPr>
                  <w:rFonts w:ascii="Arial" w:cs="Arial" w:eastAsia="Arial" w:hAnsi="Arial"/>
                  <w:sz w:val="14"/>
                  <w:szCs w:val="14"/>
                  <w:color w:val="0000FF"/>
                  <w:w w:val="99"/>
                </w:rPr>
                <w:t>Agreement, dated November 19, 2019,</w:t>
              </w:r>
            </w:hyperlink>
          </w:p>
        </w:tc>
        <w:tc>
          <w:tcPr>
            <w:tcW w:w="60" w:type="dxa"/>
            <w:vAlign w:val="bottom"/>
          </w:tcPr>
          <w:p>
            <w:pPr>
              <w:spacing w:after="0"/>
              <w:rPr>
                <w:sz w:val="11"/>
                <w:szCs w:val="11"/>
                <w:color w:val="auto"/>
              </w:rPr>
            </w:pPr>
          </w:p>
        </w:tc>
        <w:tc>
          <w:tcPr>
            <w:tcW w:w="760" w:type="dxa"/>
            <w:vAlign w:val="bottom"/>
            <w:gridSpan w:val="34"/>
          </w:tcPr>
          <w:p>
            <w:pPr>
              <w:ind w:left="20"/>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3020" w:type="dxa"/>
            <w:vAlign w:val="bottom"/>
            <w:tcBorders>
              <w:top w:val="single" w:sz="8" w:color="0000FF"/>
              <w:bottom w:val="single" w:sz="8" w:color="0000FF"/>
            </w:tcBorders>
            <w:gridSpan w:val="38"/>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between Innovatus Life Sciences Lending I, LP</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10.36</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bottom w:val="single" w:sz="8" w:color="0000FF"/>
            </w:tcBorders>
            <w:gridSpan w:val="6"/>
          </w:tcPr>
          <w:p>
            <w:pPr>
              <w:spacing w:after="0" w:line="129" w:lineRule="exact"/>
              <w:rPr>
                <w:rFonts w:ascii="Arial" w:cs="Arial" w:eastAsia="Arial" w:hAnsi="Arial"/>
                <w:sz w:val="14"/>
                <w:szCs w:val="14"/>
                <w:color w:val="0000FF"/>
                <w:w w:val="99"/>
              </w:rPr>
            </w:pPr>
            <w:hyperlink r:id="rId148">
              <w:r>
                <w:rPr>
                  <w:rFonts w:ascii="Arial" w:cs="Arial" w:eastAsia="Arial" w:hAnsi="Arial"/>
                  <w:sz w:val="14"/>
                  <w:szCs w:val="14"/>
                  <w:color w:val="0000FF"/>
                  <w:w w:val="99"/>
                </w:rPr>
                <w:t>and the Company.</w:t>
              </w:r>
            </w:hyperlink>
          </w:p>
        </w:tc>
        <w:tc>
          <w:tcPr>
            <w:tcW w:w="1940" w:type="dxa"/>
            <w:vAlign w:val="bottom"/>
            <w:gridSpan w:val="3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57"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Acknowledgement Letter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98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Agreement, dated October 7, 2020, by and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2720" w:type="dxa"/>
            <w:vAlign w:val="bottom"/>
            <w:tcBorders>
              <w:top w:val="single" w:sz="8" w:color="0000FF"/>
            </w:tcBorders>
            <w:gridSpan w:val="26"/>
          </w:tcPr>
          <w:p>
            <w:pPr>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between Innovatus Life Sciences Lending</w:t>
              </w:r>
            </w:hyperlink>
          </w:p>
        </w:tc>
        <w:tc>
          <w:tcPr>
            <w:tcW w:w="540" w:type="dxa"/>
            <w:vAlign w:val="bottom"/>
            <w:gridSpan w:val="27"/>
          </w:tcPr>
          <w:p>
            <w:pPr>
              <w:jc w:val="right"/>
              <w:ind w:right="240"/>
              <w:spacing w:after="0" w:line="122" w:lineRule="exact"/>
              <w:rPr>
                <w:rFonts w:ascii="Arial" w:cs="Arial" w:eastAsia="Arial" w:hAnsi="Arial"/>
                <w:sz w:val="14"/>
                <w:szCs w:val="14"/>
                <w:color w:val="0000FF"/>
                <w:w w:val="87"/>
              </w:rPr>
            </w:pPr>
            <w:hyperlink r:id="rId149">
              <w:r>
                <w:rPr>
                  <w:rFonts w:ascii="Arial" w:cs="Arial" w:eastAsia="Arial" w:hAnsi="Arial"/>
                  <w:sz w:val="14"/>
                  <w:szCs w:val="14"/>
                  <w:color w:val="0000FF"/>
                  <w:w w:val="87"/>
                </w:rPr>
                <w:t>Fund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I, LP and the Company.</w:t>
              </w:r>
            </w:hyperlink>
          </w:p>
        </w:tc>
        <w:tc>
          <w:tcPr>
            <w:tcW w:w="1640" w:type="dxa"/>
            <w:vAlign w:val="bottom"/>
            <w:tcBorders>
              <w:top w:val="single" w:sz="8" w:color="0000FF"/>
            </w:tcBorders>
            <w:gridSpan w:val="3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57"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0">
              <w:r>
                <w:rPr>
                  <w:rFonts w:ascii="Arial" w:cs="Arial" w:eastAsia="Arial" w:hAnsi="Arial"/>
                  <w:sz w:val="14"/>
                  <w:szCs w:val="14"/>
                  <w:color w:val="0000FF"/>
                </w:rPr>
                <w:t>Second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66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Agreement, dated November 1, 2021, by</w:t>
              </w:r>
            </w:hyperlink>
          </w:p>
        </w:tc>
        <w:tc>
          <w:tcPr>
            <w:tcW w:w="600" w:type="dxa"/>
            <w:vAlign w:val="bottom"/>
            <w:gridSpan w:val="28"/>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10.37</w:t>
            </w:r>
          </w:p>
        </w:tc>
        <w:tc>
          <w:tcPr>
            <w:tcW w:w="2900" w:type="dxa"/>
            <w:vAlign w:val="bottom"/>
            <w:tcBorders>
              <w:top w:val="single" w:sz="8" w:color="0000FF"/>
            </w:tcBorders>
            <w:gridSpan w:val="32"/>
          </w:tcPr>
          <w:p>
            <w:pPr>
              <w:spacing w:after="0" w:line="122" w:lineRule="exact"/>
              <w:rPr>
                <w:rFonts w:ascii="Arial" w:cs="Arial" w:eastAsia="Arial" w:hAnsi="Arial"/>
                <w:sz w:val="14"/>
                <w:szCs w:val="14"/>
                <w:color w:val="0000FF"/>
              </w:rPr>
            </w:pPr>
            <w:hyperlink r:id="rId150">
              <w:r>
                <w:rPr>
                  <w:rFonts w:ascii="Arial" w:cs="Arial" w:eastAsia="Arial" w:hAnsi="Arial"/>
                  <w:sz w:val="14"/>
                  <w:szCs w:val="14"/>
                  <w:color w:val="0000FF"/>
                </w:rPr>
                <w:t>among Innovatus Life Sciences Lending Fund</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60" w:type="dxa"/>
            <w:vAlign w:val="bottom"/>
            <w:gridSpan w:val="16"/>
          </w:tcPr>
          <w:p>
            <w:pPr>
              <w:jc w:val="right"/>
              <w:ind w:right="220"/>
              <w:spacing w:after="0"/>
              <w:rPr>
                <w:rFonts w:ascii="Arial" w:cs="Arial" w:eastAsia="Arial" w:hAnsi="Arial"/>
                <w:sz w:val="5"/>
                <w:szCs w:val="5"/>
                <w:color w:val="0000FF"/>
                <w:w w:val="70"/>
              </w:rPr>
            </w:pPr>
            <w:hyperlink r:id="rId150">
              <w:r>
                <w:rPr>
                  <w:rFonts w:ascii="Arial" w:cs="Arial" w:eastAsia="Arial" w:hAnsi="Arial"/>
                  <w:sz w:val="5"/>
                  <w:szCs w:val="5"/>
                  <w:color w:val="0000FF"/>
                  <w:w w:val="70"/>
                </w:rPr>
                <w:t>I,</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10.5</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28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LP, other lenders and the Company.</w:t>
              </w:r>
            </w:hyperlink>
          </w:p>
        </w:tc>
        <w:tc>
          <w:tcPr>
            <w:tcW w:w="88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57"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3260" w:type="dxa"/>
            <w:vAlign w:val="bottom"/>
            <w:gridSpan w:val="53"/>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220" w:type="dxa"/>
            <w:vAlign w:val="bottom"/>
            <w:tcBorders>
              <w:top w:val="single" w:sz="8" w:color="0000FF"/>
            </w:tcBorders>
            <w:gridSpan w:val="48"/>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and Officers.</w:t>
              </w:r>
            </w:hyperlink>
          </w:p>
        </w:tc>
        <w:tc>
          <w:tcPr>
            <w:tcW w:w="20" w:type="dxa"/>
            <w:vAlign w:val="bottom"/>
          </w:tcPr>
          <w:p>
            <w:pPr>
              <w:spacing w:after="0"/>
              <w:rPr>
                <w:sz w:val="11"/>
                <w:szCs w:val="11"/>
                <w:color w:val="auto"/>
              </w:rPr>
            </w:pPr>
          </w:p>
        </w:tc>
        <w:tc>
          <w:tcPr>
            <w:tcW w:w="4294967157"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57"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10.39#</w:t>
            </w:r>
          </w:p>
        </w:tc>
        <w:tc>
          <w:tcPr>
            <w:tcW w:w="3100" w:type="dxa"/>
            <w:vAlign w:val="bottom"/>
            <w:tcBorders>
              <w:bottom w:val="single" w:sz="8" w:color="0000FF"/>
            </w:tcBorders>
            <w:gridSpan w:val="52"/>
          </w:tcPr>
          <w:p>
            <w:pPr>
              <w:spacing w:after="0"/>
              <w:rPr>
                <w:rFonts w:ascii="Arial" w:cs="Arial" w:eastAsia="Arial" w:hAnsi="Arial"/>
                <w:sz w:val="14"/>
                <w:szCs w:val="14"/>
                <w:color w:val="0000FF"/>
              </w:rPr>
            </w:pPr>
            <w:hyperlink r:id="rId152">
              <w:r>
                <w:rPr>
                  <w:rFonts w:ascii="Arial" w:cs="Arial" w:eastAsia="Arial" w:hAnsi="Arial"/>
                  <w:sz w:val="14"/>
                  <w:szCs w:val="14"/>
                  <w:color w:val="0000FF"/>
                </w:rPr>
                <w:t>Non-Employee Director Compensation Program.</w:t>
              </w:r>
            </w:hyperlink>
          </w:p>
        </w:tc>
        <w:tc>
          <w:tcPr>
            <w:tcW w:w="16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10.38</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60" w:type="dxa"/>
            <w:vAlign w:val="bottom"/>
            <w:gridSpan w:val="53"/>
          </w:tcPr>
          <w:p>
            <w:pPr>
              <w:spacing w:after="0"/>
              <w:rPr>
                <w:rFonts w:ascii="Arial" w:cs="Arial" w:eastAsia="Arial" w:hAnsi="Arial"/>
                <w:sz w:val="14"/>
                <w:szCs w:val="14"/>
                <w:color w:val="0000FF"/>
              </w:rPr>
            </w:pPr>
            <w:hyperlink r:id="rId153">
              <w:r>
                <w:rPr>
                  <w:rFonts w:ascii="Arial" w:cs="Arial" w:eastAsia="Arial" w:hAnsi="Arial"/>
                  <w:sz w:val="14"/>
                  <w:szCs w:val="14"/>
                  <w:color w:val="0000FF"/>
                </w:rPr>
                <w:t>Exagen Inc. Amended and Restated Executive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8/5/2024</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540" w:type="dxa"/>
            <w:vAlign w:val="bottom"/>
            <w:tcBorders>
              <w:top w:val="single" w:sz="8" w:color="0000FF"/>
              <w:bottom w:val="single" w:sz="8" w:color="0000FF"/>
            </w:tcBorders>
            <w:gridSpan w:val="21"/>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Change in Control and Severance Plan.</w:t>
              </w:r>
            </w:hyperlink>
          </w:p>
        </w:tc>
        <w:tc>
          <w:tcPr>
            <w:tcW w:w="50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gridSpan w:val="4"/>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53"/>
          </w:tcPr>
          <w:p>
            <w:pPr>
              <w:spacing w:after="0"/>
              <w:rPr>
                <w:rFonts w:ascii="Arial" w:cs="Arial" w:eastAsia="Arial" w:hAnsi="Arial"/>
                <w:sz w:val="14"/>
                <w:szCs w:val="14"/>
                <w:color w:val="0000FF"/>
              </w:rPr>
            </w:pPr>
            <w:hyperlink r:id="rId154">
              <w:r>
                <w:rPr>
                  <w:rFonts w:ascii="Arial" w:cs="Arial" w:eastAsia="Arial" w:hAnsi="Arial"/>
                  <w:sz w:val="14"/>
                  <w:szCs w:val="14"/>
                  <w:color w:val="0000FF"/>
                </w:rPr>
                <w:t>Employment Agreement, dated as of October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29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54">
              <w:r>
                <w:rPr>
                  <w:rFonts w:ascii="Arial" w:cs="Arial" w:eastAsia="Arial" w:hAnsi="Arial"/>
                  <w:sz w:val="14"/>
                  <w:szCs w:val="14"/>
                  <w:color w:val="0000FF"/>
                </w:rPr>
                <w:t>16, 2022, by and between the Company and</w:t>
              </w:r>
            </w:hyperlink>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gridSpan w:val="4"/>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70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John Aballi</w:t>
              </w:r>
            </w:hyperlink>
          </w:p>
        </w:tc>
        <w:tc>
          <w:tcPr>
            <w:tcW w:w="2160" w:type="dxa"/>
            <w:vAlign w:val="bottom"/>
            <w:tcBorders>
              <w:top w:val="single" w:sz="8" w:color="0000FF"/>
            </w:tcBorders>
            <w:gridSpan w:val="27"/>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gridSpan w:val="4"/>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5">
              <w:r>
                <w:rPr>
                  <w:rFonts w:ascii="Arial" w:cs="Arial" w:eastAsia="Arial" w:hAnsi="Arial"/>
                  <w:sz w:val="14"/>
                  <w:szCs w:val="14"/>
                  <w:color w:val="0000FF"/>
                </w:rPr>
                <w:t>Employment Agreement, dated as of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10.42#</w:t>
            </w:r>
          </w:p>
        </w:tc>
        <w:tc>
          <w:tcPr>
            <w:tcW w:w="3240" w:type="dxa"/>
            <w:vAlign w:val="bottom"/>
            <w:tcBorders>
              <w:top w:val="single" w:sz="8" w:color="0000FF"/>
            </w:tcBorders>
            <w:gridSpan w:val="49"/>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1, 2024, by and between the Company and Jeff</w:t>
              </w:r>
            </w:hyperlink>
          </w:p>
        </w:tc>
        <w:tc>
          <w:tcPr>
            <w:tcW w:w="20" w:type="dxa"/>
            <w:vAlign w:val="bottom"/>
            <w:gridSpan w:val="4"/>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8/2/2024</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Black.</w:t>
              </w:r>
            </w:hyperlink>
          </w:p>
        </w:tc>
        <w:tc>
          <w:tcPr>
            <w:tcW w:w="60" w:type="dxa"/>
            <w:vAlign w:val="bottom"/>
            <w:gridSpan w:val="3"/>
          </w:tcPr>
          <w:p>
            <w:pPr>
              <w:spacing w:after="0"/>
              <w:rPr>
                <w:sz w:val="10"/>
                <w:szCs w:val="10"/>
                <w:color w:val="auto"/>
              </w:rPr>
            </w:pPr>
          </w:p>
        </w:tc>
        <w:tc>
          <w:tcPr>
            <w:tcW w:w="80" w:type="dxa"/>
            <w:vAlign w:val="bottom"/>
            <w:gridSpan w:val="7"/>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6">
              <w:r>
                <w:rPr>
                  <w:rFonts w:ascii="Arial" w:cs="Arial" w:eastAsia="Arial" w:hAnsi="Arial"/>
                  <w:sz w:val="14"/>
                  <w:szCs w:val="14"/>
                  <w:color w:val="0000FF"/>
                </w:rPr>
                <w:t>Sales Agreement, dated as of September 15,</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10.43</w:t>
            </w:r>
          </w:p>
        </w:tc>
        <w:tc>
          <w:tcPr>
            <w:tcW w:w="290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156">
              <w:r>
                <w:rPr>
                  <w:rFonts w:ascii="Arial" w:cs="Arial" w:eastAsia="Arial" w:hAnsi="Arial"/>
                  <w:sz w:val="14"/>
                  <w:szCs w:val="14"/>
                  <w:color w:val="0000FF"/>
                </w:rPr>
                <w:t>2022, by and between the Company and TD</w:t>
              </w:r>
            </w:hyperlink>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80" w:type="dxa"/>
            <w:vAlign w:val="bottom"/>
            <w:gridSpan w:val="7"/>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9/15/2022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36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Securities (USA) LLC</w:t>
              </w:r>
            </w:hyperlink>
          </w:p>
        </w:tc>
        <w:tc>
          <w:tcPr>
            <w:tcW w:w="1460" w:type="dxa"/>
            <w:vAlign w:val="bottom"/>
            <w:tcBorders>
              <w:top w:val="single" w:sz="8" w:color="0000FF"/>
            </w:tcBorders>
            <w:gridSpan w:val="21"/>
          </w:tcPr>
          <w:p>
            <w:pPr>
              <w:spacing w:after="0"/>
              <w:rPr>
                <w:sz w:val="10"/>
                <w:szCs w:val="10"/>
                <w:color w:val="auto"/>
              </w:rPr>
            </w:pPr>
          </w:p>
        </w:tc>
        <w:tc>
          <w:tcPr>
            <w:tcW w:w="180" w:type="dxa"/>
            <w:vAlign w:val="bottom"/>
            <w:gridSpan w:val="9"/>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c>
          <w:tcPr>
            <w:tcW w:w="80" w:type="dxa"/>
            <w:vAlign w:val="bottom"/>
            <w:gridSpan w:val="7"/>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7">
              <w:r>
                <w:rPr>
                  <w:rFonts w:ascii="Arial" w:cs="Arial" w:eastAsia="Arial" w:hAnsi="Arial"/>
                  <w:sz w:val="14"/>
                  <w:szCs w:val="14"/>
                  <w:color w:val="0000FF"/>
                </w:rPr>
                <w:t>Third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5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Agreement dated April 28, 2023, by and</w:t>
              </w:r>
            </w:hyperlink>
          </w:p>
        </w:tc>
        <w:tc>
          <w:tcPr>
            <w:tcW w:w="760" w:type="dxa"/>
            <w:vAlign w:val="bottom"/>
            <w:gridSpan w:val="34"/>
          </w:tcPr>
          <w:p>
            <w:pPr>
              <w:jc w:val="right"/>
              <w:ind w:right="240"/>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10.44^</w:t>
            </w:r>
          </w:p>
        </w:tc>
        <w:tc>
          <w:tcPr>
            <w:tcW w:w="3140" w:type="dxa"/>
            <w:vAlign w:val="bottom"/>
            <w:tcBorders>
              <w:top w:val="single" w:sz="8" w:color="0000FF"/>
            </w:tcBorders>
            <w:gridSpan w:val="44"/>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Innovatus Life Sciences Lending I, LP, other</w:t>
              </w:r>
            </w:hyperlink>
          </w:p>
        </w:tc>
        <w:tc>
          <w:tcPr>
            <w:tcW w:w="40" w:type="dxa"/>
            <w:vAlign w:val="bottom"/>
            <w:gridSpan w:val="2"/>
          </w:tcPr>
          <w:p>
            <w:pPr>
              <w:spacing w:after="0"/>
              <w:rPr>
                <w:sz w:val="10"/>
                <w:szCs w:val="10"/>
                <w:color w:val="auto"/>
              </w:rPr>
            </w:pPr>
          </w:p>
        </w:tc>
        <w:tc>
          <w:tcPr>
            <w:tcW w:w="80" w:type="dxa"/>
            <w:vAlign w:val="bottom"/>
            <w:gridSpan w:val="7"/>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5/4/2023</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7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lenders and the Company.</w:t>
              </w:r>
            </w:hyperlink>
          </w:p>
        </w:tc>
        <w:tc>
          <w:tcPr>
            <w:tcW w:w="220" w:type="dxa"/>
            <w:vAlign w:val="bottom"/>
            <w:gridSpan w:val="10"/>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8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2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Fourth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58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Agreement, dated April 12, 2024, by and</w:t>
              </w:r>
            </w:hyperlink>
          </w:p>
        </w:tc>
        <w:tc>
          <w:tcPr>
            <w:tcW w:w="680" w:type="dxa"/>
            <w:vAlign w:val="bottom"/>
            <w:gridSpan w:val="30"/>
          </w:tcPr>
          <w:p>
            <w:pPr>
              <w:ind w:left="40"/>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10.45</w:t>
            </w:r>
          </w:p>
        </w:tc>
        <w:tc>
          <w:tcPr>
            <w:tcW w:w="3180" w:type="dxa"/>
            <w:vAlign w:val="bottom"/>
            <w:tcBorders>
              <w:top w:val="single" w:sz="8" w:color="0000FF"/>
            </w:tcBorders>
            <w:gridSpan w:val="46"/>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Innovatus Life Sciences Lending I, LP, other</w:t>
              </w:r>
            </w:hyperlink>
          </w:p>
        </w:tc>
        <w:tc>
          <w:tcPr>
            <w:tcW w:w="80" w:type="dxa"/>
            <w:vAlign w:val="bottom"/>
            <w:gridSpan w:val="7"/>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5/13/2024</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7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lenders, and the Company.</w:t>
              </w:r>
            </w:hyperlink>
          </w:p>
        </w:tc>
        <w:tc>
          <w:tcPr>
            <w:tcW w:w="220" w:type="dxa"/>
            <w:vAlign w:val="bottom"/>
            <w:gridSpan w:val="10"/>
          </w:tcPr>
          <w:p>
            <w:pPr>
              <w:spacing w:after="0"/>
              <w:rPr>
                <w:sz w:val="11"/>
                <w:szCs w:val="11"/>
                <w:color w:val="auto"/>
              </w:rPr>
            </w:pPr>
          </w:p>
        </w:tc>
        <w:tc>
          <w:tcPr>
            <w:tcW w:w="60" w:type="dxa"/>
            <w:vAlign w:val="bottom"/>
            <w:gridSpan w:val="3"/>
          </w:tcPr>
          <w:p>
            <w:pPr>
              <w:spacing w:after="0"/>
              <w:rPr>
                <w:sz w:val="11"/>
                <w:szCs w:val="11"/>
                <w:color w:val="auto"/>
              </w:rPr>
            </w:pPr>
          </w:p>
        </w:tc>
        <w:tc>
          <w:tcPr>
            <w:tcW w:w="200" w:type="dxa"/>
            <w:vAlign w:val="bottom"/>
            <w:gridSpan w:val="13"/>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60" w:type="dxa"/>
            <w:vAlign w:val="bottom"/>
            <w:gridSpan w:val="10"/>
            <w:shd w:val="clear" w:color="auto" w:fill="0000FF"/>
          </w:tcPr>
          <w:p>
            <w:pPr>
              <w:spacing w:after="0" w:line="20" w:lineRule="exact"/>
              <w:rPr>
                <w:sz w:val="1"/>
                <w:szCs w:val="1"/>
                <w:color w:val="auto"/>
              </w:rPr>
            </w:pPr>
          </w:p>
        </w:tc>
        <w:tc>
          <w:tcPr>
            <w:tcW w:w="1300" w:type="dxa"/>
            <w:vAlign w:val="bottom"/>
            <w:gridSpan w:val="2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9">
              <w:r>
                <w:rPr>
                  <w:rFonts w:ascii="Arial" w:cs="Arial" w:eastAsia="Arial" w:hAnsi="Arial"/>
                  <w:sz w:val="14"/>
                  <w:szCs w:val="14"/>
                  <w:color w:val="0000FF"/>
                </w:rPr>
                <w:t>Assignment and Assumption Agreement,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10.46</w:t>
            </w:r>
          </w:p>
        </w:tc>
        <w:tc>
          <w:tcPr>
            <w:tcW w:w="3240" w:type="dxa"/>
            <w:vAlign w:val="bottom"/>
            <w:tcBorders>
              <w:top w:val="single" w:sz="8" w:color="0000FF"/>
            </w:tcBorders>
            <w:gridSpan w:val="49"/>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among Liberty Vista, L.P., Mindera Corporation</w:t>
              </w:r>
            </w:hyperlink>
          </w:p>
        </w:tc>
        <w:tc>
          <w:tcPr>
            <w:tcW w:w="20" w:type="dxa"/>
            <w:vAlign w:val="bottom"/>
            <w:gridSpan w:val="4"/>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11/13/2023</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16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and the Company.</w:t>
              </w:r>
            </w:hyperlink>
          </w:p>
        </w:tc>
        <w:tc>
          <w:tcPr>
            <w:tcW w:w="1900" w:type="dxa"/>
            <w:vAlign w:val="bottom"/>
            <w:tcBorders>
              <w:top w:val="single" w:sz="8" w:color="0000FF"/>
            </w:tcBorders>
            <w:gridSpan w:val="34"/>
          </w:tcPr>
          <w:p>
            <w:pPr>
              <w:spacing w:after="0"/>
              <w:rPr>
                <w:sz w:val="10"/>
                <w:szCs w:val="10"/>
                <w:color w:val="auto"/>
              </w:rPr>
            </w:pPr>
          </w:p>
        </w:tc>
        <w:tc>
          <w:tcPr>
            <w:tcW w:w="200" w:type="dxa"/>
            <w:vAlign w:val="bottom"/>
            <w:gridSpan w:val="13"/>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60">
              <w:r>
                <w:rPr>
                  <w:rFonts w:ascii="Arial" w:cs="Arial" w:eastAsia="Arial" w:hAnsi="Arial"/>
                  <w:sz w:val="14"/>
                  <w:szCs w:val="14"/>
                  <w:color w:val="0000FF"/>
                </w:rPr>
                <w:t>Consulting Agreement, dated as of December 6,</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10.47</w:t>
            </w:r>
          </w:p>
        </w:tc>
        <w:tc>
          <w:tcPr>
            <w:tcW w:w="3240" w:type="dxa"/>
            <w:vAlign w:val="bottom"/>
            <w:tcBorders>
              <w:top w:val="single" w:sz="8" w:color="0000FF"/>
            </w:tcBorders>
            <w:gridSpan w:val="49"/>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2023, by and between the Company and Mark</w:t>
              </w:r>
            </w:hyperlink>
          </w:p>
        </w:tc>
        <w:tc>
          <w:tcPr>
            <w:tcW w:w="20" w:type="dxa"/>
            <w:vAlign w:val="bottom"/>
            <w:gridSpan w:val="4"/>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12/11/2023</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6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Hazeltine.</w:t>
              </w:r>
            </w:hyperlink>
          </w:p>
        </w:tc>
        <w:tc>
          <w:tcPr>
            <w:tcW w:w="2360" w:type="dxa"/>
            <w:vAlign w:val="bottom"/>
            <w:tcBorders>
              <w:top w:val="single" w:sz="8" w:color="0000FF"/>
            </w:tcBorders>
            <w:gridSpan w:val="35"/>
          </w:tcPr>
          <w:p>
            <w:pPr>
              <w:spacing w:after="0"/>
              <w:rPr>
                <w:sz w:val="10"/>
                <w:szCs w:val="10"/>
                <w:color w:val="auto"/>
              </w:rPr>
            </w:pPr>
          </w:p>
        </w:tc>
        <w:tc>
          <w:tcPr>
            <w:tcW w:w="260" w:type="dxa"/>
            <w:vAlign w:val="bottom"/>
            <w:gridSpan w:val="16"/>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20" w:hanging="817"/>
        <w:spacing w:after="0"/>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0000FF"/>
        </w:rPr>
        <w:t>Insider Trading Policies and Procedures.</w:t>
      </w:r>
    </w:p>
    <w:p>
      <w:pPr>
        <w:spacing w:after="0" w:line="30" w:lineRule="exact"/>
        <w:rPr>
          <w:sz w:val="20"/>
          <w:szCs w:val="20"/>
          <w:color w:val="auto"/>
        </w:rPr>
      </w:pPr>
    </w:p>
    <w:p>
      <w:pPr>
        <w:ind w:left="820"/>
        <w:spacing w:after="0"/>
        <w:rPr>
          <w:sz w:val="20"/>
          <w:szCs w:val="20"/>
          <w:color w:val="auto"/>
        </w:rPr>
      </w:pPr>
      <w:r>
        <w:rPr>
          <w:rFonts w:ascii="Arial" w:cs="Arial" w:eastAsia="Arial" w:hAnsi="Arial"/>
          <w:sz w:val="14"/>
          <w:szCs w:val="14"/>
          <w:u w:val="single" w:color="auto"/>
          <w:color w:val="0000FF"/>
        </w:rPr>
        <w:t>Consent of Independent Registered Public</w:t>
      </w:r>
    </w:p>
    <w:p>
      <w:pPr>
        <w:spacing w:after="0"/>
        <w:tabs>
          <w:tab w:leader="none" w:pos="80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4"/>
          <w:szCs w:val="14"/>
          <w:u w:val="single" w:color="auto"/>
          <w:color w:val="0000FF"/>
        </w:rPr>
        <w:t>Accounting Firm.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ectPr>
          <w:pgSz w:w="11900" w:h="16838" w:orient="portrait"/>
          <w:cols w:equalWidth="0" w:num="2">
            <w:col w:w="8100" w:space="720"/>
            <w:col w:w="459"/>
          </w:cols>
          <w:pgMar w:left="1180" w:top="937" w:right="1440" w:bottom="1440" w:gutter="0" w:footer="0" w:header="0"/>
        </w:sectPr>
      </w:pPr>
    </w:p>
    <w:bookmarkStart w:id="91" w:name="page92"/>
    <w:bookmarkEnd w:id="91"/>
    <w:tbl>
      <w:tblPr>
        <w:tblLayout w:type="fixed"/>
        <w:tblInd w:w="123"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4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Power of Attorney (included on signature page).</w:t>
            </w:r>
          </w:p>
        </w:tc>
        <w:tc>
          <w:tcPr>
            <w:tcW w:w="2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80" w:type="dxa"/>
            <w:vAlign w:val="bottom"/>
            <w:gridSpan w:val="14"/>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8"/>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00" w:type="dxa"/>
            <w:vAlign w:val="bottom"/>
            <w:tcBorders>
              <w:top w:val="single" w:sz="8" w:color="0000FF"/>
            </w:tcBorders>
            <w:gridSpan w:val="13"/>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6"/>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720" w:type="dxa"/>
            <w:vAlign w:val="bottom"/>
            <w:gridSpan w:val="8"/>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00" w:type="dxa"/>
            <w:vAlign w:val="bottom"/>
            <w:tcBorders>
              <w:top w:val="single" w:sz="8" w:color="0000FF"/>
            </w:tcBorders>
            <w:gridSpan w:val="11"/>
          </w:tcPr>
          <w:p>
            <w:pPr>
              <w:spacing w:after="0" w:line="129" w:lineRule="exact"/>
              <w:rPr>
                <w:sz w:val="20"/>
                <w:szCs w:val="20"/>
                <w:color w:val="auto"/>
              </w:rPr>
            </w:pPr>
            <w:r>
              <w:rPr>
                <w:rFonts w:ascii="Arial" w:cs="Arial" w:eastAsia="Arial" w:hAnsi="Arial"/>
                <w:sz w:val="14"/>
                <w:szCs w:val="14"/>
                <w:color w:val="0000FF"/>
              </w:rPr>
              <w:t>Act of 2002.</w:t>
            </w:r>
          </w:p>
        </w:tc>
        <w:tc>
          <w:tcPr>
            <w:tcW w:w="280" w:type="dxa"/>
            <w:vAlign w:val="bottom"/>
            <w:gridSpan w:val="3"/>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980" w:type="dxa"/>
            <w:vAlign w:val="bottom"/>
            <w:tcBorders>
              <w:top w:val="single" w:sz="8" w:color="0000FF"/>
            </w:tcBorders>
            <w:gridSpan w:val="10"/>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30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9"/>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560" w:type="dxa"/>
            <w:vAlign w:val="bottom"/>
            <w:gridSpan w:val="5"/>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70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97.1#</w:t>
            </w:r>
          </w:p>
        </w:tc>
        <w:tc>
          <w:tcPr>
            <w:tcW w:w="2000" w:type="dxa"/>
            <w:vAlign w:val="bottom"/>
            <w:tcBorders>
              <w:top w:val="single" w:sz="8" w:color="0000FF"/>
            </w:tcBorders>
            <w:gridSpan w:val="4"/>
          </w:tcPr>
          <w:p>
            <w:pPr>
              <w:spacing w:after="0"/>
              <w:rPr>
                <w:rFonts w:ascii="Arial" w:cs="Arial" w:eastAsia="Arial" w:hAnsi="Arial"/>
                <w:sz w:val="14"/>
                <w:szCs w:val="14"/>
                <w:color w:val="0000FF"/>
              </w:rPr>
            </w:pPr>
            <w:hyperlink r:id="rId162">
              <w:r>
                <w:rPr>
                  <w:rFonts w:ascii="Arial" w:cs="Arial" w:eastAsia="Arial" w:hAnsi="Arial"/>
                  <w:sz w:val="14"/>
                  <w:szCs w:val="14"/>
                  <w:color w:val="0000FF"/>
                </w:rPr>
                <w:t>Exagen Inc. Clawback Policy.</w:t>
              </w:r>
            </w:hyperlink>
          </w:p>
        </w:tc>
        <w:tc>
          <w:tcPr>
            <w:tcW w:w="1280" w:type="dxa"/>
            <w:vAlign w:val="bottom"/>
            <w:gridSpan w:val="10"/>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auto"/>
              </w:rPr>
              <w:t>10-Q</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001-39049</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10.2</w:t>
            </w:r>
          </w:p>
        </w:tc>
        <w:tc>
          <w:tcPr>
            <w:tcW w:w="1860" w:type="dxa"/>
            <w:vAlign w:val="bottom"/>
          </w:tcPr>
          <w:p>
            <w:pPr>
              <w:ind w:left="240"/>
              <w:spacing w:after="0"/>
              <w:rPr>
                <w:sz w:val="20"/>
                <w:szCs w:val="20"/>
                <w:color w:val="auto"/>
              </w:rPr>
            </w:pPr>
            <w:r>
              <w:rPr>
                <w:rFonts w:ascii="Arial" w:cs="Arial" w:eastAsia="Arial" w:hAnsi="Arial"/>
                <w:sz w:val="14"/>
                <w:szCs w:val="14"/>
                <w:color w:val="auto"/>
              </w:rPr>
              <w:t>11/13/2023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80" w:type="dxa"/>
            <w:vAlign w:val="bottom"/>
            <w:gridSpan w:val="14"/>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80" w:type="dxa"/>
            <w:vAlign w:val="bottom"/>
            <w:gridSpan w:val="14"/>
          </w:tcPr>
          <w:p>
            <w:pPr>
              <w:spacing w:after="0"/>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280" w:type="dxa"/>
            <w:vAlign w:val="bottom"/>
            <w:gridSpan w:val="14"/>
          </w:tcPr>
          <w:p>
            <w:pPr>
              <w:spacing w:after="0" w:line="149"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280" w:type="dxa"/>
            <w:vAlign w:val="bottom"/>
            <w:gridSpan w:val="14"/>
          </w:tcPr>
          <w:p>
            <w:pPr>
              <w:spacing w:after="0" w:line="149"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280" w:type="dxa"/>
            <w:vAlign w:val="bottom"/>
            <w:gridSpan w:val="14"/>
          </w:tcPr>
          <w:p>
            <w:pPr>
              <w:spacing w:after="0" w:line="149"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280" w:type="dxa"/>
            <w:vAlign w:val="bottom"/>
            <w:gridSpan w:val="14"/>
          </w:tcPr>
          <w:p>
            <w:pPr>
              <w:spacing w:after="0" w:line="149" w:lineRule="exact"/>
              <w:rPr>
                <w:sz w:val="20"/>
                <w:szCs w:val="20"/>
                <w:color w:val="auto"/>
              </w:rPr>
            </w:pPr>
            <w:r>
              <w:rPr>
                <w:rFonts w:ascii="Arial" w:cs="Arial" w:eastAsia="Arial" w:hAnsi="Arial"/>
                <w:sz w:val="14"/>
                <w:szCs w:val="14"/>
                <w:color w:val="auto"/>
              </w:rPr>
              <w:t>The cover page from the Company's Annual</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280" w:type="dxa"/>
            <w:vAlign w:val="bottom"/>
            <w:gridSpan w:val="14"/>
          </w:tcPr>
          <w:p>
            <w:pPr>
              <w:spacing w:after="0" w:line="145" w:lineRule="exact"/>
              <w:rPr>
                <w:sz w:val="20"/>
                <w:szCs w:val="20"/>
                <w:color w:val="auto"/>
              </w:rPr>
            </w:pPr>
            <w:r>
              <w:rPr>
                <w:rFonts w:ascii="Arial" w:cs="Arial" w:eastAsia="Arial" w:hAnsi="Arial"/>
                <w:sz w:val="14"/>
                <w:szCs w:val="14"/>
                <w:color w:val="auto"/>
              </w:rPr>
              <w:t>Report on Form 10-K for the year ended</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280" w:type="dxa"/>
            <w:vAlign w:val="bottom"/>
            <w:gridSpan w:val="14"/>
          </w:tcPr>
          <w:p>
            <w:pPr>
              <w:spacing w:after="0" w:line="139" w:lineRule="exact"/>
              <w:rPr>
                <w:sz w:val="20"/>
                <w:szCs w:val="20"/>
                <w:color w:val="auto"/>
              </w:rPr>
            </w:pPr>
            <w:r>
              <w:rPr>
                <w:rFonts w:ascii="Arial" w:cs="Arial" w:eastAsia="Arial" w:hAnsi="Arial"/>
                <w:sz w:val="14"/>
                <w:szCs w:val="14"/>
                <w:color w:val="auto"/>
              </w:rPr>
              <w:t>December 31, 2021, has been formatted in Inline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280" w:type="dxa"/>
            <w:vAlign w:val="bottom"/>
            <w:gridSpan w:val="14"/>
          </w:tcPr>
          <w:p>
            <w:pPr>
              <w:spacing w:after="0"/>
              <w:rPr>
                <w:sz w:val="20"/>
                <w:szCs w:val="20"/>
                <w:color w:val="auto"/>
              </w:rPr>
            </w:pPr>
            <w:r>
              <w:rPr>
                <w:rFonts w:ascii="Arial" w:cs="Arial" w:eastAsia="Arial" w:hAnsi="Arial"/>
                <w:sz w:val="14"/>
                <w:szCs w:val="14"/>
                <w:color w:val="auto"/>
              </w:rPr>
              <w:t>XBRL.</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643" w:hanging="643"/>
        <w:spacing w:after="0" w:line="276" w:lineRule="auto"/>
        <w:tabs>
          <w:tab w:leader="none" w:pos="315"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ind w:left="303" w:hanging="303"/>
        <w:spacing w:after="0"/>
        <w:tabs>
          <w:tab w:leader="none" w:pos="3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 w:lineRule="exact"/>
        <w:rPr>
          <w:sz w:val="20"/>
          <w:szCs w:val="20"/>
          <w:color w:val="auto"/>
        </w:rPr>
      </w:pPr>
    </w:p>
    <w:p>
      <w:pPr>
        <w:ind w:left="303" w:hanging="303"/>
        <w:spacing w:after="0"/>
        <w:tabs>
          <w:tab w:leader="none" w:pos="3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w:t>
      </w:r>
    </w:p>
    <w:p>
      <w:pPr>
        <w:ind w:left="643" w:right="420" w:hanging="643"/>
        <w:spacing w:after="0" w:line="250" w:lineRule="auto"/>
        <w:tabs>
          <w:tab w:leader="none" w:pos="2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23"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3"/>
          </w:cols>
          <w:pgMar w:left="1057" w:top="937" w:right="6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ind w:left="688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220" w:val="left"/>
          <w:tab w:leader="none" w:pos="6860" w:val="left"/>
        </w:tabs>
        <w:rPr>
          <w:sz w:val="20"/>
          <w:szCs w:val="20"/>
          <w:color w:val="auto"/>
        </w:rPr>
      </w:pPr>
      <w:r>
        <w:rPr>
          <w:rFonts w:ascii="Arial" w:cs="Arial" w:eastAsia="Arial" w:hAnsi="Arial"/>
          <w:sz w:val="18"/>
          <w:szCs w:val="18"/>
          <w:color w:val="auto"/>
        </w:rPr>
        <w:t>Date: March 11,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4771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Aballi</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Aballi and Jeffrey G. Black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8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Aballi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John Aballi</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8"/>
                <w:szCs w:val="18"/>
                <w:color w:val="auto"/>
              </w:rPr>
            </w:pPr>
          </w:p>
        </w:tc>
      </w:tr>
      <w:tr>
        <w:trPr>
          <w:trHeight w:val="37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Jeffrey G. Black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Jeffrey G. Black</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Executive Chairman of the Board</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Ana Hooker</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Ana Hooker</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Scott Kahn,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Scott Kahn,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Kim</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w w:val="99"/>
              </w:rPr>
              <w:t>Paul Kim</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Frank Stokes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11, 2025</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Frank Stokes</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7"/>
        </w:trPr>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8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4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898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243)</w:t>
            </w:r>
          </w:p>
        </w:tc>
        <w:tc>
          <w:tcPr>
            <w:tcW w:w="22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980" w:type="dxa"/>
            <w:vAlign w:val="bottom"/>
            <w:gridSpan w:val="7"/>
            <w:vMerge w:val="continue"/>
          </w:tcPr>
          <w:p>
            <w:pPr>
              <w:spacing w:after="0"/>
              <w:rPr>
                <w:sz w:val="15"/>
                <w:szCs w:val="15"/>
                <w:color w:val="auto"/>
              </w:rPr>
            </w:pPr>
          </w:p>
        </w:tc>
        <w:tc>
          <w:tcPr>
            <w:tcW w:w="2240" w:type="dxa"/>
            <w:vAlign w:val="bottom"/>
            <w:gridSpan w:val="3"/>
          </w:tcPr>
          <w:p>
            <w:pPr>
              <w:jc w:val="center"/>
              <w:spacing w:after="0" w:line="182" w:lineRule="exact"/>
              <w:rPr>
                <w:sz w:val="20"/>
                <w:szCs w:val="20"/>
                <w:color w:val="auto"/>
              </w:rPr>
            </w:pPr>
            <w:r>
              <w:rPr>
                <w:rFonts w:ascii="Arial" w:cs="Arial" w:eastAsia="Arial" w:hAnsi="Arial"/>
                <w:sz w:val="18"/>
                <w:szCs w:val="18"/>
                <w:color w:val="3051F2"/>
              </w:rPr>
              <w:t>F-2</w:t>
            </w:r>
          </w:p>
        </w:tc>
        <w:tc>
          <w:tcPr>
            <w:tcW w:w="0" w:type="dxa"/>
            <w:vAlign w:val="bottom"/>
          </w:tcPr>
          <w:p>
            <w:pPr>
              <w:spacing w:after="0"/>
              <w:rPr>
                <w:sz w:val="1"/>
                <w:szCs w:val="1"/>
                <w:color w:val="auto"/>
              </w:rPr>
            </w:pPr>
          </w:p>
        </w:tc>
      </w:tr>
      <w:tr>
        <w:trPr>
          <w:trHeight w:val="209"/>
        </w:trPr>
        <w:tc>
          <w:tcPr>
            <w:tcW w:w="41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Balance Sheets as of December 31, 2024 and 2023</w:t>
            </w:r>
          </w:p>
        </w:tc>
        <w:tc>
          <w:tcPr>
            <w:tcW w:w="460" w:type="dxa"/>
            <w:vAlign w:val="bottom"/>
            <w:tcBorders>
              <w:top w:val="single" w:sz="8" w:color="0000FF"/>
            </w:tcBorders>
          </w:tcPr>
          <w:p>
            <w:pPr>
              <w:spacing w:after="0"/>
              <w:rPr>
                <w:sz w:val="18"/>
                <w:szCs w:val="18"/>
                <w:color w:val="auto"/>
              </w:rPr>
            </w:pPr>
          </w:p>
        </w:tc>
        <w:tc>
          <w:tcPr>
            <w:tcW w:w="438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3051F2"/>
              <w:bottom w:val="single" w:sz="8" w:color="3051F2"/>
            </w:tcBorders>
          </w:tcPr>
          <w:p>
            <w:pPr>
              <w:jc w:val="center"/>
              <w:spacing w:after="0"/>
              <w:rPr>
                <w:sz w:val="20"/>
                <w:szCs w:val="20"/>
                <w:color w:val="auto"/>
              </w:rPr>
            </w:pPr>
            <w:r>
              <w:rPr>
                <w:rFonts w:ascii="Arial" w:cs="Arial" w:eastAsia="Arial" w:hAnsi="Arial"/>
                <w:sz w:val="18"/>
                <w:szCs w:val="18"/>
                <w:color w:val="3051F2"/>
              </w:rPr>
              <w:t>F-4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Statements of Operations for the Years Ended December 31, 2024 and 2023</w:t>
            </w:r>
          </w:p>
        </w:tc>
        <w:tc>
          <w:tcPr>
            <w:tcW w:w="286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Statements of Stockholders' Equity for the Years Ended December 31, 2024 and 2023</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Statements of Cash Flows for the Years Ended December 31, 2024 and 2023</w:t>
            </w:r>
          </w:p>
        </w:tc>
        <w:tc>
          <w:tcPr>
            <w:tcW w:w="2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2240" w:type="dxa"/>
            <w:vAlign w:val="bottom"/>
            <w:gridSpan w:val="3"/>
          </w:tcPr>
          <w:p>
            <w:pPr>
              <w:jc w:val="center"/>
              <w:spacing w:after="0"/>
              <w:rPr>
                <w:sz w:val="20"/>
                <w:szCs w:val="20"/>
                <w:color w:val="auto"/>
              </w:rPr>
            </w:pPr>
            <w:r>
              <w:rPr>
                <w:rFonts w:ascii="Arial" w:cs="Arial" w:eastAsia="Arial" w:hAnsi="Arial"/>
                <w:sz w:val="18"/>
                <w:szCs w:val="18"/>
                <w:color w:val="3051F2"/>
              </w:rPr>
              <w:t>F-8</w:t>
            </w:r>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rPr>
          <w:sz w:val="20"/>
          <w:szCs w:val="20"/>
          <w:color w:val="auto"/>
        </w:rPr>
      </w:pPr>
      <w:r>
        <w:rPr>
          <w:rFonts w:ascii="Arial" w:cs="Arial" w:eastAsia="Arial" w:hAnsi="Arial"/>
          <w:sz w:val="18"/>
          <w:szCs w:val="18"/>
          <w:color w:val="auto"/>
        </w:rPr>
        <w:t>Vista,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balance sheets of Exagen Inc. (the "Company”) as of December 31, 2024 and 2023,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Estimation of Transaction Price</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described in Note 2 to the financial statements, the Company’s revenue was $55.6 million for the year ended December 31, 2024, substantially all of which has been derived from sales of its testing products. Net revenues recognized consist of amounts billed net of allowances for differences between amounts billed and the estimated consideration the Company expects to receive from payors. The process for estimating revenues involves significant judgment and estimation. The Company considers historical denial and collection experience and insurance reimbursement policies and other factors, to estimate allowances and implicit price concessions. The transaction price is estimated using an expected value method on a portfolio basis. The Company's portfolios are grouped per payor (i.e., each individual commercial payor, Medicare, Medicaid, client payors, patient self-pay, etc.) and per test.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estimation of the transaction price using an expected value method for certain portfolios as a critical audit matter. Significant judgment is used in considering historical denial and collection experience and insurance reimbursement policies to determine the estimated consideration the Company expects to receive.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5" w:name="page96"/>
    <w:bookmarkEnd w:id="95"/>
    <w:p>
      <w:pPr>
        <w:spacing w:after="0" w:line="271" w:lineRule="auto"/>
        <w:rPr>
          <w:sz w:val="20"/>
          <w:szCs w:val="20"/>
          <w:color w:val="auto"/>
        </w:rPr>
      </w:pPr>
      <w:r>
        <w:rPr>
          <w:rFonts w:ascii="Arial" w:cs="Arial" w:eastAsia="Arial" w:hAnsi="Arial"/>
          <w:sz w:val="18"/>
          <w:szCs w:val="18"/>
          <w:color w:val="auto"/>
        </w:rPr>
        <w:t>Auditing these elements involved especially subjective auditor judgment due to the nature and extent of audit effort required to address these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58" w:lineRule="exact"/>
        <w:rPr>
          <w:sz w:val="20"/>
          <w:szCs w:val="20"/>
          <w:color w:val="auto"/>
        </w:rPr>
      </w:pPr>
    </w:p>
    <w:p>
      <w:pPr>
        <w:jc w:val="both"/>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the Company’s process to estimate transaction price using an expected value method for certain portfolios by evaluating the reasonableness of the Company’s assumptions regarding historical denial and collection experience and insurance reimbursement policies by developing an expectation of those assumptions using historical data inputs.</w:t>
      </w:r>
    </w:p>
    <w:p>
      <w:pPr>
        <w:spacing w:after="0" w:line="10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the completeness and accuracy of a sample of tests used by management as data inputs in their analysis to monitor historical denial and collection experience and insurance reimbursement policies by comparing the data to physician test requisition forms, evidence of test delivery and cash collection activity.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6" w:name="page97"/>
    <w:bookmarkEnd w:id="9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36,455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9"/>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Borrowings-current portion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19,822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6)</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at December 31,</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2024 and December 31, 2023</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$0.001 par value per share; 200,000,000 shares authorized at December 31, 2024 and December 31, 2023;</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17,640,328 and 17,045,954 shares issued and outstanding at December 31, 2024 and December 31, 2023, respectively</w:t>
            </w: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303,853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7" w:name="page98"/>
    <w:bookmarkEnd w:id="9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23,092</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29,456</w:t>
            </w:r>
          </w:p>
        </w:tc>
        <w:tc>
          <w:tcPr>
            <w:tcW w:w="0" w:type="dxa"/>
            <w:vAlign w:val="bottom"/>
          </w:tcPr>
          <w:p>
            <w:pPr>
              <w:spacing w:after="0"/>
              <w:rPr>
                <w:sz w:val="1"/>
                <w:szCs w:val="1"/>
                <w:color w:val="auto"/>
              </w:rPr>
            </w:pP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47,428</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52,293</w:t>
            </w:r>
          </w:p>
        </w:tc>
        <w:tc>
          <w:tcPr>
            <w:tcW w:w="0" w:type="dxa"/>
            <w:vAlign w:val="bottom"/>
          </w:tcPr>
          <w:p>
            <w:pPr>
              <w:spacing w:after="0"/>
              <w:rPr>
                <w:sz w:val="1"/>
                <w:szCs w:val="1"/>
                <w:color w:val="auto"/>
              </w:rPr>
            </w:pP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(22,837)</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18,203,044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17,679,467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5"/>
        </w:trPr>
        <w:tc>
          <w:tcPr>
            <w:tcW w:w="38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jc w:val="center"/>
              <w:ind w:right="380"/>
              <w:spacing w:after="0" w:line="126"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vMerge w:val="restart"/>
          </w:tcPr>
          <w:p>
            <w:pPr>
              <w:jc w:val="center"/>
              <w:ind w:right="150"/>
              <w:spacing w:after="0" w:line="12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2022</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16,549,984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273,042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93,335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129,593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(23,689)</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2023</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17,045,954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301,893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413,202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96,048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221"/>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2024</w:t>
            </w:r>
          </w:p>
        </w:tc>
        <w:tc>
          <w:tcPr>
            <w:tcW w:w="1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17,640,328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83"/>
        </w:trPr>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(15,115)</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(23,689)</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Loss on lease assignment</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1,470</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lease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3,617</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w:t>
            </w: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(14,462)</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finance lease obligations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(697)</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long-term debt</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00"/>
        </w:trPr>
        <w:tc>
          <w:tcPr>
            <w:tcW w:w="8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(10,632)</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(25,898)</w:t>
            </w:r>
          </w:p>
        </w:tc>
      </w:tr>
      <w:tr>
        <w:trPr>
          <w:trHeight w:val="206"/>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62,591</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36,693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1,737</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bl>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566" w:right="4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5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At December 31, 2024, the Company had cash and cash equivalents of $22.0 million and had an accumulated deficit of $294.3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estimated incremental borrowing rate for the determination of the Company's operating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revenue as a percentage of total revenue and accounts receivable as a percentage of total accounts receivable are as follows:</w:t>
      </w:r>
    </w:p>
    <w:p>
      <w:pPr>
        <w:spacing w:after="0" w:line="208"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23495</wp:posOffset>
            </wp:positionV>
            <wp:extent cx="20231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23495</wp:posOffset>
            </wp:positionV>
            <wp:extent cx="20231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70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198"/>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52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7"/>
        </w:trPr>
        <w:tc>
          <w:tcPr>
            <w:tcW w:w="9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83"/>
        </w:trPr>
        <w:tc>
          <w:tcPr>
            <w:tcW w:w="1000" w:type="dxa"/>
            <w:vAlign w:val="bottom"/>
            <w:tcBorders>
              <w:bottom w:val="single" w:sz="8" w:color="auto"/>
            </w:tcBorders>
          </w:tcPr>
          <w:p>
            <w:pPr>
              <w:spacing w:after="0"/>
              <w:rPr>
                <w:sz w:val="24"/>
                <w:szCs w:val="24"/>
                <w:color w:val="auto"/>
              </w:rPr>
            </w:pPr>
          </w:p>
        </w:tc>
        <w:tc>
          <w:tcPr>
            <w:tcW w:w="80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8080" w:type="dxa"/>
            <w:vAlign w:val="bottom"/>
            <w:gridSpan w:val="2"/>
          </w:tcPr>
          <w:p>
            <w:pPr>
              <w:jc w:val="right"/>
              <w:ind w:right="7008"/>
              <w:spacing w:after="0"/>
              <w:rPr>
                <w:sz w:val="20"/>
                <w:szCs w:val="20"/>
                <w:color w:val="auto"/>
              </w:rPr>
            </w:pPr>
            <w:r>
              <w:rPr>
                <w:rFonts w:ascii="Arial" w:cs="Arial" w:eastAsia="Arial" w:hAnsi="Arial"/>
                <w:sz w:val="14"/>
                <w:szCs w:val="14"/>
                <w:color w:val="auto"/>
              </w:rPr>
              <w:t>Less than 10%.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93"/>
        </w:trPr>
        <w:tc>
          <w:tcPr>
            <w:tcW w:w="10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rPr>
              <w:t>Accounts Receivable</w:t>
            </w:r>
          </w:p>
        </w:tc>
        <w:tc>
          <w:tcPr>
            <w:tcW w:w="480" w:type="dxa"/>
            <w:vAlign w:val="bottom"/>
            <w:tcBorders>
              <w:bottom w:val="single" w:sz="8" w:color="auto"/>
            </w:tcBorders>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0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r>
      <w:tr>
        <w:trPr>
          <w:trHeight w:val="197"/>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94"/>
        </w:trPr>
        <w:tc>
          <w:tcPr>
            <w:tcW w:w="1000" w:type="dxa"/>
            <w:vAlign w:val="bottom"/>
          </w:tcPr>
          <w:p>
            <w:pPr>
              <w:ind w:left="20"/>
              <w:spacing w:after="0"/>
              <w:rPr>
                <w:sz w:val="20"/>
                <w:szCs w:val="20"/>
                <w:color w:val="auto"/>
              </w:rPr>
            </w:pPr>
            <w:r>
              <w:rPr>
                <w:rFonts w:ascii="Arial" w:cs="Arial" w:eastAsia="Arial" w:hAnsi="Arial"/>
                <w:sz w:val="14"/>
                <w:szCs w:val="14"/>
                <w:color w:val="auto"/>
              </w:rPr>
              <w:t>Medicare</w:t>
            </w:r>
          </w:p>
        </w:tc>
        <w:tc>
          <w:tcPr>
            <w:tcW w:w="7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42 %</w:t>
            </w:r>
          </w:p>
        </w:tc>
      </w:tr>
    </w:tbl>
    <w:p>
      <w:pPr>
        <w:spacing w:after="0" w:line="2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years ended December 31, 2024 and 2023, approximately 91% and 88%,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dependent on key suppliers for certain laboratory materials. For the year ended December 31, 2024, approximately 71% and 26% of the Company's diagnostic testing supplies were purchased from two suppliers, respectively. For the year ended December 31, 2023, approximately 66% and 30% of the Company's diagnostic testing supplies were purchased from two suppliers, respectively. An interruption in the supply of these materials would impact the Company's ability to perform testing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29,600</w:t>
            </w:r>
          </w:p>
        </w:tc>
        <w:tc>
          <w:tcPr>
            <w:tcW w:w="12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23,985</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18,002</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11,360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9,949</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55,641</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52,548</w:t>
            </w:r>
          </w:p>
        </w:tc>
      </w:tr>
      <w:tr>
        <w:trPr>
          <w:trHeight w:val="25"/>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560" w:hanging="309"/>
        <w:spacing w:after="0"/>
        <w:tabs>
          <w:tab w:leader="none" w:pos="5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5" w:lineRule="exact"/>
        <w:rPr>
          <w:rFonts w:ascii="Arial" w:cs="Arial" w:eastAsia="Arial" w:hAnsi="Arial"/>
          <w:sz w:val="14"/>
          <w:szCs w:val="14"/>
          <w:color w:val="auto"/>
        </w:rPr>
      </w:pPr>
    </w:p>
    <w:p>
      <w:pPr>
        <w:ind w:left="560" w:hanging="309"/>
        <w:spacing w:after="0"/>
        <w:tabs>
          <w:tab w:leader="none" w:pos="5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patient self-pay.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8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operating expenses in the statements of operations in the period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categorizes leases at their commencement as either operating or finance leases.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The incremental borrowing rate is the rate of interest the Company would have to pay to borrow, on a collateralized basis over a similar term and in a similar economic environment, an amount equal to the total lease payments. The Company primarily considers industry data, its credit rating and the lease term to determine its incremental borrowing rate.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based on estimated progress of services performed, including actual level of subjects enrolled and progress of the clinical studies. Payments made prior to the completion of clinical study services are capitalized as a prepaid expense. The prepaid amounts are expensed as the related goods are delivered or the services are performed, or when it is no longer expected that the goods will be delivered or the services rendered. Expenses associated with clinical study activities are recorded in research and development expenses in the accompanying statement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follows a five-step process to determine the amount and timing of revenue recognized: (1) identify the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years ended December 31, 2024 and 2023 were net revenue increases of $6.6 million and $3.4 million, respectively, associated with changes in estimated variable consideration related to performance obligations satisfied in previous periods. The transaction price is estimated using an expected value method on a portfolio basis.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each of December 31, 2024 and 2023. Adjustments for implicit price concessions attributable to variable consideration, as discussed above, are incorporated into the measurement of the accounts receivable balances and are not part of the allowance for credit losses. Accounts receivable was $7.8 million, $6.6 million, and $6.1 million for the years ended December 31, 2024, 2023 and 2022,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18"/>
          <w:szCs w:val="18"/>
          <w:color w:val="auto"/>
        </w:rPr>
        <w:t>supplies; consulting costs; costs associated with setting up and conducting clinical studies; depreciation; amortization and allocated overhead, including rent and utilities.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$1.4 million and $1.5 million for the years ended December 31, 2024 and 2023, respectively, and are included in selling, general and administrative expenses in the accompanying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were approximately $3.1 million and $2.5 million for the years ended December 31, 2024 and 2023,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Equity award forfeitures are recorded as they occur.</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an expense in the period that includes the enactment date.</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stock outstanding during the period. Diluted net loss per share attributable to common stockholders is computed by dividing the net loss attributable to common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5" w:name="page106"/>
    <w:bookmarkEnd w:id="105"/>
    <w:p>
      <w:pPr>
        <w:jc w:val="both"/>
        <w:spacing w:after="0" w:line="246" w:lineRule="auto"/>
        <w:rPr>
          <w:sz w:val="20"/>
          <w:szCs w:val="20"/>
          <w:color w:val="auto"/>
        </w:rPr>
      </w:pPr>
      <w:r>
        <w:rPr>
          <w:rFonts w:ascii="Arial" w:cs="Arial" w:eastAsia="Arial" w:hAnsi="Arial"/>
          <w:sz w:val="18"/>
          <w:szCs w:val="18"/>
          <w:color w:val="auto"/>
        </w:rPr>
        <w:t>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Exagen Inc. 2019 Employee Stock Purchase Plan (ESPP). For each of the years ended December 31, 2024 and 2023, there is no difference in the number of shares used to calculate basic and diluted shares outstanding as the inclusion of the potentially dilutive securities would be antidilutive.</w:t>
      </w:r>
    </w:p>
    <w:p>
      <w:pPr>
        <w:spacing w:after="0" w:line="1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325,330</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40" w:type="dxa"/>
            <w:vAlign w:val="bottom"/>
          </w:tcPr>
          <w:p>
            <w:pPr>
              <w:jc w:val="right"/>
              <w:spacing w:after="0"/>
              <w:rPr>
                <w:sz w:val="20"/>
                <w:szCs w:val="20"/>
                <w:color w:val="auto"/>
              </w:rPr>
            </w:pPr>
            <w:r>
              <w:rPr>
                <w:rFonts w:ascii="Arial" w:cs="Arial" w:eastAsia="Arial" w:hAnsi="Arial"/>
                <w:sz w:val="14"/>
                <w:szCs w:val="14"/>
                <w:color w:val="auto"/>
              </w:rPr>
              <w:t>489,296</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986,819</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1,710,373</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1,387,459</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57,461</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44,700</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2,582,460</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2,828,086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This update will result in enhanced income tax disclosures,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any impact to income tax expense.</w:t>
      </w:r>
    </w:p>
    <w:p>
      <w:pPr>
        <w:sectPr>
          <w:pgSz w:w="11900" w:h="16838" w:orient="portrait"/>
          <w:cols w:equalWidth="0" w:num="1">
            <w:col w:w="11240"/>
          </w:cols>
          <w:pgMar w:left="320" w:top="1052" w:right="339" w:bottom="1440" w:gutter="0" w:footer="0" w:header="0"/>
        </w:sectPr>
      </w:pPr>
    </w:p>
    <w:p>
      <w:pPr>
        <w:spacing w:after="0" w:line="12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In November 2024, the FASB </w:t>
      </w:r>
      <w:r>
        <w:rPr>
          <w:rFonts w:ascii="Arial" w:cs="Arial" w:eastAsia="Arial" w:hAnsi="Arial"/>
          <w:sz w:val="18"/>
          <w:szCs w:val="18"/>
          <w:i w:val="1"/>
          <w:iCs w:val="1"/>
          <w:color w:val="auto"/>
        </w:rPr>
        <w:t xml:space="preserve">Disclosures (Subtopic 220-40) </w:t>
      </w:r>
      <w:r>
        <w:rPr>
          <w:rFonts w:ascii="Arial" w:cs="Arial" w:eastAsia="Arial" w:hAnsi="Arial"/>
          <w:sz w:val="18"/>
          <w:szCs w:val="18"/>
          <w:color w:val="auto"/>
        </w:rPr>
        <w:t>expenses, including purchases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hanging="5"/>
        <w:spacing w:after="0" w:line="231" w:lineRule="auto"/>
        <w:rPr>
          <w:sz w:val="20"/>
          <w:szCs w:val="20"/>
          <w:color w:val="auto"/>
        </w:rPr>
      </w:pPr>
      <w:r>
        <w:rPr>
          <w:rFonts w:ascii="Arial" w:cs="Arial" w:eastAsia="Arial" w:hAnsi="Arial"/>
          <w:sz w:val="18"/>
          <w:szCs w:val="18"/>
          <w:color w:val="auto"/>
        </w:rPr>
        <w:t xml:space="preserve">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(“ASU 2024-03”). This update requires entities to include more detailed information about the types of of inventory, employee compensation, depreciation, amortization, and depletion, in commonly presented</w:t>
      </w:r>
    </w:p>
    <w:p>
      <w:pPr>
        <w:spacing w:after="0" w:line="1" w:lineRule="exact"/>
        <w:rPr>
          <w:sz w:val="20"/>
          <w:szCs w:val="20"/>
          <w:color w:val="auto"/>
        </w:rPr>
      </w:pPr>
    </w:p>
    <w:p>
      <w:pPr>
        <w:sectPr>
          <w:pgSz w:w="11900" w:h="16838" w:orient="portrait"/>
          <w:cols w:equalWidth="0" w:num="2">
            <w:col w:w="2540" w:space="60"/>
            <w:col w:w="8640"/>
          </w:cols>
          <w:pgMar w:left="320" w:top="1052" w:right="339" w:bottom="1440" w:gutter="0" w:footer="0" w:header="0"/>
          <w:type w:val="continuous"/>
        </w:sectPr>
      </w:pPr>
    </w:p>
    <w:p>
      <w:pPr>
        <w:jc w:val="both"/>
        <w:spacing w:after="0" w:line="231" w:lineRule="auto"/>
        <w:rPr>
          <w:sz w:val="20"/>
          <w:szCs w:val="20"/>
          <w:color w:val="auto"/>
        </w:rPr>
      </w:pPr>
      <w:r>
        <w:rPr>
          <w:rFonts w:ascii="Arial" w:cs="Arial" w:eastAsia="Arial" w:hAnsi="Arial"/>
          <w:sz w:val="18"/>
          <w:szCs w:val="18"/>
          <w:color w:val="auto"/>
        </w:rPr>
        <w:t>expense captions such as cost of sales, research and development, and selling, general and administrative expenses. ASU 2024-03 is effective for annual periods beginning after December 15, 2026, with early adoption permitted. The company is currently evaluating the impact of this standard on its financial statement presentation and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(ASU 2023-07), which requires public entities to disclose significant segment expenses that are regularly provided to the Chief Operating Decision Maker (CODM) and details of how the CODM uses financial reporting to assess the performance of a segment. The Company adopted this pronouncement in 2024 and retrospectively to all prior periods using the significant segment expense categories identified. The impact of the adoption of the amendments in this update was not material to the Company’s financial position and results of operations, as the requirements impact only segment reporting disclosures in the footnotes to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9"/>
        </w:trPr>
        <w:tc>
          <w:tcPr>
            <w:tcW w:w="824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4,248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5,312</w:t>
            </w: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r>
      <w:tr>
        <w:trPr>
          <w:trHeight w:val="199"/>
        </w:trPr>
        <w:tc>
          <w:tcPr>
            <w:tcW w:w="82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10,970</w:t>
            </w:r>
          </w:p>
        </w:tc>
      </w:tr>
      <w:tr>
        <w:trPr>
          <w:trHeight w:val="207"/>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(5,769)</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w:t>
            </w: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expense for the years ended December 31, 2024 and 2023, was approximately $1.7 million and $2.2 million, respectively. At December 31, 2024 and 2023, the gross book value of assets under finance leases was $2.0 million and $2.5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Lease Assignment</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October 24, 2023, the Company entered into an assignment and assumption (the Assignment and Assumption Agreement) of the Company’s previously executed lease agreement with Liberty Vista, LP (formerly known as Geiger Court, LLC) and Mindera Corporation (Mindera), pursuant to which the Company assigned to Mindera the lease of a building located adjacent to the Company's headquarters in Vista, CA. Under the terms of the Assignment and Assumption Agreement, Mindera assumed all obligations under the lease, effective October 31, 2023. As a result of the lease assignment, the Company derecognized the remaining balances related to the associated operating lease ROU asset of $0.7 million, operating lease liability of $0.8 million and leasehold improvements of $1.6 million, resulting in a $1.5 million loss on lease assignment. The loss was classified within selling, general and administrative expenses in the accompanying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5,046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2,804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7,850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Loan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At December 31, 2024, no additional amounts remained available to borrow under the Amended Loan Agreement.</w:t>
      </w:r>
    </w:p>
    <w:p>
      <w:pPr>
        <w:spacing w:after="0" w:line="1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April 28, 2023, the Company entered into the Amended Loan Agreement. The Amended Loan Agreement was treated as a modification. In connection with the Amended Loan Agreement, the Company repaid $10.0 million 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07" w:name="page108"/>
    <w:bookmarkEnd w:id="107"/>
    <w:p>
      <w:pPr>
        <w:jc w:val="both"/>
        <w:spacing w:after="0" w:line="243" w:lineRule="auto"/>
        <w:rPr>
          <w:sz w:val="20"/>
          <w:szCs w:val="20"/>
          <w:color w:val="auto"/>
        </w:rPr>
      </w:pPr>
      <w:r>
        <w:rPr>
          <w:rFonts w:ascii="Arial" w:cs="Arial" w:eastAsia="Arial" w:hAnsi="Arial"/>
          <w:sz w:val="18"/>
          <w:szCs w:val="18"/>
          <w:color w:val="auto"/>
        </w:rPr>
        <w:t>the principal balance outstanding, for which the prepayment premium was waived. Pursuant to the Amended Loan Agreement, the interest rate on all borrowings under the Amended Loan Agreement is the sum (the Basic Rate) of (a) 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10.6% and 11.0% as of December 31, 2024 and 2023, respectively.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 For the years ended December 31, 2024 and 2023, the Company issued PIK Loans totaling $0.3 million and $0.4 million, respectively. At December 31, 2024, $18.5 million in principal and PIK loans are outstanding, all of which is included in borrowings-non-current portion on the accompanying balance sheet.</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financial plan approved by the Company's board of directors (the Board)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Company was in compliance with all covenants of the Amended Loan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 Accordingly, the Company has reflected the amounts of the Amended Loan Agreement due beyond twelve months of the balance sheet date as non-current.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 Payable</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has purchased laboratory equipment in the normal course of business using notes payable. At December 31, 2024, the total notes payable balance related to the financed equipment was $1.1 million, with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8" w:name="page109"/>
    <w:bookmarkEnd w:id="108"/>
    <w:p>
      <w:pPr>
        <w:jc w:val="both"/>
        <w:spacing w:after="0" w:line="247" w:lineRule="auto"/>
        <w:rPr>
          <w:sz w:val="20"/>
          <w:szCs w:val="20"/>
          <w:color w:val="auto"/>
        </w:rPr>
      </w:pPr>
      <w:r>
        <w:rPr>
          <w:rFonts w:ascii="Arial" w:cs="Arial" w:eastAsia="Arial" w:hAnsi="Arial"/>
          <w:sz w:val="18"/>
          <w:szCs w:val="18"/>
          <w:color w:val="auto"/>
        </w:rPr>
        <w:t>$0.4 million classified within borrowings-current portion and $0.7 million within borrowings-non-current portion, net of discounts and debt issuance costs in the accompanying balance sheets. At December 31, 2023, the total notes payable balance related to this financed equipment was $0.8 million, with $0.3 million classified within borrowings-current portion and $0.5 million within borrowings-non-current portion, net of discounts and debt issuance costs in the accompanying balance sheets. The financed equipment is subject to effective interest rates between 5.28% and 10.50%, and will mature between October 1, 2026 and April 1, 2028.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Payments on Outstanding Borrowings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future minimum aggregate payments, including interest, for outstanding borrowings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Years Ending</w:t>
            </w:r>
          </w:p>
        </w:tc>
      </w:tr>
      <w:tr>
        <w:trPr>
          <w:trHeight w:val="185"/>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r>
      <w:tr>
        <w:trPr>
          <w:trHeight w:val="198"/>
        </w:trPr>
        <w:tc>
          <w:tcPr>
            <w:tcW w:w="9800" w:type="dxa"/>
            <w:vAlign w:val="bottom"/>
          </w:tcPr>
          <w:p>
            <w:pPr>
              <w:ind w:left="20"/>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21,400</w:t>
            </w: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19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00"/>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23,758</w:t>
            </w:r>
          </w:p>
        </w:tc>
      </w:tr>
      <w:tr>
        <w:trPr>
          <w:trHeight w:val="178"/>
        </w:trPr>
        <w:tc>
          <w:tcPr>
            <w:tcW w:w="9800" w:type="dxa"/>
            <w:vAlign w:val="bottom"/>
          </w:tcPr>
          <w:p>
            <w:pPr>
              <w:ind w:left="36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9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8"/>
        </w:trPr>
        <w:tc>
          <w:tcPr>
            <w:tcW w:w="98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w:t>
            </w:r>
          </w:p>
        </w:tc>
      </w:tr>
      <w:tr>
        <w:trPr>
          <w:trHeight w:val="200"/>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20,245</w:t>
            </w:r>
          </w:p>
        </w:tc>
      </w:tr>
      <w:tr>
        <w:trPr>
          <w:trHeight w:val="199"/>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Borrowings-current portion</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r>
      <w:tr>
        <w:trPr>
          <w:trHeight w:val="22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leases office and laboratory space located in Vista, California. The lease expires in April 2027, with an option to extend portions of the lease for additional 5-year periods. The Company has not included the optional renewal periods in the measurement of the lease liability, because it is not reasonably certain that the Company will exercise these renewal options. The Company's payments under the lease are subject to escalation clauses.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leases additional office space in Carlsbad, California, under a sublease which commenced in October 2021 and expires in April 2027. Monthly base rent under the sublease agreement is $72,143. The monthly base rent increases by approximately 3% annually, each October 1, through the remainder of the lease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tcPr>
          <w:p>
            <w:pPr>
              <w:spacing w:after="0"/>
              <w:rPr>
                <w:sz w:val="17"/>
                <w:szCs w:val="17"/>
                <w:color w:val="auto"/>
              </w:rPr>
            </w:pPr>
          </w:p>
        </w:tc>
      </w:tr>
      <w:tr>
        <w:trPr>
          <w:trHeight w:val="197"/>
        </w:trPr>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r>
      <w:tr>
        <w:trPr>
          <w:trHeight w:val="19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2,401</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3,286</w:t>
            </w: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r>
      <w:tr>
        <w:trPr>
          <w:trHeight w:val="270"/>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1,664</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2,760</w:t>
            </w: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662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1,345</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1,463</w:t>
            </w:r>
          </w:p>
        </w:tc>
      </w:tr>
      <w:tr>
        <w:trPr>
          <w:trHeight w:val="20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5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03"/>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00"/>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1,709</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w:t>
            </w:r>
          </w:p>
        </w:tc>
      </w:tr>
      <w:tr>
        <w:trPr>
          <w:trHeight w:val="21"/>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$196,000 and $129,000 for the years ended December 31, 2024 and 2023,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62" w:lineRule="exact"/>
        <w:rPr>
          <w:sz w:val="20"/>
          <w:szCs w:val="20"/>
          <w:color w:val="auto"/>
        </w:rPr>
      </w:pPr>
    </w:p>
    <w:p>
      <w:pPr>
        <w:jc w:val="right"/>
        <w:ind w:right="14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3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2023</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99"/>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6"/>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99"/>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6"/>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4"/>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12.2 %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December 31, 2024 are as follows (in thousands):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2025</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98"/>
        </w:trPr>
        <w:tc>
          <w:tcPr>
            <w:tcW w:w="6560" w:type="dxa"/>
            <w:vAlign w:val="bottom"/>
          </w:tcPr>
          <w:p>
            <w:pPr>
              <w:jc w:val="right"/>
              <w:ind w:right="6148"/>
              <w:spacing w:after="0"/>
              <w:rPr>
                <w:sz w:val="20"/>
                <w:szCs w:val="20"/>
                <w:color w:val="auto"/>
              </w:rPr>
            </w:pPr>
            <w:r>
              <w:rPr>
                <w:rFonts w:ascii="Arial" w:cs="Arial" w:eastAsia="Arial" w:hAnsi="Arial"/>
                <w:sz w:val="14"/>
                <w:szCs w:val="14"/>
                <w:color w:val="auto"/>
              </w:rPr>
              <w:t>2026</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1,315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2027</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2"/>
        </w:trPr>
        <w:tc>
          <w:tcPr>
            <w:tcW w:w="6560" w:type="dxa"/>
            <w:vAlign w:val="bottom"/>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3,037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92"/>
        </w:trPr>
        <w:tc>
          <w:tcPr>
            <w:tcW w:w="6560" w:type="dxa"/>
            <w:vAlign w:val="bottom"/>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2,760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358</w:t>
            </w:r>
          </w:p>
        </w:tc>
      </w:tr>
      <w:tr>
        <w:trPr>
          <w:trHeight w:val="203"/>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(1,096)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200"/>
        </w:trPr>
        <w:tc>
          <w:tcPr>
            <w:tcW w:w="6560" w:type="dxa"/>
            <w:vAlign w:val="bottom"/>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1,664</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1"/>
        </w:trPr>
        <w:tc>
          <w:tcPr>
            <w:tcW w:w="65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2.0% to 7.0% on net sales of products which incorporate licensed technology, as defined in such agreements. Royalties are accrued when incurred and recorded in costs of revenue in the accompanying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2024, the Company amended a supply agreement with one supplier for reagents, which includes pricing terms and minimum purchase commitments, through December 31, 2025, for new consumable products related to the Company's launch of the Anti-RA33 IgA, Anti-RA33 IgG and Anti-RA33 IgM biomarkers. The aggregate minimum annual purchase commitment related to such agreement for the year ending December 31, 2025 is $10.4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(AHN), pursuant to which the Company is required to pay AHN a collaboration fee of $0.4 million per year. Collaboration expenses under the master research collaboration agreement were $0.3 million for each of the years ended December 31, 2024 and 2023. Collaboration expenses under the AHN collaboration are included in research and development expenses in the accompanying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as of December 31, 2024 will have a material effect on its financial position or results of operations.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October 2023, the Company resolved an investigation with the U.S. Attorney’s Office for the District of Massachusetts that was initiated by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(the October 2023 Lawsuit). Pursuant to a settlement agreement entered into by and between the Company and the U.S. Department of Justice (the Settlement Agreement), the Company made a single lump-sum remittance to the government in the amount of $0.7 million, including interest, in connection with specimen processing arrangements that Exagen historically had with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1" w:name="page112"/>
    <w:bookmarkEnd w:id="111"/>
    <w:p>
      <w:pPr>
        <w:jc w:val="both"/>
        <w:spacing w:after="0" w:line="244" w:lineRule="auto"/>
        <w:rPr>
          <w:sz w:val="20"/>
          <w:szCs w:val="20"/>
          <w:color w:val="auto"/>
        </w:rPr>
      </w:pPr>
      <w:r>
        <w:rPr>
          <w:rFonts w:ascii="Arial" w:cs="Arial" w:eastAsia="Arial" w:hAnsi="Arial"/>
          <w:sz w:val="18"/>
          <w:szCs w:val="18"/>
          <w:color w:val="auto"/>
        </w:rPr>
        <w:t>physicians. The U.S. Attorney’s Office dismissed this “covered conduct” in the October 2023 Lawsuit with prejudice, while non-covered conduct was dismissed without prejudice. The Department of Justice excused itself from the case in connection with the settlement. In November 2023, the complaint was unsealed by the court and served on Exagen by the relator. Exagen filed a motion to dismiss the complaint. In December 2023, the Company's insurance carrier provided reimbursement for certain defense costs the Company incurred in the October 2023 Lawsuit. In February 2024, the relator filed a motion for leave to amend the complaint. Exagen opposed this motion, and all motions are still pending. The Company cannot predict when these matters will be resolved, the outcome of these matters, or their potential impact, which may materially and adversely affect the Company's business, prospects, and financial condition. The Company intends to vigorously defend against the claims being asserted in the complaint.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participation in federal healthcare programs is not affected by the Settlement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similar issues. As of December 31, 2024, the Amended Loan Agreement had a carrying value of $19.1 million and a fair value of $19.2 million. As of December 31, 2023, the Amended Loan Agreement had a carrying value of $18.7 million and a fair value of $19.7 million. The estimated fair value of the Amended Loan Agreement was determined based on a discounted cash flow approach using available market information on discount and borrowing rates with similar terms, maturities, and credit ratings. The aggregate carrying value of the Company's other long-term borrowings as of December 31, 2024 was $1.1 million and approximated its fair value.</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158" w:lineRule="exact"/>
        <w:rPr>
          <w:sz w:val="20"/>
          <w:szCs w:val="20"/>
          <w:color w:val="auto"/>
        </w:rPr>
      </w:pPr>
    </w:p>
    <w:p>
      <w:pPr>
        <w:jc w:val="both"/>
        <w:ind w:left="1320" w:hanging="1295"/>
        <w:spacing w:after="0" w:line="261"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0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15,144</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15,144</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25"/>
        </w:trPr>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40"/>
        </w:trPr>
        <w:tc>
          <w:tcPr>
            <w:tcW w:w="6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9"/>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14,386</w:t>
            </w:r>
          </w:p>
        </w:tc>
        <w:tc>
          <w:tcPr>
            <w:tcW w:w="40" w:type="dxa"/>
            <w:vAlign w:val="bottom"/>
          </w:tcPr>
          <w:p>
            <w:pPr>
              <w:spacing w:after="0"/>
              <w:rPr>
                <w:sz w:val="17"/>
                <w:szCs w:val="17"/>
                <w:color w:val="auto"/>
              </w:rPr>
            </w:pPr>
          </w:p>
        </w:tc>
        <w:tc>
          <w:tcPr>
            <w:tcW w:w="30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14,386</w:t>
            </w:r>
          </w:p>
        </w:tc>
        <w:tc>
          <w:tcPr>
            <w:tcW w:w="20" w:type="dxa"/>
            <w:vAlign w:val="bottom"/>
          </w:tcPr>
          <w:p>
            <w:pPr>
              <w:spacing w:after="0"/>
              <w:rPr>
                <w:sz w:val="17"/>
                <w:szCs w:val="17"/>
                <w:color w:val="auto"/>
              </w:rPr>
            </w:pPr>
          </w:p>
        </w:tc>
        <w:tc>
          <w:tcPr>
            <w:tcW w:w="34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gridSpan w:val="3"/>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4"/>
        </w:trPr>
        <w:tc>
          <w:tcPr>
            <w:tcW w:w="6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TD Securities (USA) LLC as sales agent, pursuant to which the Company may offer and sell, from time to time, shares of Company common stock having an aggregate offering price of up to $50.0 million. The Company is not obligated to sell any shares of Company common stock in the offering. As of December 31, 2024, the Company has not sold any shares of its common stock pursuant to the Sales Agreement</w:t>
      </w:r>
      <w:r>
        <w:rPr>
          <w:rFonts w:ascii="Arial" w:cs="Arial" w:eastAsia="Arial" w:hAnsi="Arial"/>
          <w:sz w:val="21"/>
          <w:szCs w:val="21"/>
          <w:color w:val="008080"/>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Outstanding Warrants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370"/>
        </w:trPr>
        <w:tc>
          <w:tcPr>
            <w:tcW w:w="3800" w:type="dxa"/>
            <w:vAlign w:val="bottom"/>
            <w:gridSpan w:val="2"/>
          </w:tcPr>
          <w:p>
            <w:pPr>
              <w:spacing w:after="0"/>
              <w:rPr>
                <w:sz w:val="20"/>
                <w:szCs w:val="20"/>
                <w:color w:val="auto"/>
              </w:rPr>
            </w:pPr>
            <w:r>
              <w:rPr>
                <w:rFonts w:ascii="Arial" w:cs="Arial" w:eastAsia="Arial" w:hAnsi="Arial"/>
                <w:sz w:val="18"/>
                <w:szCs w:val="18"/>
                <w:color w:val="auto"/>
              </w:rPr>
              <w:t>The  following  equity  classified  warrants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to  purchase</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common  stock</w:t>
            </w: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were  outstanding  as  of</w:t>
            </w:r>
          </w:p>
        </w:tc>
        <w:tc>
          <w:tcPr>
            <w:tcW w:w="2060" w:type="dxa"/>
            <w:vAlign w:val="bottom"/>
          </w:tcPr>
          <w:p>
            <w:pPr>
              <w:jc w:val="right"/>
              <w:spacing w:after="0"/>
              <w:rPr>
                <w:sz w:val="20"/>
                <w:szCs w:val="20"/>
                <w:color w:val="auto"/>
              </w:rPr>
            </w:pPr>
            <w:r>
              <w:rPr>
                <w:rFonts w:ascii="Arial" w:cs="Arial" w:eastAsia="Arial" w:hAnsi="Arial"/>
                <w:sz w:val="18"/>
                <w:szCs w:val="18"/>
                <w:color w:val="auto"/>
              </w:rPr>
              <w:t>December  31,  2024:</w:t>
            </w:r>
          </w:p>
        </w:tc>
      </w:tr>
      <w:tr>
        <w:trPr>
          <w:trHeight w:val="211"/>
        </w:trPr>
        <w:tc>
          <w:tcPr>
            <w:tcW w:w="3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January 19, 2016</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8"/>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110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500" w:type="dxa"/>
            <w:vAlign w:val="bottom"/>
            <w:gridSpan w:val="3"/>
          </w:tcPr>
          <w:p>
            <w:pPr>
              <w:jc w:val="right"/>
              <w:ind w:right="300"/>
              <w:spacing w:after="0"/>
              <w:rPr>
                <w:sz w:val="20"/>
                <w:szCs w:val="20"/>
                <w:color w:val="auto"/>
              </w:rPr>
            </w:pPr>
            <w:r>
              <w:rPr>
                <w:rFonts w:ascii="Arial" w:cs="Arial" w:eastAsia="Arial" w:hAnsi="Arial"/>
                <w:sz w:val="14"/>
                <w:szCs w:val="14"/>
                <w:color w:val="auto"/>
              </w:rPr>
              <w:t>March 31, 2016</w:t>
            </w:r>
          </w:p>
        </w:tc>
        <w:tc>
          <w:tcPr>
            <w:tcW w:w="206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April 1, 2016</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8"/>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1100" w:type="dxa"/>
            <w:vAlign w:val="bottom"/>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500" w:type="dxa"/>
            <w:vAlign w:val="bottom"/>
            <w:gridSpan w:val="3"/>
          </w:tcPr>
          <w:p>
            <w:pPr>
              <w:jc w:val="right"/>
              <w:ind w:right="300"/>
              <w:spacing w:after="0"/>
              <w:rPr>
                <w:sz w:val="20"/>
                <w:szCs w:val="20"/>
                <w:color w:val="auto"/>
              </w:rPr>
            </w:pPr>
            <w:r>
              <w:rPr>
                <w:rFonts w:ascii="Arial" w:cs="Arial" w:eastAsia="Arial" w:hAnsi="Arial"/>
                <w:sz w:val="14"/>
                <w:szCs w:val="14"/>
                <w:color w:val="auto"/>
              </w:rPr>
              <w:t>December 7, 2018</w:t>
            </w:r>
          </w:p>
        </w:tc>
        <w:tc>
          <w:tcPr>
            <w:tcW w:w="2060" w:type="dxa"/>
            <w:vAlign w:val="bottom"/>
          </w:tcPr>
          <w:p>
            <w:pPr>
              <w:jc w:val="right"/>
              <w:spacing w:after="0"/>
              <w:rPr>
                <w:sz w:val="20"/>
                <w:szCs w:val="20"/>
                <w:color w:val="auto"/>
              </w:rPr>
            </w:pPr>
            <w:r>
              <w:rPr>
                <w:rFonts w:ascii="Arial" w:cs="Arial" w:eastAsia="Arial" w:hAnsi="Arial"/>
                <w:sz w:val="14"/>
                <w:szCs w:val="14"/>
                <w:color w:val="auto"/>
              </w:rPr>
              <w:t>December 7, 2025</w:t>
            </w:r>
          </w:p>
        </w:tc>
      </w:tr>
      <w:tr>
        <w:trPr>
          <w:trHeight w:val="20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0.001</w:t>
            </w:r>
          </w:p>
        </w:tc>
        <w:tc>
          <w:tcPr>
            <w:tcW w:w="12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June 22, 2021</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None</w:t>
            </w:r>
          </w:p>
        </w:tc>
      </w:tr>
      <w:tr>
        <w:trPr>
          <w:trHeight w:val="192"/>
        </w:trPr>
        <w:tc>
          <w:tcPr>
            <w:tcW w:w="32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1,130,281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 warrants to purchase common stock were exercised during the years ended December 31, 2024 and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September 2019,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w:t>
      </w:r>
    </w:p>
    <w:p>
      <w:pPr>
        <w:spacing w:after="0" w:line="3" w:lineRule="exact"/>
        <w:rPr>
          <w:sz w:val="20"/>
          <w:szCs w:val="20"/>
          <w:color w:val="auto"/>
        </w:rPr>
      </w:pPr>
    </w:p>
    <w:p>
      <w:pPr>
        <w:jc w:val="both"/>
        <w:ind w:firstLine="8"/>
        <w:spacing w:after="0" w:line="242" w:lineRule="auto"/>
        <w:tabs>
          <w:tab w:leader="none" w:pos="2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4% of the outstanding capital stock on each December 31st, or (ii) such lesser amount determined by the Board. As of December 31, 2024, 2,189,228 shares of common stock remained available for future awards. Pursuant to the evergreen provision, on January 1, 2025, an additional 705,613 shares of common stock became available for issuance under the 2019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140" w:type="dxa"/>
            <w:vAlign w:val="bottom"/>
          </w:tcPr>
          <w:p>
            <w:pPr>
              <w:jc w:val="center"/>
              <w:ind w:left="308"/>
              <w:spacing w:after="0" w:line="145"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Grant Date Fair Value</w:t>
            </w:r>
          </w:p>
        </w:tc>
        <w:tc>
          <w:tcPr>
            <w:tcW w:w="220" w:type="dxa"/>
            <w:vAlign w:val="bottom"/>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Per Share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1,387,459</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198"/>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1,324,275</w:t>
            </w: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(413,202)</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(588,159)</w:t>
            </w:r>
          </w:p>
        </w:tc>
        <w:tc>
          <w:tcPr>
            <w:tcW w:w="1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1,710,373</w:t>
            </w:r>
          </w:p>
        </w:tc>
        <w:tc>
          <w:tcPr>
            <w:tcW w:w="1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2024, all of the outstanding RSUs are unvested. The fair value of RSUs vested in the years ended December 31, 2024 and 2023 was $0.9 million and $0.6 million, respectively. The weighted average grant date fair value per share for RSUs granted during the years ended December 31, 2024 and 2023 was $2.11 and $2.39, respectively. As of December 31, 2024, total unrecognized compensation cost related to RSUs was $3.4 million, which is expected to be recognized over a remaining weighted-average vesting period of 2.8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Price Per</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Share</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986,819</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8"/>
        </w:trPr>
        <w:tc>
          <w:tcPr>
            <w:tcW w:w="51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55,500</w:t>
            </w:r>
          </w:p>
        </w:tc>
        <w:tc>
          <w:tcPr>
            <w:tcW w:w="102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(85,124)</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40" w:type="dxa"/>
            <w:vAlign w:val="bottom"/>
          </w:tcPr>
          <w:p>
            <w:pPr>
              <w:jc w:val="right"/>
              <w:spacing w:after="0"/>
              <w:rPr>
                <w:sz w:val="20"/>
                <w:szCs w:val="20"/>
                <w:color w:val="auto"/>
              </w:rPr>
            </w:pPr>
            <w:r>
              <w:rPr>
                <w:rFonts w:ascii="Arial" w:cs="Arial" w:eastAsia="Arial" w:hAnsi="Arial"/>
                <w:sz w:val="14"/>
                <w:szCs w:val="14"/>
                <w:color w:val="auto"/>
              </w:rPr>
              <w:t>(9,623)</w:t>
            </w:r>
          </w:p>
        </w:tc>
        <w:tc>
          <w:tcPr>
            <w:tcW w:w="102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(458,276)</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Arial" w:cs="Arial" w:eastAsia="Arial" w:hAnsi="Arial"/>
                <w:sz w:val="14"/>
                <w:szCs w:val="14"/>
                <w:color w:val="auto"/>
              </w:rPr>
              <w:t>Outstanding, December 31, 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489,296</w:t>
            </w:r>
          </w:p>
        </w:tc>
        <w:tc>
          <w:tcPr>
            <w:tcW w:w="102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489,296</w:t>
            </w:r>
          </w:p>
        </w:tc>
        <w:tc>
          <w:tcPr>
            <w:tcW w:w="10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2024</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468,706</w:t>
            </w:r>
          </w:p>
        </w:tc>
        <w:tc>
          <w:tcPr>
            <w:tcW w:w="102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weighted-average grant date fair value per share of options granted during the years ended December 31, 2024 and 2023 was $1.44 and $2.17, respectively. The aggregate intrinsic value of options exercised during the years ended December 31, 2024 and 2023 was $0.3 million and $0.2 million, respectively. The intrinsic value is calculated as the difference between the fair value of the Company's common stock and the exercise price of the stock options. The fair value of the Company's common stock was $ 4.10 and $1.99 per share at December 31, 2024 and 2023, respectively. As of December 31, 2024, total unrecognized compensation cost related to option awards was negligible.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During the year ended December 31, 2024, the Company issued 96,048 shares of common stock pursuant to scheduled purchases under the ESPP. As of December 31, 2024, 523,744 shares of common stock remained available for issuance. Pursuant to the evergreen provision, on January 1, 2025, an additional 176,403 shares became available for issuance under the ESPP.</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Stock-based compensation expense related to the ESPP for each of the years ended December 31, 2024 and 2023 was less than $0.1 million. As of December 31, 2024, total unrecognized compensation cost related to stock purchase rights granted under the ESPP was less than $0.1 million, which is expected to be recognized over a remaining weighted-average vesting period of 0.2 years.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14" w:name="page115"/>
    <w:bookmarkEnd w:id="114"/>
    <w:p>
      <w:pPr>
        <w:jc w:val="both"/>
        <w:spacing w:after="0" w:line="271"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statement of operations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198"/>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3,174</w:t>
            </w: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92"/>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r>
      <w:tr>
        <w:trPr>
          <w:trHeight w:val="25"/>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1,130,281</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489,296</w:t>
            </w: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reserved for issuance upon vesting of outstanding restricted stock units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1,710,373</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available for grant under the 2019 Plan</w:t>
            </w:r>
          </w:p>
        </w:tc>
        <w:tc>
          <w:tcPr>
            <w:tcW w:w="2240" w:type="dxa"/>
            <w:vAlign w:val="bottom"/>
          </w:tcPr>
          <w:p>
            <w:pPr>
              <w:jc w:val="right"/>
              <w:spacing w:after="0"/>
              <w:rPr>
                <w:sz w:val="20"/>
                <w:szCs w:val="20"/>
                <w:color w:val="auto"/>
              </w:rPr>
            </w:pPr>
            <w:r>
              <w:rPr>
                <w:rFonts w:ascii="Arial" w:cs="Arial" w:eastAsia="Arial" w:hAnsi="Arial"/>
                <w:sz w:val="14"/>
                <w:szCs w:val="14"/>
                <w:color w:val="auto"/>
              </w:rPr>
              <w:t>2,189,228</w:t>
            </w:r>
          </w:p>
        </w:tc>
      </w:t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available for future issuance under ESPP</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523,744</w:t>
            </w:r>
          </w:p>
        </w:tc>
      </w:tr>
      <w:tr>
        <w:trPr>
          <w:trHeight w:val="200"/>
        </w:trPr>
        <w:tc>
          <w:tcPr>
            <w:tcW w:w="9000" w:type="dxa"/>
            <w:vAlign w:val="bottom"/>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6,042,922</w:t>
            </w:r>
          </w:p>
        </w:tc>
      </w:tr>
      <w:tr>
        <w:trPr>
          <w:trHeight w:val="20"/>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right"/>
              <w:ind w:right="11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6"/>
              </w:rPr>
              <w:t>(12)</w:t>
            </w:r>
          </w:p>
        </w:tc>
        <w:tc>
          <w:tcPr>
            <w:tcW w:w="1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rPr>
              <w:t>(33)</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60" w:type="dxa"/>
            <w:vAlign w:val="bottom"/>
          </w:tcPr>
          <w:p>
            <w:pPr>
              <w:spacing w:after="0"/>
              <w:rPr>
                <w:sz w:val="16"/>
                <w:szCs w:val="16"/>
                <w:color w:val="auto"/>
              </w:rPr>
            </w:pPr>
          </w:p>
        </w:tc>
        <w:tc>
          <w:tcPr>
            <w:tcW w:w="500" w:type="dxa"/>
            <w:vAlign w:val="bottom"/>
          </w:tcPr>
          <w:p>
            <w:pPr>
              <w:jc w:val="center"/>
              <w:ind w:left="108"/>
              <w:spacing w:after="0"/>
              <w:rPr>
                <w:sz w:val="20"/>
                <w:szCs w:val="20"/>
                <w:color w:val="auto"/>
              </w:rPr>
            </w:pPr>
            <w:r>
              <w:rPr>
                <w:rFonts w:ascii="Arial" w:cs="Arial" w:eastAsia="Arial" w:hAnsi="Arial"/>
                <w:sz w:val="14"/>
                <w:szCs w:val="14"/>
                <w:color w:val="auto"/>
                <w:w w:val="96"/>
              </w:rPr>
              <w:t>(12)</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jc w:val="center"/>
              <w:ind w:left="128"/>
              <w:spacing w:after="0"/>
              <w:rPr>
                <w:sz w:val="20"/>
                <w:szCs w:val="20"/>
                <w:color w:val="auto"/>
              </w:rPr>
            </w:pPr>
            <w:r>
              <w:rPr>
                <w:rFonts w:ascii="Arial" w:cs="Arial" w:eastAsia="Arial" w:hAnsi="Arial"/>
                <w:sz w:val="14"/>
                <w:szCs w:val="14"/>
                <w:color w:val="auto"/>
              </w:rPr>
              <w:t>(33)</w:t>
            </w: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19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6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spacing w:after="0"/>
              <w:rPr>
                <w:sz w:val="17"/>
                <w:szCs w:val="17"/>
                <w:color w:val="auto"/>
              </w:rPr>
            </w:pPr>
          </w:p>
        </w:tc>
        <w:tc>
          <w:tcPr>
            <w:tcW w:w="50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206"/>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deferred</w:t>
            </w:r>
          </w:p>
        </w:tc>
        <w:tc>
          <w:tcPr>
            <w:tcW w:w="126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spacing w:after="0"/>
              <w:rPr>
                <w:sz w:val="16"/>
                <w:szCs w:val="16"/>
                <w:color w:val="auto"/>
              </w:rPr>
            </w:pPr>
          </w:p>
        </w:tc>
        <w:tc>
          <w:tcPr>
            <w:tcW w:w="50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225"/>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6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6"/>
              </w:rPr>
              <w:t>(12)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rPr>
              <w:t>(33)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54"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9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2.2 %</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0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Stock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0"/>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components of the Company’s deferred tax assets at December 31, 2024 and 2023 are shown below (in thousands). A valuation allowance has been established as realization of the Company’s deferred tax assets has not met the more likely-than-not threshold requirement. If the Company’s judgment changes and it is determined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5" w:name="page116"/>
    <w:bookmarkEnd w:id="115"/>
    <w:p>
      <w:pPr>
        <w:jc w:val="both"/>
        <w:spacing w:after="0" w:line="271" w:lineRule="auto"/>
        <w:rPr>
          <w:sz w:val="20"/>
          <w:szCs w:val="20"/>
          <w:color w:val="auto"/>
        </w:rPr>
      </w:pPr>
      <w:r>
        <w:rPr>
          <w:rFonts w:ascii="Arial" w:cs="Arial" w:eastAsia="Arial" w:hAnsi="Arial"/>
          <w:sz w:val="18"/>
          <w:szCs w:val="18"/>
          <w:color w:val="auto"/>
        </w:rPr>
        <w:t>that the Company will be able to realize these deferred tax assets, the tax benefits relating to any reversal of the valuation allowance on deferred tax assets will be accounted for as a reduction to income tax expense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84"/>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35,348</w:t>
            </w:r>
          </w:p>
        </w:tc>
        <w:tc>
          <w:tcPr>
            <w:tcW w:w="140" w:type="dxa"/>
            <w:vAlign w:val="bottom"/>
          </w:tcPr>
          <w:p>
            <w:pPr>
              <w:spacing w:after="0"/>
              <w:rPr>
                <w:sz w:val="17"/>
                <w:szCs w:val="17"/>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32,479</w:t>
            </w:r>
          </w:p>
        </w:tc>
      </w:tr>
      <w:tr>
        <w:trPr>
          <w:trHeight w:val="206"/>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955</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compensation</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Capitalization of research and experimentation costs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2,942</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2,929</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45,945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44,043</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(45,237)</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(42,942)</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708</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r>
      <w:tr>
        <w:trPr>
          <w:trHeight w:val="18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Right of use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(592)</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valuation allowance for deferred tax assets during the years ended December 31, 2024 and 2023, which related primarily to increases in net operating loss (NOL) carryforwards, research and development tax credits, and capitalization of research and</w:t>
      </w:r>
    </w:p>
    <w:tbl>
      <w:tblPr>
        <w:tblLayout w:type="fixed"/>
        <w:tblInd w:w="0" w:type="dxa"/>
        <w:tblCellMar>
          <w:top w:w="0" w:type="dxa"/>
          <w:left w:w="0" w:type="dxa"/>
          <w:bottom w:w="0" w:type="dxa"/>
          <w:right w:w="0" w:type="dxa"/>
        </w:tblCellMar>
      </w:tblPr>
      <w:tr>
        <w:trPr>
          <w:trHeight w:val="235"/>
        </w:trPr>
        <w:tc>
          <w:tcPr>
            <w:tcW w:w="1900" w:type="dxa"/>
            <w:vAlign w:val="bottom"/>
          </w:tcPr>
          <w:p>
            <w:pPr>
              <w:spacing w:after="0"/>
              <w:rPr>
                <w:sz w:val="20"/>
                <w:szCs w:val="20"/>
                <w:color w:val="auto"/>
              </w:rPr>
            </w:pPr>
            <w:r>
              <w:rPr>
                <w:rFonts w:ascii="Arial" w:cs="Arial" w:eastAsia="Arial" w:hAnsi="Arial"/>
                <w:sz w:val="18"/>
                <w:szCs w:val="18"/>
                <w:color w:val="auto"/>
              </w:rPr>
              <w:t>experimentation</w:t>
            </w:r>
          </w:p>
        </w:tc>
        <w:tc>
          <w:tcPr>
            <w:tcW w:w="1700" w:type="dxa"/>
            <w:vAlign w:val="bottom"/>
          </w:tcPr>
          <w:p>
            <w:pPr>
              <w:ind w:left="600"/>
              <w:spacing w:after="0"/>
              <w:rPr>
                <w:sz w:val="20"/>
                <w:szCs w:val="20"/>
                <w:color w:val="auto"/>
              </w:rPr>
            </w:pPr>
            <w:r>
              <w:rPr>
                <w:rFonts w:ascii="Arial" w:cs="Arial" w:eastAsia="Arial" w:hAnsi="Arial"/>
                <w:sz w:val="18"/>
                <w:szCs w:val="18"/>
                <w:color w:val="auto"/>
              </w:rPr>
              <w:t>costs</w:t>
            </w:r>
          </w:p>
        </w:tc>
        <w:tc>
          <w:tcPr>
            <w:tcW w:w="1520" w:type="dxa"/>
            <w:vAlign w:val="bottom"/>
          </w:tcPr>
          <w:p>
            <w:pPr>
              <w:ind w:left="520"/>
              <w:spacing w:after="0"/>
              <w:rPr>
                <w:sz w:val="20"/>
                <w:szCs w:val="20"/>
                <w:color w:val="auto"/>
              </w:rPr>
            </w:pPr>
            <w:r>
              <w:rPr>
                <w:rFonts w:ascii="Arial" w:cs="Arial" w:eastAsia="Arial" w:hAnsi="Arial"/>
                <w:sz w:val="18"/>
                <w:szCs w:val="18"/>
                <w:color w:val="auto"/>
              </w:rPr>
              <w:t>were</w:t>
            </w:r>
          </w:p>
        </w:tc>
        <w:tc>
          <w:tcPr>
            <w:tcW w:w="1400" w:type="dxa"/>
            <w:vAlign w:val="bottom"/>
          </w:tcPr>
          <w:p>
            <w:pPr>
              <w:ind w:left="600"/>
              <w:spacing w:after="0"/>
              <w:rPr>
                <w:sz w:val="20"/>
                <w:szCs w:val="20"/>
                <w:color w:val="auto"/>
              </w:rPr>
            </w:pPr>
            <w:r>
              <w:rPr>
                <w:rFonts w:ascii="Arial" w:cs="Arial" w:eastAsia="Arial" w:hAnsi="Arial"/>
                <w:sz w:val="18"/>
                <w:szCs w:val="18"/>
                <w:color w:val="auto"/>
              </w:rPr>
              <w:t>as</w:t>
            </w:r>
          </w:p>
        </w:tc>
        <w:tc>
          <w:tcPr>
            <w:tcW w:w="2200" w:type="dxa"/>
            <w:vAlign w:val="bottom"/>
            <w:gridSpan w:val="2"/>
          </w:tcPr>
          <w:p>
            <w:pPr>
              <w:jc w:val="right"/>
              <w:ind w:right="968"/>
              <w:spacing w:after="0"/>
              <w:rPr>
                <w:sz w:val="20"/>
                <w:szCs w:val="20"/>
                <w:color w:val="auto"/>
              </w:rPr>
            </w:pPr>
            <w:r>
              <w:rPr>
                <w:rFonts w:ascii="Arial" w:cs="Arial" w:eastAsia="Arial" w:hAnsi="Arial"/>
                <w:sz w:val="18"/>
                <w:szCs w:val="18"/>
                <w:color w:val="auto"/>
              </w:rPr>
              <w:t>follows</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thousands):</w:t>
            </w:r>
          </w:p>
        </w:tc>
      </w:tr>
      <w:tr>
        <w:trPr>
          <w:trHeight w:val="197"/>
        </w:trPr>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19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2023</w:t>
            </w:r>
          </w:p>
        </w:tc>
      </w:tr>
      <w:tr>
        <w:trPr>
          <w:trHeight w:val="197"/>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42,942</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38,567</w:t>
            </w:r>
          </w:p>
        </w:tc>
      </w:tr>
      <w:tr>
        <w:trPr>
          <w:trHeight w:val="198"/>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5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2,295</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4,375</w:t>
            </w:r>
          </w:p>
        </w:tc>
      </w:tr>
      <w:tr>
        <w:trPr>
          <w:trHeight w:val="22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45,237</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42,942</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December 31, 2024 and 2023, the Company had federal NOL carryforwards of approximately $141.5 million and $129.8 million, respectively. At December 31, 2024 and 2023, the Company had state NOL carryforwards of $98.7 million and $91.0 million, respectively. Approximately $43.5 million of the federal tax loss carryforwards will begin to expire in 2025, unless previously utilized. The federal NOL carryforwards generated after December 31, 2017 of $98.0 million will carryforward indefinitely. The Company’s state tax loss carryforwards will begin to expire in 2030, unless previously utilized.</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December 31, 2024,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 2012, 2017 and 2019. Based on the analysis, $58.4 million of the Company's tax attribute carryforwards through December 31, 2017 cannot be utilized under IRC Section 382. The Company's ability to utilize NOL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Company’s tax years for 2004 and forward are subject to examination by the U.S. and state tax authorities due to the carryforward of unutilized NOLs and research and development credits.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recognizes interest and/or penalties related to income tax matters in its provision for income taxes. The Company does not have any material accruals for, and did not recognize any, material interest or penalties in these financial statements in any period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and 2023, the Company had no unrecognized tax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401(k) Plan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each of the years ended December 31, 2024 and 2023, the Company made contributions to the 401(k) Plan at 4% of qualified employee compensation. For each of the years ended December 31, 2024 and 2023, these contributions totaled approximately $0.8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Reporting</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CODM in making decisions regarding resource allocation and assessing performance. The Company operates in a single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Statement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$44.7 million and $56.9 million for the years ended December 31, 2024 and 2023,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84"/>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23,092</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29,456</w:t>
            </w: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5,920</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1,426</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6,857</w:t>
            </w:r>
          </w:p>
        </w:tc>
      </w:tr>
      <w:tr>
        <w:trPr>
          <w:trHeight w:val="192"/>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46,748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52,293</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(22,837)</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(2,335)</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(23,656)</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Segment net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(23,689)</w:t>
            </w:r>
          </w:p>
        </w:tc>
      </w:tr>
      <w:tr>
        <w:trPr>
          <w:trHeight w:val="24"/>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right="120" w:firstLine="8"/>
        <w:spacing w:after="0" w:line="222" w:lineRule="auto"/>
        <w:tabs>
          <w:tab w:leader="none" w:pos="92"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02" w:right="339" w:bottom="1440" w:gutter="0" w:footer="0" w:header="0"/>
        </w:sectPr>
      </w:pPr>
    </w:p>
    <w:bookmarkStart w:id="118" w:name="page119"/>
    <w:bookmarkEnd w:id="118"/>
    <w:p>
      <w:pPr>
        <w:ind w:left="4920"/>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COMPLIANCE POLICY</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consists of seven sections:</w:t>
      </w:r>
    </w:p>
    <w:p>
      <w:pPr>
        <w:spacing w:after="0" w:line="212" w:lineRule="exact"/>
        <w:rPr>
          <w:sz w:val="20"/>
          <w:szCs w:val="20"/>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Exagen Inc. prohibiting insider trading;</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Exagen Inc. to prevent insider trading;</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 provides information about Section 16 and Rule 144;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SUMMARY</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Exagen Inc. (together with its subsidiaries,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Policy, and violation of this Policy may result in Company-imposed sanctions, including removal or dismissal for cause.</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applies to all officers, directors, employees of the Company, and certain consultants specified by management (“</w:t>
      </w:r>
      <w:r>
        <w:rPr>
          <w:rFonts w:ascii="Times New Roman" w:cs="Times New Roman" w:eastAsia="Times New Roman" w:hAnsi="Times New Roman"/>
          <w:sz w:val="22"/>
          <w:szCs w:val="22"/>
          <w:b w:val="1"/>
          <w:bCs w:val="1"/>
          <w:i w:val="1"/>
          <w:iCs w:val="1"/>
          <w:color w:val="auto"/>
        </w:rPr>
        <w:t>specified consultants</w:t>
      </w:r>
      <w:r>
        <w:rPr>
          <w:rFonts w:ascii="Times New Roman" w:cs="Times New Roman" w:eastAsia="Times New Roman" w:hAnsi="Times New Roman"/>
          <w:sz w:val="22"/>
          <w:szCs w:val="22"/>
          <w:color w:val="auto"/>
        </w:rPr>
        <w:t>”).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employee and specified consultant must review this Policy. Questions regarding the Policy should be directed to the Company’s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18" w:right="339" w:bottom="1440" w:gutter="0" w:footer="0" w:header="0"/>
        </w:sectPr>
      </w:pPr>
    </w:p>
    <w:bookmarkStart w:id="119" w:name="page120"/>
    <w:bookmarkEnd w:id="119"/>
    <w:p>
      <w:pPr>
        <w:ind w:left="540" w:hanging="532"/>
        <w:spacing w:after="0"/>
        <w:tabs>
          <w:tab w:leader="none" w:pos="5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 OF POLICIES PROHIBITING INSIDER TRADING</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15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Additionally, no officer, director, employee or specified consultant listed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(as amended from time to time) shall purchase or sell any security of the Company during the period beginning on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For the purposes of this Policy, a “trading day” is a day on which national stock exchanges are open for trading.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233"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w:t>
      </w:r>
    </w:p>
    <w:p>
      <w:pPr>
        <w:spacing w:after="0" w:line="219"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194"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contributions to, or the acquisition of Company securities under an “employee stock purchase plan” (within the meaning of the Internal Revenue Code of 1986) maintained by the Company (“ESPP”), in each case, pursuant to the terms and conditions of the applicable plan or the employees’ advance instructions;</w:t>
      </w:r>
    </w:p>
    <w:p>
      <w:pPr>
        <w:spacing w:after="0" w:line="16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or</w:t>
      </w:r>
    </w:p>
    <w:p>
      <w:pPr>
        <w:spacing w:after="0" w:line="223"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395" w:right="339" w:bottom="1440" w:gutter="0" w:footer="0" w:header="0"/>
        </w:sectPr>
      </w:pPr>
    </w:p>
    <w:bookmarkStart w:id="120" w:name="page121"/>
    <w:bookmarkEnd w:id="120"/>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No officer, director, employee or specified consultant shall directly or indirectly communicate (or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39"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EXPLANATION OF INSIDER TRADING</w:t>
      </w:r>
    </w:p>
    <w:p>
      <w:pPr>
        <w:spacing w:after="0" w:line="20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the security or its issuer.</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any contract to purchase or otherwise acquire a security.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193"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What Facts are Material?</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 information concerning product developments or technological developments, the results of clinical trials or clinical studies; communications sent to or received from the U.S. Food and Drug Administration or foreign regulatory agencies; dividends; corporate earnings or earnings forecasts; possible mergers, acquisitions, tender offers or dispositions; major new products, product developments or geographies; important business developments such as trial results,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16"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22"/>
          <w:szCs w:val="22"/>
          <w:color w:val="auto"/>
        </w:rPr>
        <w:t>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What is Non-Public?</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 site.</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Who is an Insider?</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“Insiders” include officers, directors, employees and certain consultants of a company and anyone else who has material inside information about a company. Insiders have independent fiduciary duties to their company and its stockholders not to trade on material, non-public information relating to the company’s securities. All officers, directors, employees and certain consultants of the Company should consider themselves insiders with respect to material, non-public information about the Company’s business, activities and securities. Officers, directors, employees and certain consultants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22"/>
          <w:szCs w:val="22"/>
          <w:color w:val="auto"/>
        </w:rPr>
        <w:t>Trading by Persons Other than Insiders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Penalties for Engaging in Insider Trading</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4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$1,425,000 or three times the amount of profit gained or loss avoided by the violator;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and the Racketeer Influenced and Corrupt Organizations Act (RICO), also may be violated in connection with insider trading.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Size of Transaction and Reason for Transaction Do Not Matter</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Insider Trading</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Examples of insider trading cases include actions brought against corporate officers, directors, employees and consultants who traded in a company’s securities after learning of significant confidential corporate developments; friends, business associates, family members and other tippees of such officers, directors, employees and consultants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22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22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2"/>
          <w:szCs w:val="22"/>
          <w:color w:val="auto"/>
        </w:rPr>
        <w:t>Prohibition of Records Falsification and False Statements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6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IV.</w:t>
        <w:tab/>
        <w:t>STATEMENT OF PROCEDURES PREVENTING INSIDER TRADING</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Pre-Clearance of All Trades by All Officers, Directors and Employees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(including without limitation, acquisitions and dispositions of Company stock, the exercise of stock options and the sale of Company stock issued upon exercise of stock options) by officers, directors and such other employees and specified consultants as are designated from time to time by the Board of Directors, the Chief Executive Officer or the Chief Financial Officer as being subject to this pre-clearance process and as set forth on </w:t>
      </w:r>
      <w:r>
        <w:rPr>
          <w:rFonts w:ascii="Times New Roman" w:cs="Times New Roman" w:eastAsia="Times New Roman" w:hAnsi="Times New Roman"/>
          <w:sz w:val="22"/>
          <w:szCs w:val="22"/>
          <w:b w:val="1"/>
          <w:bCs w:val="1"/>
          <w:u w:val="single" w:color="auto"/>
          <w:color w:val="auto"/>
        </w:rPr>
        <w:t>Schedule I</w:t>
      </w:r>
      <w:r>
        <w:rPr>
          <w:rFonts w:ascii="Times New Roman" w:cs="Times New Roman" w:eastAsia="Times New Roman" w:hAnsi="Times New Roman"/>
          <w:sz w:val="22"/>
          <w:szCs w:val="22"/>
          <w:b w:val="1"/>
          <w:bCs w:val="1"/>
          <w:color w:val="auto"/>
        </w:rPr>
        <w:t xml:space="preserve"> (as amended from time to time) (a “</w:t>
      </w:r>
      <w:r>
        <w:rPr>
          <w:rFonts w:ascii="Times New Roman" w:cs="Times New Roman" w:eastAsia="Times New Roman" w:hAnsi="Times New Roman"/>
          <w:sz w:val="22"/>
          <w:szCs w:val="22"/>
          <w:b w:val="1"/>
          <w:bCs w:val="1"/>
          <w:i w:val="1"/>
          <w:iCs w:val="1"/>
          <w:color w:val="auto"/>
        </w:rPr>
        <w:t>Pre-Clearance Person</w:t>
      </w:r>
      <w:r>
        <w:rPr>
          <w:rFonts w:ascii="Times New Roman" w:cs="Times New Roman" w:eastAsia="Times New Roman" w:hAnsi="Times New Roman"/>
          <w:sz w:val="22"/>
          <w:szCs w:val="22"/>
          <w:b w:val="1"/>
          <w:bCs w:val="1"/>
          <w:color w:val="auto"/>
        </w:rPr>
        <w:t xml:space="preserve">”) must be pre-cleared </w:t>
      </w:r>
      <w:r>
        <w:rPr>
          <w:rFonts w:ascii="Times New Roman" w:cs="Times New Roman" w:eastAsia="Times New Roman" w:hAnsi="Times New Roman"/>
          <w:sz w:val="22"/>
          <w:szCs w:val="22"/>
          <w:color w:val="auto"/>
        </w:rPr>
        <w:t>by the Company’s Chief Financial Officer. Pre-clearance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relieve anyone of his or her responsibility under SEC rules.</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must execute a certification (in the form approved by the Chief Financial Officer) that he, she or it is not aware of material, nonpublic information about the Company. The Chief Financial Officer shall have sole discretion to decide whether to clear any contemplated transaction (or the Chief Executive Officer shall have sole discretion to decide whether to clear transactions by the Chief Financial Officer). All trades that are pre-cleared must be effected within five business days of receipt of the pre-clearance unless a specific exception has been granted by the Chief Financial Officer (or the Chief Executive Officer in the case of the Chief Financial Officer). A pre-cleared trade (or any portion of a pre-cleared trade) that has not been effected during the five business day period must be pre-cleared again prior to execution. Notwithstanding receipt of pre-clearance, if the Pre-Clearance Person becomes aware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71" w:lineRule="auto"/>
        <w:rPr>
          <w:sz w:val="20"/>
          <w:szCs w:val="20"/>
          <w:color w:val="auto"/>
        </w:rPr>
      </w:pPr>
      <w:r>
        <w:rPr>
          <w:rFonts w:ascii="Times New Roman" w:cs="Times New Roman" w:eastAsia="Times New Roman" w:hAnsi="Times New Roman"/>
          <w:sz w:val="22"/>
          <w:szCs w:val="22"/>
          <w:color w:val="auto"/>
        </w:rPr>
        <w:t>material, non-public information or becomes subject to a black-out period before the transaction is effected, the transaction may not be completed.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Black-Out Periods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Additionally, no officer, director, employee or specified consultant listed on Schedule I (as amended from time to time) shall purchase or sell any security of the Company during the period beginning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 the permitted transactions described in Section II.</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or the Chief Financial Officer may recommend that officers, directors, employees, specified consultants or others suspend trading in the Company’s securities because of developments that have not yet been disclosed to the public. Subject to the permitted transactions described in Section II above, all of those affected should not trade in the Company’s securities while the suspension is in effect, and should not disclose to others that the Company has suspended trading.</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Chief Financial Officer (or, in the case of an exception for the Chief Financial Officer, the Chief Executive Officer).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Post-Termination Transactions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Information Relating to the Company</w:t>
      </w:r>
    </w:p>
    <w:p>
      <w:pPr>
        <w:spacing w:after="0" w:line="193" w:lineRule="exact"/>
        <w:rPr>
          <w:sz w:val="20"/>
          <w:szCs w:val="20"/>
          <w:color w:val="auto"/>
        </w:rPr>
      </w:pPr>
    </w:p>
    <w:p>
      <w:pPr>
        <w:ind w:left="1800" w:hanging="496"/>
        <w:spacing w:after="0"/>
        <w:tabs>
          <w:tab w:leader="none" w:pos="18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Information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of such information and adherence to the Company’s policies with regard to confidential information.</w:t>
      </w:r>
    </w:p>
    <w:p>
      <w:pPr>
        <w:spacing w:after="0" w:line="193" w:lineRule="exact"/>
        <w:rPr>
          <w:sz w:val="20"/>
          <w:szCs w:val="20"/>
          <w:color w:val="auto"/>
        </w:rPr>
      </w:pPr>
    </w:p>
    <w:p>
      <w:pPr>
        <w:ind w:left="1800" w:hanging="496"/>
        <w:spacing w:after="0"/>
        <w:tabs>
          <w:tab w:leader="none" w:pos="18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Inquiries From Third Parties</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Limitations on Access to Company Information</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All officers, directors, employees and consultants should take all steps and precautions necessary to restrict access to, and secure, material, non-public information by, among other things:</w:t>
      </w:r>
    </w:p>
    <w:p>
      <w:pPr>
        <w:spacing w:after="0" w:line="144"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 (including erasing any whiteboards or other viewable information);</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7" w:name="page128"/>
    <w:bookmarkEnd w:id="127"/>
    <w:p>
      <w:pPr>
        <w:ind w:left="520" w:hanging="512"/>
        <w:spacing w:after="0"/>
        <w:tabs>
          <w:tab w:leader="none" w:pos="5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PROHIBITED TRANSACTIONS</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Therefore, officers, directors, employees and specified consultants shall comply with the following policies with respect to certain transactions in the Company securities: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Short Sales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sales of shares that the insider does not own at the time of sale, or sales of shares against which the insider does not deliver the shares within 20 days after the sale.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Publicly Traded Options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employee or consultant is trading based on inside information. Transactions in options also may focus an officer’s, director’s, employee’s or consultant’s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Hedging Transactions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Certain forms of hedging or monetization transactions, such as zero-cost collars and forward sale contracts, allow an officer, director, employee or consultant to lock in much of the value of his or her stock holdings, often in exchange for all or part of the potential for upside appreciation in the stock. These transactions allow the officer, director, employee or consultant to continue to own the covered securities, but without the full risks and rewards of ownership. When that occurs, the officer, director, employee or consultant may no longer have the same objectives as the Company’s other stockholders. Therefore, all hedging transactions involving the Company’s equity securities are prohibited by this Policy.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Purchases of the Company’s Securities on Margin; Pledging the Company’s Securities to Secure Margin or Other Loans</w:t>
      </w:r>
    </w:p>
    <w:p>
      <w:pPr>
        <w:spacing w:after="0" w:line="24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under the Company’s equity plans). Margin purchases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57" w:lineRule="auto"/>
        <w:rPr>
          <w:sz w:val="20"/>
          <w:szCs w:val="20"/>
          <w:color w:val="auto"/>
        </w:rPr>
      </w:pPr>
      <w:r>
        <w:rPr>
          <w:rFonts w:ascii="Times New Roman" w:cs="Times New Roman" w:eastAsia="Times New Roman" w:hAnsi="Times New Roman"/>
          <w:sz w:val="22"/>
          <w:szCs w:val="22"/>
          <w:color w:val="auto"/>
        </w:rPr>
        <w:t>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Director and Executive Officer Cashless Exercises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Financial Officer.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Partnership Distributions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Employee Stock Purchase Plan</w:t>
      </w:r>
    </w:p>
    <w:p>
      <w:pPr>
        <w:spacing w:after="0" w:line="1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trading prohibitions and restrictions set forth in this Policy do not apply to periodic contributions to, or the acquisition of Company securities under an ESPP, in each case, pursuant to the terms and conditions of the applicable plan or the employees’ advance instructions. However, no insider may initiate or alter his or her instructions regarding the purchase or sale of Company securities in the ESPP: (i) while aware of material nonpublic information; and (ii) in the case of Pre-Clearance Persons, (a) prior to being precleared by the Chief Financial Officer and (b) while any applicable trading window is closed or special blackout period applicable to such person is in effect (provided, however, that with respect to subclause (b) any such initiation or alteration may be made solely to the extent effective following the expiration of such closed trading window and/or special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29" w:name="page130"/>
    <w:bookmarkEnd w:id="129"/>
    <w:p>
      <w:pPr>
        <w:spacing w:after="0"/>
        <w:tabs>
          <w:tab w:leader="none" w:pos="520" w:val="left"/>
        </w:tabs>
        <w:rPr>
          <w:sz w:val="20"/>
          <w:szCs w:val="20"/>
          <w:color w:val="auto"/>
        </w:rPr>
      </w:pPr>
      <w:r>
        <w:rPr>
          <w:rFonts w:ascii="Times New Roman" w:cs="Times New Roman" w:eastAsia="Times New Roman" w:hAnsi="Times New Roman"/>
          <w:sz w:val="22"/>
          <w:szCs w:val="22"/>
          <w:color w:val="auto"/>
        </w:rPr>
        <w:t>VI.</w:t>
        <w:tab/>
        <w:t>RULE 10B5-1 TRADING PLANS, SECTION 16 AND RULE 144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Rule 10b5-1 Trading Plans</w:t>
      </w:r>
    </w:p>
    <w:p>
      <w:pPr>
        <w:spacing w:after="0" w:line="193" w:lineRule="exact"/>
        <w:rPr>
          <w:sz w:val="20"/>
          <w:szCs w:val="20"/>
          <w:color w:val="auto"/>
        </w:rPr>
      </w:pPr>
    </w:p>
    <w:p>
      <w:pPr>
        <w:ind w:left="1800" w:hanging="496"/>
        <w:spacing w:after="0"/>
        <w:tabs>
          <w:tab w:leader="none" w:pos="18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Overview</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Rule 10b5-1 will protect directors, officers, employees and consultants from insider trading liability under Rule 10b5-1 for transactions under a previously established contract, plan or instruction to trade in the Company’s stock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provided that the individual has entered into the Trading Plan in good faith and has acted in good faith with respect to the Trading Plan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Financial Officer,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 director, officer, employee or consultant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395" w:right="339" w:bottom="1440" w:gutter="0" w:footer="0" w:header="0"/>
        </w:sectPr>
      </w:pPr>
    </w:p>
    <w:bookmarkStart w:id="130" w:name="page131"/>
    <w:bookmarkEnd w:id="130"/>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Officers, directors, employees and consultants may adopt Trading Plans with brokers that outline a pre-set plan for trading of the Company’s stock, including the exercise of options. When adopting a new or modified Trading Plan, officers and directors will be required to include in the plan written representations certifying that he or she (i) is not aware of material nonpublic information about the issuer or its securities and (ii) is adopting or modifying the plan in good faith and not as part of a plan or scheme to evade the prohibitions of Exchange Act Rule 10b-5. Trades pursuant to a Trading Plan generally may occur at any time. However, the Company requires a cooling-off period of 30 days between the establishment or modification of a Trading Plan and commencement of any transactions under such plan for employees that are not officers or directors and for consultants. For officers and directors, the Company requires a cooling-off period which is the later of (i) 90 days between the establishment or modification of a Trading Plan or (ii) 2 business days following the filing of the Form 10-Q or Form 10-K for the fiscal quarter in which the plan was adopted or modified and commencement of any transaction under such plan. In any event, the required colling-off period is not to exceed 120 days following adoption or modification of the Trading Plan. For elimination of doubt, Trading Plans for officers and directors may allow for trading day 2 because the cooling off period expires at the beginning of the business day. An individual will be prohibited from having more than one Trading Plan during any consecutive 12-month period. This prohibition does not apply where an individual transacts directly with the Company, such as participation in the Company’s employee stock purchase plan (“ESPP”), which are not executed on the open market. Furthermore, this prohibition does not apply to Trading Plans authorizing an agent to sell only enough securities as are necessary to satisfy tax withholding obligations arising exclusively from the vesting of a compensatory award, such as on the vesting and settlement of restricted stock units, provided that the award holder is not permitted to exercise control over the timing of such sales. Such prohibition does not apply in the event that an individual has a series of separate contracts with different broker-dealers to execute trades pursuant to a single Trading Plan. A Trading Plan will not be treated as a single-trade plan if it gives the individual’s agent discretion over whether to execute the plan as a single transaction, or provides that the agent’s future acts will depend on events or data not known at the time the plan is entered into and it is reasonably foreseeable at the time the plan is entered into that the plan might result in multiple trades. Please review the following description of how a Trading Plan works.</w:t>
      </w:r>
    </w:p>
    <w:p>
      <w:pPr>
        <w:spacing w:after="0" w:line="1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31" w:name="page132"/>
    <w:bookmarkEnd w:id="131"/>
    <w:p>
      <w:pPr>
        <w:jc w:val="both"/>
        <w:ind w:left="1300" w:hanging="644"/>
        <w:spacing w:after="0" w:line="257" w:lineRule="auto"/>
        <w:tabs>
          <w:tab w:leader="none" w:pos="129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Trading Plan must either:</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or sold, the price at which the securities are to be purchased or sold and the date on which the securities are to be purchased or sold;</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9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computer program for determining the amount, price and date of the transactions; or</w:t>
      </w:r>
    </w:p>
    <w:p>
      <w:pPr>
        <w:spacing w:after="0" w:line="171"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the purchase or sale of the Company’s stock under the Trading Plan in question.</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9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purchase or sale must occur pursuant to the Trading Plan and the individual must not enter into a corresponding hedging transaction or alter or deviate from the Trading Plan.</w:t>
      </w:r>
    </w:p>
    <w:p>
      <w:pPr>
        <w:spacing w:after="0" w:line="131" w:lineRule="exact"/>
        <w:rPr>
          <w:sz w:val="20"/>
          <w:szCs w:val="20"/>
          <w:color w:val="auto"/>
        </w:rPr>
      </w:pPr>
    </w:p>
    <w:p>
      <w:pPr>
        <w:ind w:left="1800" w:hanging="496"/>
        <w:spacing w:after="0"/>
        <w:tabs>
          <w:tab w:leader="none" w:pos="18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of and Amendments to Trading Plans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days before trading outside of a Trading Plan and 180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person acting in good faith may amend a prior Trading Plan so long as such amendments are made outside of a quarterly trading black-out period, at a time when the Trading Plan participant does not possess material, non-public information and if made in compliance with the cooling-off periods described above.</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45" w:lineRule="exact"/>
        <w:rPr>
          <w:sz w:val="20"/>
          <w:szCs w:val="20"/>
          <w:color w:val="auto"/>
        </w:rPr>
      </w:pPr>
    </w:p>
    <w:p>
      <w:pPr>
        <w:ind w:left="1800" w:hanging="496"/>
        <w:spacing w:after="0"/>
        <w:tabs>
          <w:tab w:leader="none" w:pos="18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Discretionary Plans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2" w:right="339" w:bottom="1440" w:gutter="0" w:footer="0" w:header="0"/>
        </w:sectPr>
      </w:pPr>
    </w:p>
    <w:bookmarkStart w:id="132" w:name="page133"/>
    <w:bookmarkEnd w:id="13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52" w:lineRule="exact"/>
        <w:rPr>
          <w:sz w:val="20"/>
          <w:szCs w:val="20"/>
          <w:color w:val="auto"/>
        </w:rPr>
      </w:pPr>
    </w:p>
    <w:p>
      <w:pPr>
        <w:ind w:left="1800" w:hanging="496"/>
        <w:spacing w:after="0"/>
        <w:tabs>
          <w:tab w:leader="none" w:pos="18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(if Required)</w:t>
      </w:r>
    </w:p>
    <w:p>
      <w:pPr>
        <w:spacing w:after="0" w:line="2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 persons, Form 4s should be filed</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160" w:lineRule="exact"/>
        <w:rPr>
          <w:sz w:val="20"/>
          <w:szCs w:val="20"/>
          <w:color w:val="auto"/>
        </w:rPr>
      </w:pPr>
    </w:p>
    <w:p>
      <w:pPr>
        <w:ind w:left="1800" w:hanging="496"/>
        <w:spacing w:after="0"/>
        <w:tabs>
          <w:tab w:leader="none" w:pos="18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52" w:lineRule="exact"/>
        <w:rPr>
          <w:sz w:val="20"/>
          <w:szCs w:val="20"/>
          <w:color w:val="auto"/>
        </w:rPr>
      </w:pPr>
    </w:p>
    <w:p>
      <w:pPr>
        <w:ind w:left="1800" w:hanging="496"/>
        <w:spacing w:after="0"/>
        <w:tabs>
          <w:tab w:leader="none" w:pos="18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Outside of a Trading Plan</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131" w:lineRule="exact"/>
        <w:rPr>
          <w:sz w:val="20"/>
          <w:szCs w:val="20"/>
          <w:color w:val="auto"/>
        </w:rPr>
      </w:pPr>
    </w:p>
    <w:p>
      <w:pPr>
        <w:ind w:left="1800" w:hanging="496"/>
        <w:spacing w:after="0"/>
        <w:tabs>
          <w:tab w:leader="none" w:pos="18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Announcements</w:t>
      </w:r>
    </w:p>
    <w:p>
      <w:pPr>
        <w:spacing w:after="0" w:line="20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1" w:right="339" w:bottom="1440" w:gutter="0" w:footer="0" w:header="0"/>
        </w:sectPr>
      </w:pPr>
    </w:p>
    <w:bookmarkStart w:id="133" w:name="page134"/>
    <w:bookmarkEnd w:id="133"/>
    <w:p>
      <w:pPr>
        <w:ind w:left="1800" w:hanging="496"/>
        <w:spacing w:after="0"/>
        <w:tabs>
          <w:tab w:leader="none" w:pos="18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Prohibited Transactions</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59" w:lineRule="exact"/>
        <w:rPr>
          <w:sz w:val="20"/>
          <w:szCs w:val="20"/>
          <w:color w:val="auto"/>
        </w:rPr>
      </w:pPr>
    </w:p>
    <w:p>
      <w:pPr>
        <w:ind w:left="1800" w:hanging="496"/>
        <w:spacing w:after="0"/>
        <w:tabs>
          <w:tab w:leader="none" w:pos="18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Section 16 Protection</w:t>
      </w:r>
    </w:p>
    <w:p>
      <w:pPr>
        <w:spacing w:after="0" w:line="20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The use of Trading Plans does not exempt participants from complying with the Section 16 reporting rules or liability for short swing trades.</w:t>
      </w:r>
    </w:p>
    <w:p>
      <w:pPr>
        <w:spacing w:after="0" w:line="131" w:lineRule="exact"/>
        <w:rPr>
          <w:sz w:val="20"/>
          <w:szCs w:val="20"/>
          <w:color w:val="auto"/>
        </w:rPr>
      </w:pPr>
    </w:p>
    <w:p>
      <w:pPr>
        <w:ind w:left="1800" w:hanging="496"/>
        <w:spacing w:after="0"/>
        <w:tabs>
          <w:tab w:leader="none" w:pos="18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 on Liability</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None of the Company, the Chief Financial Officer, the Authorizing Officer or the Company’s other employees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Financial Officer, the Authorizing Officer or the Company’s other employees assumes any liability for the legality or consequences of such Trading Plan or transaction to the person engaging in or adopting such Trading Plan or transaction.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 Insider Reporting Requirements, Short-Swing Profits and Short Sales</w:t>
      </w:r>
    </w:p>
    <w:p>
      <w:pPr>
        <w:spacing w:after="0" w:line="193"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Reporting Obligations Under Section 16(a): SEC Forms 3, 4 and 5</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16(a) of the 1934 Act generally requires all officers, directors and 10% stockholders (“</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 xml:space="preserve">”),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or, in the case of Section 16 officers, gifts of equity in the Company, must be reported on SEC Form 4, generally within two business days after the date on which such change or grant occurs, or in certain cases on Form 5, within 45 days after fiscal year end. The two day Form 4 deadline begins to run from the trade date rather than the settlement date. A Form 4 must be filed even if, as a result of balancing transactions, there has been no net change in holdings. In certain situations, purchases or sales of Company stock made within six months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the filing of a Form 3 must be reported on Form 4. Similarly, certain purchases or sales of Company stock made within six months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an officer or director ceases to be an insider must be reported on Form 4.</w:t>
      </w:r>
    </w:p>
    <w:p>
      <w:pPr>
        <w:spacing w:after="0" w:line="156" w:lineRule="exact"/>
        <w:rPr>
          <w:sz w:val="20"/>
          <w:szCs w:val="20"/>
          <w:color w:val="auto"/>
        </w:rPr>
      </w:pPr>
    </w:p>
    <w:p>
      <w:pPr>
        <w:ind w:left="1800" w:hanging="496"/>
        <w:spacing w:after="0"/>
        <w:tabs>
          <w:tab w:leader="none" w:pos="18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of Profits Under Section 16(b)</w:t>
      </w:r>
    </w:p>
    <w:p>
      <w:pPr>
        <w:spacing w:after="0" w:line="20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For the purpose of preventing the unfair use of information which may have been obtained by an insider, any profits realized by any officer, director or 10% stockholder from any “purchase” and “sale” of Company stock during a six-month period, so called “short-swing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394" w:right="339" w:bottom="1440" w:gutter="0" w:footer="0" w:header="0"/>
        </w:sectPr>
      </w:pPr>
    </w:p>
    <w:bookmarkStart w:id="134" w:name="page135"/>
    <w:bookmarkEnd w:id="134"/>
    <w:p>
      <w:pPr>
        <w:jc w:val="both"/>
        <w:spacing w:after="0" w:line="257" w:lineRule="auto"/>
        <w:rPr>
          <w:sz w:val="20"/>
          <w:szCs w:val="20"/>
          <w:color w:val="auto"/>
        </w:rPr>
      </w:pPr>
      <w:r>
        <w:rPr>
          <w:rFonts w:ascii="Times New Roman" w:cs="Times New Roman" w:eastAsia="Times New Roman" w:hAnsi="Times New Roman"/>
          <w:sz w:val="22"/>
          <w:szCs w:val="22"/>
          <w:color w:val="auto"/>
        </w:rPr>
        <w:t>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Officers and directors should consult the attached “Short-Swing Profit Rule Section 16(b) Checklist” attached hereto as “Attachment A” in addition to consulting the Chief Financial Officer prior to engaging in any transactions involving the Company’s securities, including without limitation, the Company’s stock, options or warrants.</w:t>
      </w:r>
    </w:p>
    <w:p>
      <w:pPr>
        <w:spacing w:after="0" w:line="140" w:lineRule="exact"/>
        <w:rPr>
          <w:sz w:val="20"/>
          <w:szCs w:val="20"/>
          <w:color w:val="auto"/>
        </w:rPr>
      </w:pPr>
    </w:p>
    <w:p>
      <w:pPr>
        <w:ind w:left="1800" w:hanging="496"/>
        <w:spacing w:after="0"/>
        <w:tabs>
          <w:tab w:leader="none" w:pos="18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Prohibited Under Section 16(c)</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7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Chief Financial Officer should be consulted if you have any questions regarding reporting obligations, short-swing profits or short sales under Section 16.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Rule 144 (Applicable to Officers, Directors and 10% Stockholders)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cs="Times New Roman" w:eastAsia="Times New Roman" w:hAnsi="Times New Roman"/>
          <w:sz w:val="22"/>
          <w:szCs w:val="22"/>
          <w:i w:val="1"/>
          <w:iCs w:val="1"/>
          <w:color w:val="auto"/>
        </w:rPr>
        <w:t>any</w:t>
      </w:r>
      <w:r>
        <w:rPr>
          <w:rFonts w:ascii="Times New Roman" w:cs="Times New Roman" w:eastAsia="Times New Roman" w:hAnsi="Times New Roman"/>
          <w:sz w:val="22"/>
          <w:szCs w:val="22"/>
          <w:color w:val="auto"/>
        </w:rPr>
        <w:t xml:space="preserve"> securities owned by directors, executive officers or other “affiliates” of the issuer, including stock purchased in the open market and stock received upon exercise of stock options. Sales of Company restricted and control securities must comply with the requirements of Rule 144, which are summarized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21" w:right="339" w:bottom="1440" w:gutter="0" w:footer="0" w:header="0"/>
        </w:sectPr>
      </w:pPr>
    </w:p>
    <w:bookmarkStart w:id="135" w:name="page136"/>
    <w:bookmarkEnd w:id="135"/>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Holding Period</w:t>
      </w:r>
      <w:r>
        <w:rPr>
          <w:rFonts w:ascii="Times New Roman" w:cs="Times New Roman" w:eastAsia="Times New Roman" w:hAnsi="Times New Roman"/>
          <w:sz w:val="22"/>
          <w:szCs w:val="22"/>
          <w:color w:val="auto"/>
        </w:rPr>
        <w:t>. Restricted securities must be held for at least six months before they may be sold in the market.</w:t>
      </w:r>
    </w:p>
    <w:p>
      <w:pPr>
        <w:spacing w:after="0" w:line="179" w:lineRule="exact"/>
        <w:rPr>
          <w:rFonts w:ascii="Times New Roman" w:cs="Times New Roman" w:eastAsia="Times New Roman" w:hAnsi="Times New Roman"/>
          <w:sz w:val="22"/>
          <w:szCs w:val="22"/>
          <w:color w:val="auto"/>
        </w:rPr>
      </w:pPr>
    </w:p>
    <w:p>
      <w:pPr>
        <w:ind w:left="1300" w:hanging="644"/>
        <w:spacing w:after="0" w:line="239" w:lineRule="auto"/>
        <w:tabs>
          <w:tab w:leader="none" w:pos="12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Current Public Information. </w:t>
      </w:r>
      <w:r>
        <w:rPr>
          <w:rFonts w:ascii="Times New Roman" w:cs="Times New Roman" w:eastAsia="Times New Roman" w:hAnsi="Times New Roman"/>
          <w:sz w:val="22"/>
          <w:szCs w:val="22"/>
          <w:color w:val="auto"/>
        </w:rPr>
        <w:t>The Company must have filed all SEC-required reports during the last 12 months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shorter period that the Company was required to file such reports.</w:t>
      </w:r>
    </w:p>
    <w:p>
      <w:pPr>
        <w:spacing w:after="0" w:line="144" w:lineRule="exact"/>
        <w:rPr>
          <w:rFonts w:ascii="Times New Roman" w:cs="Times New Roman" w:eastAsia="Times New Roman" w:hAnsi="Times New Roman"/>
          <w:sz w:val="22"/>
          <w:szCs w:val="22"/>
          <w:color w:val="auto"/>
        </w:rPr>
      </w:pPr>
    </w:p>
    <w:p>
      <w:pPr>
        <w:jc w:val="both"/>
        <w:ind w:left="1300" w:hanging="644"/>
        <w:spacing w:after="0" w:line="222" w:lineRule="auto"/>
        <w:tabs>
          <w:tab w:leader="none" w:pos="12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Volume Limitations. </w:t>
      </w:r>
      <w:r>
        <w:rPr>
          <w:rFonts w:ascii="Times New Roman" w:cs="Times New Roman" w:eastAsia="Times New Roman" w:hAnsi="Times New Roman"/>
          <w:sz w:val="22"/>
          <w:szCs w:val="22"/>
          <w:color w:val="auto"/>
        </w:rPr>
        <w:t>For affiliates, total sales of Company common stock for any three-month period may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exceed the </w:t>
      </w:r>
      <w:r>
        <w:rPr>
          <w:rFonts w:ascii="Times New Roman" w:cs="Times New Roman" w:eastAsia="Times New Roman" w:hAnsi="Times New Roman"/>
          <w:sz w:val="22"/>
          <w:szCs w:val="22"/>
          <w:i w:val="1"/>
          <w:iCs w:val="1"/>
          <w:color w:val="auto"/>
        </w:rPr>
        <w:t>greater</w:t>
      </w:r>
      <w:r>
        <w:rPr>
          <w:rFonts w:ascii="Times New Roman" w:cs="Times New Roman" w:eastAsia="Times New Roman" w:hAnsi="Times New Roman"/>
          <w:sz w:val="22"/>
          <w:szCs w:val="22"/>
          <w:color w:val="auto"/>
        </w:rPr>
        <w:t xml:space="preserve">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143" w:lineRule="exact"/>
        <w:rPr>
          <w:rFonts w:ascii="Times New Roman" w:cs="Times New Roman" w:eastAsia="Times New Roman" w:hAnsi="Times New Roman"/>
          <w:sz w:val="22"/>
          <w:szCs w:val="22"/>
          <w:color w:val="auto"/>
        </w:rPr>
      </w:pPr>
    </w:p>
    <w:p>
      <w:pPr>
        <w:jc w:val="both"/>
        <w:ind w:left="1300" w:hanging="644"/>
        <w:spacing w:after="0" w:line="214" w:lineRule="auto"/>
        <w:tabs>
          <w:tab w:leader="none" w:pos="12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Method of Sale. </w:t>
      </w:r>
      <w:r>
        <w:rPr>
          <w:rFonts w:ascii="Times New Roman" w:cs="Times New Roman" w:eastAsia="Times New Roman" w:hAnsi="Times New Roman"/>
          <w:sz w:val="22"/>
          <w:szCs w:val="22"/>
          <w:color w:val="auto"/>
        </w:rPr>
        <w:t>For affiliates, the shares must be sold either in a “broker’s transaction” or in a transaction directly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a “market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27" w:lineRule="auto"/>
        <w:tabs>
          <w:tab w:leader="none" w:pos="12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Notice of Proposed Sale. </w:t>
      </w:r>
      <w:r>
        <w:rPr>
          <w:rFonts w:ascii="Times New Roman" w:cs="Times New Roman" w:eastAsia="Times New Roman" w:hAnsi="Times New Roman"/>
          <w:sz w:val="22"/>
          <w:szCs w:val="22"/>
          <w:color w:val="auto"/>
        </w:rPr>
        <w:t>For affiliates, a notice of the sale (a Form 144) may be required to be filed with the SEC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at the time of the sale. Brokers generally have internal procedures for executing sales under Rule 144 and will assist you in completing the Form 144 and in complying with the other requirements of Rule 144.</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you are subject to Rule 144, you must instruct your broker who handles trades in Company securities to follow the brokerage firm’s Rule 144 compliance procedures in connection with all trades.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1"/>
          <w:szCs w:val="21"/>
          <w:color w:val="auto"/>
        </w:rPr>
        <w:t>EXECUTION AND RETURN OF CERTIFICATION OF COMPLIANCE</w:t>
      </w:r>
    </w:p>
    <w:p>
      <w:pPr>
        <w:spacing w:after="0" w:line="206"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After reading this Policy, all officers, directors and employees should execute and return to the Chief Financial Officer the Certification of Compliance form attached hereto as “Attachment 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388" w:right="339" w:bottom="1440" w:gutter="0" w:footer="0" w:header="0"/>
        </w:sectPr>
      </w:pPr>
    </w:p>
    <w:bookmarkStart w:id="136" w:name="page137"/>
    <w:bookmarkEnd w:id="136"/>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INDIVIDUALS SUBJECT TO QUARTERLY TRADING BLACK-OUTS</w:t>
      </w:r>
    </w:p>
    <w:p>
      <w:pPr>
        <w:spacing w:after="0" w:line="231" w:lineRule="exact"/>
        <w:rPr>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officers of the Company</w:t>
      </w:r>
    </w:p>
    <w:p>
      <w:pPr>
        <w:spacing w:after="0" w:line="125"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members of the Company’s Board of Directors</w:t>
      </w:r>
    </w:p>
    <w:p>
      <w:pPr>
        <w:spacing w:after="0" w:line="11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employees of the Company</w:t>
      </w:r>
    </w:p>
    <w:p>
      <w:pPr>
        <w:spacing w:after="0" w:line="11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Certain consultants specified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u w:val="single" w:color="auto"/>
          <w:color w:val="auto"/>
        </w:rPr>
        <w:t>INDIVIDUALS SUBJECT TO PRE-CLEARANCE</w:t>
      </w:r>
    </w:p>
    <w:p>
      <w:pPr>
        <w:spacing w:after="0" w:line="220" w:lineRule="exact"/>
        <w:rPr>
          <w:sz w:val="20"/>
          <w:szCs w:val="20"/>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officers of the Company</w:t>
      </w:r>
    </w:p>
    <w:p>
      <w:pPr>
        <w:spacing w:after="0" w:line="125"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members of the Company’s Board of Directors</w:t>
      </w:r>
    </w:p>
    <w:p>
      <w:pPr>
        <w:spacing w:after="0" w:line="11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employees of the Company in the finance, accounting and legal departments</w:t>
      </w:r>
    </w:p>
    <w:p>
      <w:pPr>
        <w:spacing w:after="0" w:line="11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employees of the Company with a vice president level or higher title</w:t>
      </w:r>
    </w:p>
    <w:p>
      <w:pPr>
        <w:spacing w:after="0" w:line="11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Certain consultants specified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0139"/>
          </w:cols>
          <w:pgMar w:left="320" w:top="1417"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SHORT-SWING PROFIT RULE SECTION 16(B) CHECKLIST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Exagen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17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Sales</w:t>
      </w:r>
    </w:p>
    <w:p>
      <w:pPr>
        <w:spacing w:after="0" w:line="237" w:lineRule="exact"/>
        <w:rPr>
          <w:sz w:val="20"/>
          <w:szCs w:val="20"/>
          <w:color w:val="auto"/>
        </w:rPr>
      </w:pPr>
    </w:p>
    <w:p>
      <w:pPr>
        <w:jc w:val="both"/>
        <w:ind w:firstLine="897"/>
        <w:spacing w:after="0" w:line="271" w:lineRule="auto"/>
        <w:rPr>
          <w:sz w:val="20"/>
          <w:szCs w:val="20"/>
          <w:color w:val="auto"/>
        </w:rPr>
      </w:pPr>
      <w:r>
        <w:rPr>
          <w:rFonts w:ascii="Times New Roman" w:cs="Times New Roman" w:eastAsia="Times New Roman" w:hAnsi="Times New Roman"/>
          <w:sz w:val="22"/>
          <w:szCs w:val="22"/>
          <w:color w:val="auto"/>
        </w:rPr>
        <w:t>If a sale is to be made by an officer, director or 10% stockholder (or any family member living in the same household or certain affiliated entities):</w:t>
      </w:r>
    </w:p>
    <w:p>
      <w:pPr>
        <w:spacing w:after="0" w:line="158" w:lineRule="exact"/>
        <w:rPr>
          <w:sz w:val="20"/>
          <w:szCs w:val="20"/>
          <w:color w:val="auto"/>
        </w:rPr>
      </w:pPr>
    </w:p>
    <w:p>
      <w:pPr>
        <w:ind w:left="1300" w:hanging="418"/>
        <w:spacing w:after="0" w:line="271" w:lineRule="auto"/>
        <w:tabs>
          <w:tab w:leader="none" w:pos="126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purchases by the insider (or family members living in the same household or certain affiliated entities) within the past six months?</w:t>
      </w:r>
    </w:p>
    <w:p>
      <w:pPr>
        <w:spacing w:after="0" w:line="157" w:lineRule="exact"/>
        <w:rPr>
          <w:rFonts w:ascii="Times New Roman" w:cs="Times New Roman" w:eastAsia="Times New Roman" w:hAnsi="Times New Roman"/>
          <w:sz w:val="22"/>
          <w:szCs w:val="22"/>
          <w:color w:val="auto"/>
        </w:rPr>
      </w:pPr>
    </w:p>
    <w:p>
      <w:pPr>
        <w:ind w:left="1260" w:hanging="388"/>
        <w:spacing w:after="0"/>
        <w:tabs>
          <w:tab w:leader="none" w:pos="1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option grants or exercises not exempt under Rule 16b-3 within the past six months?</w:t>
      </w:r>
    </w:p>
    <w:p>
      <w:pPr>
        <w:spacing w:after="0" w:line="219" w:lineRule="exact"/>
        <w:rPr>
          <w:rFonts w:ascii="Times New Roman" w:cs="Times New Roman" w:eastAsia="Times New Roman" w:hAnsi="Times New Roman"/>
          <w:sz w:val="22"/>
          <w:szCs w:val="22"/>
          <w:color w:val="auto"/>
        </w:rPr>
      </w:pPr>
    </w:p>
    <w:p>
      <w:pPr>
        <w:ind w:left="1240" w:hanging="368"/>
        <w:spacing w:after="0"/>
        <w:tabs>
          <w:tab w:leader="none" w:pos="12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any purchases (or non-exempt option exercises) anticipated or required within the next six months?</w:t>
      </w:r>
    </w:p>
    <w:p>
      <w:pPr>
        <w:spacing w:after="0" w:line="233" w:lineRule="exact"/>
        <w:rPr>
          <w:rFonts w:ascii="Times New Roman" w:cs="Times New Roman" w:eastAsia="Times New Roman" w:hAnsi="Times New Roman"/>
          <w:sz w:val="22"/>
          <w:szCs w:val="22"/>
          <w:color w:val="auto"/>
        </w:rPr>
      </w:pPr>
    </w:p>
    <w:p>
      <w:pPr>
        <w:ind w:left="1260" w:hanging="388"/>
        <w:spacing w:after="0"/>
        <w:tabs>
          <w:tab w:leader="none" w:pos="1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220" w:lineRule="exact"/>
        <w:rPr>
          <w:sz w:val="20"/>
          <w:szCs w:val="20"/>
          <w:color w:val="auto"/>
        </w:rPr>
      </w:pPr>
    </w:p>
    <w:p>
      <w:pPr>
        <w:ind w:firstLine="918"/>
        <w:spacing w:after="0" w:line="271" w:lineRule="auto"/>
        <w:rPr>
          <w:sz w:val="20"/>
          <w:szCs w:val="20"/>
          <w:color w:val="auto"/>
        </w:rPr>
      </w:pPr>
      <w:r>
        <w:rPr>
          <w:rFonts w:ascii="Times New Roman" w:cs="Times New Roman" w:eastAsia="Times New Roman" w:hAnsi="Times New Roman"/>
          <w:sz w:val="22"/>
          <w:szCs w:val="22"/>
          <w:color w:val="auto"/>
        </w:rPr>
        <w:t>Note: If a sale is to be made by an affiliate of the Company, has a Form 144 been prepared and has the broker been reminded to sell pursuant to Rule 144?</w:t>
      </w:r>
    </w:p>
    <w:p>
      <w:pPr>
        <w:spacing w:after="0" w:line="15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Purchases And Option Exercises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a purchase or option exercise for Company stock is to be made:</w:t>
      </w:r>
    </w:p>
    <w:p>
      <w:pPr>
        <w:spacing w:after="0" w:line="233" w:lineRule="exact"/>
        <w:rPr>
          <w:sz w:val="20"/>
          <w:szCs w:val="20"/>
          <w:color w:val="auto"/>
        </w:rPr>
      </w:pPr>
    </w:p>
    <w:p>
      <w:pPr>
        <w:ind w:left="1300" w:hanging="351"/>
        <w:spacing w:after="0" w:line="271" w:lineRule="auto"/>
        <w:tabs>
          <w:tab w:leader="none" w:pos="14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sales by the insider (or family members living in the same household or certain affiliated entities) within the past six months?</w:t>
      </w:r>
    </w:p>
    <w:p>
      <w:pPr>
        <w:spacing w:after="0" w:line="157" w:lineRule="exact"/>
        <w:rPr>
          <w:rFonts w:ascii="Times New Roman" w:cs="Times New Roman" w:eastAsia="Times New Roman" w:hAnsi="Times New Roman"/>
          <w:sz w:val="22"/>
          <w:szCs w:val="22"/>
          <w:color w:val="auto"/>
        </w:rPr>
      </w:pPr>
    </w:p>
    <w:p>
      <w:pPr>
        <w:ind w:left="1240" w:hanging="368"/>
        <w:spacing w:after="0"/>
        <w:tabs>
          <w:tab w:leader="none" w:pos="12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any sales anticipated or required within the next six months (such as tax-related or year-end transactions)?</w:t>
      </w:r>
    </w:p>
    <w:p>
      <w:pPr>
        <w:spacing w:after="0" w:line="219" w:lineRule="exact"/>
        <w:rPr>
          <w:rFonts w:ascii="Times New Roman" w:cs="Times New Roman" w:eastAsia="Times New Roman" w:hAnsi="Times New Roman"/>
          <w:sz w:val="22"/>
          <w:szCs w:val="22"/>
          <w:color w:val="auto"/>
        </w:rPr>
      </w:pPr>
    </w:p>
    <w:p>
      <w:pPr>
        <w:ind w:left="1260" w:hanging="388"/>
        <w:spacing w:after="0"/>
        <w:tabs>
          <w:tab w:leader="none" w:pos="12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216" w:lineRule="exact"/>
        <w:rPr>
          <w:sz w:val="20"/>
          <w:szCs w:val="20"/>
          <w:color w:val="auto"/>
        </w:rPr>
      </w:pPr>
    </w:p>
    <w:p>
      <w:pPr>
        <w:jc w:val="both"/>
        <w:ind w:firstLine="89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Before proceeding with a purchase or sale, consider whether you are aware of material, non-public information which could affect the price of the Company stock. All transactions in the Company’s securities by officers and directors must be </w:t>
      </w:r>
      <w:r>
        <w:rPr>
          <w:rFonts w:ascii="Times New Roman" w:cs="Times New Roman" w:eastAsia="Times New Roman" w:hAnsi="Times New Roman"/>
          <w:sz w:val="22"/>
          <w:szCs w:val="22"/>
          <w:b w:val="1"/>
          <w:bCs w:val="1"/>
          <w:u w:val="single" w:color="auto"/>
          <w:color w:val="auto"/>
        </w:rPr>
        <w:t>pre-cleared</w:t>
      </w:r>
      <w:r>
        <w:rPr>
          <w:rFonts w:ascii="Times New Roman" w:cs="Times New Roman" w:eastAsia="Times New Roman" w:hAnsi="Times New Roman"/>
          <w:sz w:val="22"/>
          <w:szCs w:val="22"/>
          <w:b w:val="1"/>
          <w:bCs w:val="1"/>
          <w:color w:val="auto"/>
        </w:rPr>
        <w:t xml:space="preserve"> by contacting the Company’s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17"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0139"/>
          </w:cols>
          <w:pgMar w:left="320" w:top="1440"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CERTIFICATION OF COMPLIANCE</w:t>
      </w:r>
    </w:p>
    <w:p>
      <w:pPr>
        <w:spacing w:after="0" w:line="21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RETURN BY [_________] </w:t>
      </w:r>
      <w:r>
        <w:rPr>
          <w:rFonts w:ascii="Times New Roman" w:cs="Times New Roman" w:eastAsia="Times New Roman" w:hAnsi="Times New Roman"/>
          <w:sz w:val="22"/>
          <w:szCs w:val="22"/>
          <w:i w:val="1"/>
          <w:iCs w:val="1"/>
          <w:color w:val="auto"/>
        </w:rPr>
        <w:t>[insert return deadline]</w:t>
      </w:r>
    </w:p>
    <w:p>
      <w:pPr>
        <w:spacing w:after="0" w:line="2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__________________, Chief Financial Officer</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2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INSIDER TRADING COMPLIANCE POLICY OF EXAGEN INC.</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Exagen Inc., to comply fully with the policies and procedures contained therein.</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20__, I have complied fully with all policies and procedures set forth in the above-referenced Insider Trading Compliance Policy.</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46716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820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|US-DOCS\109678706.2||</w:t>
      </w:r>
    </w:p>
    <w:p>
      <w:pPr>
        <w:sectPr>
          <w:pgSz w:w="11900" w:h="16838" w:orient="portrait"/>
          <w:cols w:equalWidth="0" w:num="1">
            <w:col w:w="11240"/>
          </w:cols>
          <w:pgMar w:left="320" w:top="1417" w:right="339" w:bottom="1440" w:gutter="0" w:footer="0" w:header="0"/>
        </w:sectPr>
      </w:pPr>
    </w:p>
    <w:bookmarkStart w:id="140" w:name="page141"/>
    <w:bookmarkEnd w:id="14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333-275632) and Form S-8 (Nos. 333-233878, 333-256014, 333-264867, 333-272038 and 333-279356) of Exagen Inc. of our report dated March 11, 2025, relating to the financial statements, which appear in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144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142" w:name="page143"/>
    <w:bookmarkEnd w:id="142"/>
    <w:p>
      <w:pPr>
        <w:ind w:left="-20" w:firstLine="332"/>
        <w:spacing w:after="0" w:line="396" w:lineRule="auto"/>
        <w:tabs>
          <w:tab w:leader="none" w:pos="7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11,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144" w:name="page145"/>
    <w:bookmarkEnd w:id="144"/>
    <w:p>
      <w:pPr>
        <w:ind w:left="-20" w:firstLine="332"/>
        <w:spacing w:after="0" w:line="396" w:lineRule="auto"/>
        <w:tabs>
          <w:tab w:leader="none" w:pos="7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11,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62" w:lineRule="auto"/>
        <w:tabs>
          <w:tab w:leader="none" w:pos="11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2024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2025</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66" w:lineRule="exact"/>
        <w:rPr>
          <w:sz w:val="20"/>
          <w:szCs w:val="20"/>
          <w:color w:val="auto"/>
        </w:rPr>
      </w:pPr>
    </w:p>
    <w:p>
      <w:pPr>
        <w:jc w:val="both"/>
        <w:ind w:left="660" w:right="240" w:hanging="4"/>
        <w:spacing w:after="0" w:line="362" w:lineRule="auto"/>
        <w:tabs>
          <w:tab w:leader="none" w:pos="11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2024 (the "Report") fully complies with the requirements of Section 13(a) or 15(d), as applicable, of the Securities Exchange Act of 1934, as amended; and</w:t>
      </w:r>
    </w:p>
    <w:p>
      <w:pPr>
        <w:spacing w:after="0" w:line="116" w:lineRule="exact"/>
        <w:rPr>
          <w:rFonts w:ascii="Arial" w:cs="Arial" w:eastAsia="Arial" w:hAnsi="Arial"/>
          <w:sz w:val="18"/>
          <w:szCs w:val="18"/>
          <w:color w:val="auto"/>
        </w:rPr>
      </w:pPr>
    </w:p>
    <w:p>
      <w:pPr>
        <w:ind w:left="660" w:right="40" w:hanging="4"/>
        <w:spacing w:after="0" w:line="396" w:lineRule="auto"/>
        <w:tabs>
          <w:tab w:leader="none" w:pos="11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2025</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9"/>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lowerRoman"/>
      <w:start w:val="1"/>
    </w:lvl>
  </w:abstractNum>
  <w:abstractNum w:abstractNumId="40">
    <w:nsid w:val="354FE9F9"/>
    <w:multiLevelType w:val="hybridMultilevel"/>
    <w:lvl w:ilvl="0">
      <w:lvlJc w:val="left"/>
      <w:lvlText w:val="1"/>
      <w:numFmt w:val="bullet"/>
      <w:start w:val="1"/>
    </w:lvl>
  </w:abstractNum>
  <w:abstractNum w:abstractNumId="41">
    <w:nsid w:val="15B5AF5C"/>
    <w:multiLevelType w:val="hybridMultilevel"/>
    <w:lvl w:ilvl="0">
      <w:lvlJc w:val="left"/>
      <w:lvlText w:val="%1"/>
      <w:numFmt w:val="upperLetter"/>
      <w:start w:val="1"/>
    </w:lvl>
    <w:lvl w:ilvl="1">
      <w:lvlJc w:val="left"/>
      <w:lvlText w:val="•"/>
      <w:numFmt w:val="bullet"/>
      <w:start w:val="1"/>
    </w:lvl>
  </w:abstractNum>
  <w:abstractNum w:abstractNumId="42">
    <w:nsid w:val="741226BB"/>
    <w:multiLevelType w:val="hybridMultilevel"/>
    <w:lvl w:ilvl="0">
      <w:lvlJc w:val="left"/>
      <w:lvlText w:val="%1."/>
      <w:numFmt w:val="upperLetter"/>
      <w:start w:val="35"/>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upperLetter"/>
      <w:start w:val="6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2"/>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upperLetter"/>
      <w:start w:val="22"/>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
      <w:numFmt w:val="bullet"/>
      <w:start w:val="1"/>
    </w:lvl>
    <w:lvl w:ilvl="1">
      <w:lvlJc w:val="left"/>
      <w:lvlText w:val="•"/>
      <w:numFmt w:val="bullet"/>
      <w:start w:val="1"/>
    </w:lvl>
  </w:abstractNum>
  <w:abstractNum w:abstractNumId="53">
    <w:nsid w:val="25A70BF7"/>
    <w:multiLevelType w:val="hybridMultilevel"/>
    <w:lvl w:ilvl="0">
      <w:lvlJc w:val="left"/>
      <w:lvlText w:val="%1."/>
      <w:numFmt w:val="decimal"/>
      <w:start w:val="2"/>
    </w:lvl>
  </w:abstractNum>
  <w:abstractNum w:abstractNumId="54">
    <w:nsid w:val="1DBABF00"/>
    <w:multiLevelType w:val="hybridMultilevel"/>
    <w:lvl w:ilvl="0">
      <w:lvlJc w:val="left"/>
      <w:lvlText w:val="%1."/>
      <w:numFmt w:val="decimal"/>
      <w:start w:val="3"/>
    </w:lvl>
  </w:abstractNum>
  <w:abstractNum w:abstractNumId="55">
    <w:nsid w:val="4AD084E9"/>
    <w:multiLevelType w:val="hybridMultilevel"/>
    <w:lvl w:ilvl="0">
      <w:lvlJc w:val="left"/>
      <w:lvlText w:val="%1."/>
      <w:numFmt w:val="decimal"/>
      <w:start w:val="4"/>
    </w:lvl>
  </w:abstractNum>
  <w:abstractNum w:abstractNumId="56">
    <w:nsid w:val="1F48EAA1"/>
    <w:multiLevelType w:val="hybridMultilevel"/>
    <w:lvl w:ilvl="0">
      <w:lvlJc w:val="left"/>
      <w:lvlText w:val="%1."/>
      <w:numFmt w:val="decimal"/>
      <w:start w:val="5"/>
    </w:lvl>
  </w:abstractNum>
  <w:abstractNum w:abstractNumId="57">
    <w:nsid w:val="1381823A"/>
    <w:multiLevelType w:val="hybridMultilevel"/>
    <w:lvl w:ilvl="0">
      <w:lvlJc w:val="left"/>
      <w:lvlText w:val="%1."/>
      <w:numFmt w:val="decimal"/>
      <w:start w:val="6"/>
    </w:lvl>
  </w:abstractNum>
  <w:abstractNum w:abstractNumId="58">
    <w:nsid w:val="5DB70AE5"/>
    <w:multiLevelType w:val="hybridMultilevel"/>
    <w:lvl w:ilvl="0">
      <w:lvlJc w:val="left"/>
      <w:lvlText w:val="%1."/>
      <w:numFmt w:val="decimal"/>
      <w:start w:val="7"/>
    </w:lvl>
  </w:abstractNum>
  <w:abstractNum w:abstractNumId="59">
    <w:nsid w:val="100F8FCA"/>
    <w:multiLevelType w:val="hybridMultilevel"/>
    <w:lvl w:ilvl="0">
      <w:lvlJc w:val="left"/>
      <w:lvlText w:val="%1."/>
      <w:numFmt w:val="decimal"/>
      <w:start w:val="8"/>
    </w:lvl>
  </w:abstractNum>
  <w:abstractNum w:abstractNumId="60">
    <w:nsid w:val="6590700B"/>
    <w:multiLevelType w:val="hybridMultilevel"/>
    <w:lvl w:ilvl="0">
      <w:lvlJc w:val="left"/>
      <w:lvlText w:val="%1."/>
      <w:numFmt w:val="decimal"/>
      <w:start w:val="9"/>
    </w:lvl>
  </w:abstractNum>
  <w:abstractNum w:abstractNumId="61">
    <w:nsid w:val="15014ACB"/>
    <w:multiLevelType w:val="hybridMultilevel"/>
    <w:lvl w:ilvl="0">
      <w:lvlJc w:val="left"/>
      <w:lvlText w:val="%1."/>
      <w:numFmt w:val="decimal"/>
      <w:start w:val="10"/>
    </w:lvl>
  </w:abstractNum>
  <w:abstractNum w:abstractNumId="62">
    <w:nsid w:val="5F5E7FD0"/>
    <w:multiLevelType w:val="hybridMultilevel"/>
    <w:lvl w:ilvl="0">
      <w:lvlJc w:val="left"/>
      <w:lvlText w:val="%1."/>
      <w:numFmt w:val="decimal"/>
      <w:start w:val="12"/>
    </w:lvl>
  </w:abstractNum>
  <w:abstractNum w:abstractNumId="63">
    <w:nsid w:val="98A3148"/>
    <w:multiLevelType w:val="hybridMultilevel"/>
    <w:lvl w:ilvl="0">
      <w:lvlJc w:val="left"/>
      <w:lvlText w:val="%1."/>
      <w:numFmt w:val="decimal"/>
      <w:start w:val="13"/>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lvl w:ilvl="1">
      <w:lvlJc w:val="left"/>
      <w:lvlText w:val="%2."/>
      <w:numFmt w:val="decimal"/>
      <w:start w:val="1"/>
    </w:lvl>
  </w:abstractNum>
  <w:abstractNum w:abstractNumId="68">
    <w:nsid w:val="1EBA5D23"/>
    <w:multiLevelType w:val="hybridMultilevel"/>
    <w:lvl w:ilvl="0">
      <w:lvlJc w:val="left"/>
      <w:lvlText w:val="%1."/>
      <w:numFmt w:val="decimal"/>
      <w:start w:val="2"/>
    </w:lvl>
    <w:lvl w:ilvl="1">
      <w:lvlJc w:val="left"/>
      <w:lvlText w:val="%2"/>
      <w:numFmt w:val="decimal"/>
      <w:start w:val="1"/>
    </w:lvl>
  </w:abstractNum>
  <w:abstractNum w:abstractNumId="69">
    <w:nsid w:val="661E3F1E"/>
    <w:multiLevelType w:val="hybridMultilevel"/>
    <w:lvl w:ilvl="0">
      <w:lvlJc w:val="left"/>
      <w:lvlText w:val="%1"/>
      <w:numFmt w:val="decimal"/>
      <w:start w:val="1"/>
    </w:lvl>
    <w:lvl w:ilvl="1">
      <w:lvlJc w:val="left"/>
      <w:lvlText w:val="%2."/>
      <w:numFmt w:val="decimal"/>
      <w:start w:val="1"/>
    </w:lvl>
  </w:abstractNum>
  <w:abstractNum w:abstractNumId="70">
    <w:nsid w:val="5DC79EA8"/>
    <w:multiLevelType w:val="hybridMultilevel"/>
    <w:lvl w:ilvl="0">
      <w:lvlJc w:val="left"/>
      <w:lvlText w:val="%1."/>
      <w:numFmt w:val="decimal"/>
      <w:start w:val="2"/>
    </w:lvl>
    <w:lvl w:ilvl="1">
      <w:lvlJc w:val="left"/>
      <w:lvlText w:val="%2"/>
      <w:numFmt w:val="decimal"/>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4" Type="http://schemas.openxmlformats.org/officeDocument/2006/relationships/image" Target="media/image96.png"/><Relationship Id="rId141" Type="http://schemas.openxmlformats.org/officeDocument/2006/relationships/image" Target="media/image97.png"/><Relationship Id="rId161"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03" Type="http://schemas.openxmlformats.org/officeDocument/2006/relationships/hyperlink" Target="https://www.sec.gov/Archives/edgar/data/1274737/000119312519252366/d769261dex31.htm" TargetMode="External"/><Relationship Id="rId104" Type="http://schemas.openxmlformats.org/officeDocument/2006/relationships/hyperlink" Target="https://www.sec.gov/Archives/edgar/data/1274737/000127473721000017/ex31-amendedandrestatedbyl.htm" TargetMode="External"/><Relationship Id="rId105" Type="http://schemas.openxmlformats.org/officeDocument/2006/relationships/hyperlink" Target="https://www.sec.gov/Archives/edgar/data/1274737/000127473723000004/exhibit-exagenxamendmentto.htm" TargetMode="External"/><Relationship Id="rId106" Type="http://schemas.openxmlformats.org/officeDocument/2006/relationships/hyperlink" Target="https://www.sec.gov/Archives/edgar/data/1274737/000119312519240403/d692844dex41.htm" TargetMode="External"/><Relationship Id="rId107" Type="http://schemas.openxmlformats.org/officeDocument/2006/relationships/hyperlink" Target="https://www.sec.gov/Archives/edgar/data/1274737/000119312519228011/d692844dex44.htm" TargetMode="External"/><Relationship Id="rId108" Type="http://schemas.openxmlformats.org/officeDocument/2006/relationships/hyperlink" Target="https://www.sec.gov/Archives/edgar/data/1274737/000119312519228011/d692844dex48.htm" TargetMode="External"/><Relationship Id="rId109" Type="http://schemas.openxmlformats.org/officeDocument/2006/relationships/hyperlink" Target="https://www.sec.gov/Archives/edgar/data/1274737/000119312519228011/d692844dex49.htm" TargetMode="External"/><Relationship Id="rId110" Type="http://schemas.openxmlformats.org/officeDocument/2006/relationships/hyperlink" Target="https://www.sec.gov/Archives/edgar/data/1274737/000127473721000094/ex45-formofprexfundedwarra.htm" TargetMode="External"/><Relationship Id="rId111" Type="http://schemas.openxmlformats.org/officeDocument/2006/relationships/hyperlink" Target="https://www.sec.gov/Archives/edgar/data/1274737/000127473724000022/xgn-descriptionofsecurities.htm" TargetMode="External"/><Relationship Id="rId112" Type="http://schemas.openxmlformats.org/officeDocument/2006/relationships/hyperlink" Target="https://www.sec.gov/Archives/edgar/data/1274737/000119312519228011/d692844dex102.htm" TargetMode="External"/><Relationship Id="rId113" Type="http://schemas.openxmlformats.org/officeDocument/2006/relationships/hyperlink" Target="https://www.sec.gov/Archives/edgar/data/1274737/000119312519240403/d692844dex103.htm" TargetMode="External"/><Relationship Id="rId114" Type="http://schemas.openxmlformats.org/officeDocument/2006/relationships/hyperlink" Target="https://www.sec.gov/Archives/edgar/data/1274737/000119312519240403/d692844dex104.htm" TargetMode="External"/><Relationship Id="rId115" Type="http://schemas.openxmlformats.org/officeDocument/2006/relationships/hyperlink" Target="https://www.sec.gov/Archives/edgar/data/1274737/000127473721000015/ex105-formofrsuagreement20.htm" TargetMode="External"/><Relationship Id="rId116" Type="http://schemas.openxmlformats.org/officeDocument/2006/relationships/hyperlink" Target="https://www.sec.gov/Archives/edgar/data/1274737/000119312519240403/d692844dex105.htm" TargetMode="External"/><Relationship Id="rId117" Type="http://schemas.openxmlformats.org/officeDocument/2006/relationships/hyperlink" Target="https://www.sec.gov/Archives/edgar/data/1274737/000119312519228011/d692844dex1010.htm" TargetMode="External"/><Relationship Id="rId118" Type="http://schemas.openxmlformats.org/officeDocument/2006/relationships/hyperlink" Target="https://www.sec.gov/Archives/edgar/data/1274737/000119312519228011/d692844dex1011.htm" TargetMode="External"/><Relationship Id="rId119" Type="http://schemas.openxmlformats.org/officeDocument/2006/relationships/hyperlink" Target="https://www.sec.gov/Archives/edgar/data/1274737/000119312519228011/d692844dex1012.htm" TargetMode="External"/><Relationship Id="rId120" Type="http://schemas.openxmlformats.org/officeDocument/2006/relationships/hyperlink" Target="https://www.sec.gov/Archives/edgar/data/1274737/000119312519228011/d692844dex1013.htm" TargetMode="External"/><Relationship Id="rId121" Type="http://schemas.openxmlformats.org/officeDocument/2006/relationships/hyperlink" Target="https://www.sec.gov/Archives/edgar/data/1274737/000119312519228011/d692844dex1014.htm" TargetMode="External"/><Relationship Id="rId122" Type="http://schemas.openxmlformats.org/officeDocument/2006/relationships/hyperlink" Target="https://www.sec.gov/Archives/edgar/data/1274737/000119312519228011/d692844dex1015.htm" TargetMode="External"/><Relationship Id="rId123" Type="http://schemas.openxmlformats.org/officeDocument/2006/relationships/hyperlink" Target="https://www.sec.gov/Archives/edgar/data/1274737/000119312519228011/d692844dex1016.htm" TargetMode="External"/><Relationship Id="rId125" Type="http://schemas.openxmlformats.org/officeDocument/2006/relationships/hyperlink" Target="https://www.sec.gov/Archives/edgar/data/1274737/000119312519228011/d692844dex1017.htm" TargetMode="External"/><Relationship Id="rId126" Type="http://schemas.openxmlformats.org/officeDocument/2006/relationships/hyperlink" Target="https://www.sec.gov/Archives/edgar/data/1274737/000119312519228011/d692844dex1018.htm" TargetMode="External"/><Relationship Id="rId127" Type="http://schemas.openxmlformats.org/officeDocument/2006/relationships/hyperlink" Target="https://www.sec.gov/Archives/edgar/data/1274737/000119312519228011/d692844dex1019.htm" TargetMode="External"/><Relationship Id="rId128" Type="http://schemas.openxmlformats.org/officeDocument/2006/relationships/hyperlink" Target="https://www.sec.gov/Archives/edgar/data/1274737/000119312519228011/d692844dex1020.htm" TargetMode="External"/><Relationship Id="rId129" Type="http://schemas.openxmlformats.org/officeDocument/2006/relationships/hyperlink" Target="https://www.sec.gov/Archives/edgar/data/1274737/000119312519228011/d692844dex1021.htm" TargetMode="External"/><Relationship Id="rId130" Type="http://schemas.openxmlformats.org/officeDocument/2006/relationships/hyperlink" Target="https://www.sec.gov/Archives/edgar/data/1274737/000119312519228011/d692844dex1022.htm" TargetMode="External"/><Relationship Id="rId131" Type="http://schemas.openxmlformats.org/officeDocument/2006/relationships/hyperlink" Target="https://www.sec.gov/Archives/edgar/data/1274737/000119312519228011/d692844dex1024.htm" TargetMode="External"/><Relationship Id="rId132" Type="http://schemas.openxmlformats.org/officeDocument/2006/relationships/hyperlink" Target="https://www.sec.gov/Archives/edgar/data/1274737/000119312519228011/d692844dex1025.htm" TargetMode="External"/><Relationship Id="rId133" Type="http://schemas.openxmlformats.org/officeDocument/2006/relationships/hyperlink" Target="https://www.sec.gov/Archives/edgar/data/1274737/000127473720000026/secondamend1261suitebc.htm" TargetMode="External"/><Relationship Id="rId134" Type="http://schemas.openxmlformats.org/officeDocument/2006/relationships/hyperlink" Target="https://www.sec.gov/Archives/edgar/data/1274737/000127473720000026/thirdamend1261suitebc.htm" TargetMode="External"/><Relationship Id="rId135" Type="http://schemas.openxmlformats.org/officeDocument/2006/relationships/hyperlink" Target="https://www.sec.gov/Archives/edgar/data/1274737/000127473720000026/fourthamendmenttolease.htm" TargetMode="External"/><Relationship Id="rId136" Type="http://schemas.openxmlformats.org/officeDocument/2006/relationships/hyperlink" Target="https://www.sec.gov/Archives/edgar/data/1274737/000127473721000115/ex103-fifthaddendumtolease.htm" TargetMode="External"/><Relationship Id="rId137" Type="http://schemas.openxmlformats.org/officeDocument/2006/relationships/hyperlink" Target="https://www.sec.gov/Archives/edgar/data/1274737/000119312519228011/d692844dex1030.htm" TargetMode="External"/><Relationship Id="rId138" Type="http://schemas.openxmlformats.org/officeDocument/2006/relationships/hyperlink" Target="https://www.sec.gov/Archives/edgar/data/1274737/000127473720000026/firstamend1221lease.htm" TargetMode="External"/><Relationship Id="rId139" Type="http://schemas.openxmlformats.org/officeDocument/2006/relationships/hyperlink" Target="https://www.sec.gov/Archives/edgar/data/1274737/000127473720000026/a1221libertyway-leasea.htm" TargetMode="External"/><Relationship Id="rId140" Type="http://schemas.openxmlformats.org/officeDocument/2006/relationships/hyperlink" Target="https://www.sec.gov/Archives/edgar/data/1274737/000127473721000015/ex1034-amend1to1221liberty.htm" TargetMode="External"/><Relationship Id="rId142" Type="http://schemas.openxmlformats.org/officeDocument/2006/relationships/hyperlink" Target="https://www.sec.gov/Archives/edgar/data/1274737/000127473721000115/ex102-amend2to1221libertyw.htm" TargetMode="External"/><Relationship Id="rId143" Type="http://schemas.openxmlformats.org/officeDocument/2006/relationships/hyperlink" Target="https://www.sec.gov/Archives/edgar/data/1274737/000127473720000026/ex10331261suitealeasev2.htm" TargetMode="External"/><Relationship Id="rId144" Type="http://schemas.openxmlformats.org/officeDocument/2006/relationships/hyperlink" Target="https://www.sec.gov/Archives/edgar/data/1274737/000127473721000115/ex104-firstaddendumtolease.htm" TargetMode="External"/><Relationship Id="rId145" Type="http://schemas.openxmlformats.org/officeDocument/2006/relationships/hyperlink" Target="https://www.sec.gov/Archives/edgar/data/1274737/000127473721000115/ex101-subleaseagreement819.htm" TargetMode="External"/><Relationship Id="rId146" Type="http://schemas.openxmlformats.org/officeDocument/2006/relationships/hyperlink" Target="https://www.sec.gov/Archives/edgar/data/1274737/000119312519228011/d692844dex1031.htm" TargetMode="External"/><Relationship Id="rId147" Type="http://schemas.openxmlformats.org/officeDocument/2006/relationships/hyperlink" Target="https://www.sec.gov/Archives/edgar/data/1274737/000119312519228011/d692844dex1032.htm" TargetMode="External"/><Relationship Id="rId148" Type="http://schemas.openxmlformats.org/officeDocument/2006/relationships/hyperlink" Target="https://www.sec.gov/Archives/edgar/data/1274737/000127473720000026/ex1036-innovatusxexage.htm" TargetMode="External"/><Relationship Id="rId149" Type="http://schemas.openxmlformats.org/officeDocument/2006/relationships/hyperlink" Target="https://www.sec.gov/Archives/edgar/data/1274737/000127473720000097/ex101-innovatusacknowl.htm" TargetMode="External"/><Relationship Id="rId150" Type="http://schemas.openxmlformats.org/officeDocument/2006/relationships/hyperlink" Target="https://www.sec.gov/Archives/edgar/data/1274737/000127473721000115/ex105-secondamendmentloana.htm" TargetMode="External"/><Relationship Id="rId151" Type="http://schemas.openxmlformats.org/officeDocument/2006/relationships/hyperlink" Target="https://www.sec.gov/Archives/edgar/data/1274737/000119312519228011/d692844dex1034.htm" TargetMode="External"/><Relationship Id="rId152" Type="http://schemas.openxmlformats.org/officeDocument/2006/relationships/hyperlink" Target="https://www.sec.gov/Archives/edgar/data/1274737/000119312519240403/d692844dex1038.htm" TargetMode="External"/><Relationship Id="rId153" Type="http://schemas.openxmlformats.org/officeDocument/2006/relationships/hyperlink" Target="https://www.sec.gov/Archives/edgar/data/1274737/000127473721000015/ex1046-executivecicseveran.htm" TargetMode="External"/><Relationship Id="rId154" Type="http://schemas.openxmlformats.org/officeDocument/2006/relationships/hyperlink" Target="https://www.sec.gov/Archives/edgar/data/1274737/000127473722000067/johnaballiceoemploymentagr.htm" TargetMode="External"/><Relationship Id="rId155" Type="http://schemas.openxmlformats.org/officeDocument/2006/relationships/hyperlink" Target="https://www.sec.gov/Archives/edgar/data/1274737/000127473724000071/exagencfoemploymentagreeme.htm" TargetMode="External"/><Relationship Id="rId156" Type="http://schemas.openxmlformats.org/officeDocument/2006/relationships/hyperlink" Target="https://www.sec.gov/Archives/edgar/data/1274737/000127473722000064/ex11-xgnxsalesagreement.htm" TargetMode="External"/><Relationship Id="rId157" Type="http://schemas.openxmlformats.org/officeDocument/2006/relationships/hyperlink" Target="https://www.sec.gov/Archives/edgar/data/1274737/000127473723000041/exhibit101to042823thirdame.htm" TargetMode="External"/><Relationship Id="rId158" Type="http://schemas.openxmlformats.org/officeDocument/2006/relationships/hyperlink" Target="https://www.sec.gov/Archives/edgar/data/1274737/000127473724000048/innovatusfourthamendmentto.htm" TargetMode="External"/><Relationship Id="rId159" Type="http://schemas.openxmlformats.org/officeDocument/2006/relationships/hyperlink" Target="https://www.sec.gov/Archives/edgar/data/1274737/000127473723000103/a1221libertywayassignmenta.htm" TargetMode="External"/><Relationship Id="rId160" Type="http://schemas.openxmlformats.org/officeDocument/2006/relationships/hyperlink" Target="https://www.sec.gov/Archives/edgar/data/1274737/000127473723000116/exagen-hazeltinexconsultin.htm" TargetMode="External"/><Relationship Id="rId162" Type="http://schemas.openxmlformats.org/officeDocument/2006/relationships/hyperlink" Target="https://www.sec.gov/Archives/edgar/data/1274737/000127473723000103/exagen-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2025-03-11T08:32:21Z</dcterms:created>
  <dcterms:modified xsi:type="dcterms:W3CDTF">2025-03-11T08:32:21Z</dcterms:modified>
</cp:coreProperties>
</file>