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May 20, 2025</w:t>
      </w:r>
    </w:p>
    <w:p>
      <w:pPr>
        <w:pStyle w:val="TextBody"/>
        <w:bidi w:val="0"/>
        <w:spacing w:before="0" w:after="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Registration No. 333- </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2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S-8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REGISTRATION STATEMENT UNDER </w:t>
      </w:r>
    </w:p>
    <w:p>
      <w:pPr>
        <w:pStyle w:val="TextBody"/>
        <w:bidi w:val="0"/>
        <w:spacing w:lineRule="auto" w:line="288" w:before="0" w:after="0"/>
        <w:jc w:val="center"/>
        <w:rPr/>
      </w:pPr>
      <w:r>
        <w:rPr>
          <w:rFonts w:ascii="Times New Roman;sans-serif" w:hAnsi="Times New Roman;sans-serif"/>
          <w:b/>
          <w:color w:val="000000"/>
          <w:sz w:val="24"/>
        </w:rPr>
        <w:t xml:space="preserve">THE SECURITIES ACT OF 1933 </w:t>
      </w:r>
      <w:r>
        <w:rPr>
          <w:color w:val="000000"/>
        </w:rPr>
        <w:t> </w:t>
      </w:r>
    </w:p>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 xml:space="preserve">EXAGEN INC. </w:t>
      </w:r>
    </w:p>
    <w:p>
      <w:pPr>
        <w:pStyle w:val="TextBody"/>
        <w:bidi w:val="0"/>
        <w:spacing w:lineRule="auto" w:line="288" w:before="0" w:after="0"/>
        <w:jc w:val="center"/>
        <w:rPr/>
      </w:pPr>
      <w:r>
        <w:rPr>
          <w:rFonts w:ascii="Times New Roman;sans-serif" w:hAnsi="Times New Roman;sans-serif"/>
          <w:b w:val="false"/>
          <w:color w:val="000000"/>
          <w:sz w:val="20"/>
        </w:rPr>
        <w:t xml:space="preserve">(Exact name of registrant as specified in its charter) </w:t>
      </w:r>
      <w:r>
        <w:rPr>
          <w:color w:val="000000"/>
        </w:rPr>
        <w:t> </w:t>
      </w:r>
    </w:p>
    <w:tbl>
      <w:tblPr>
        <w:tblW w:w="4835"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109"/>
        <w:gridCol w:w="109"/>
        <w:gridCol w:w="109"/>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20-0434866</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1261 Liberty 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Vista, California 92081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(Zip code) </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Exagen Inc. 2019 Incentive Award Plan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Exagen Inc. 2019 Employee Stock Purchase Plan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(Full title of the plans)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John Aballi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President and Chief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Exagen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1261 Liberty 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Vista, California 92081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(760) 560-1501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address, and telephone number, including area code, of agent for service)  </w:t>
      </w:r>
    </w:p>
    <w:p>
      <w:pPr>
        <w:pStyle w:val="TextBody"/>
        <w:bidi w:val="0"/>
        <w:spacing w:lineRule="auto" w:line="288" w:before="16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6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before="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Registration Statement on Form S-8 is being filed with the Securities and Exchange Commission (the "SEC") for the purpose of registering an additional 882,016 shares of common stock of Exagen Inc. (the "Registrant") issuable or which may become issuable under the Exagen Inc. 2019 Incentive Award Plan (the "2019 Plan") and the Exagen Inc. 2019 Employee Stock Purchase Plan (the "2019 ESPP") pursuant to the evergreen provision of such plans.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General Instruction E on Form S-8, the contents of the prior registration statements on Form S-8, File Nos. 333-233878, 333-256014, 333-264867, 333-272038 and 333-279356, previously filed with respect to the 2019 Plan and 2019 ESPP, are incorporated into this Registration Statement by reference to the extent not modified or superseded hereby or by any subsequently filed document, which is incorporated by reference herein or therein.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3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24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INFORMATION REQUIRED IN THE SECTION 10(a) PROSPECTUS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containing the information specified in Part I of Form S-8 will be sent or given to participants as specified by Rule 428(b)(1) of the Securities Act of 1933, as amended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3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24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Registration Statement, Exagen Inc. is sometimes referred to as "Registrant," "we," "us" or "our."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Incorporation of Documents by Reference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Securities and Exchange Commission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Registrant's Annual Report on Form 10-K for the year ended December 31, 2024, filed with the SEC on </w:t>
      </w:r>
      <w:hyperlink r:id="rId2">
        <w:r>
          <w:rPr>
            <w:rStyle w:val="InternetLink"/>
            <w:rFonts w:ascii="Times New Roman;sans-serif" w:hAnsi="Times New Roman;sans-serif"/>
            <w:b w:val="false"/>
            <w:color w:val="0000FF"/>
            <w:sz w:val="20"/>
            <w:u w:val="single"/>
          </w:rPr>
          <w:t>March 11, 2025</w:t>
        </w:r>
      </w:hyperlink>
      <w:r>
        <w:rPr>
          <w:rFonts w:ascii="Times New Roman;sans-serif" w:hAnsi="Times New Roman;sans-serif"/>
          <w:b w:val="false"/>
          <w:color w:val="000000"/>
          <w:sz w:val="20"/>
        </w:rPr>
        <w:t xml:space="preserve">, including the information incorporated by reference into our Annual Report on Form 10-K from our definitive proxy statement for our 2025 Annual Meeting of Stockholders, filed with the SEC on </w:t>
      </w:r>
      <w:hyperlink r:id="rId3">
        <w:r>
          <w:rPr>
            <w:rStyle w:val="InternetLink"/>
            <w:rFonts w:ascii="Times New Roman;sans-serif" w:hAnsi="Times New Roman;sans-serif"/>
            <w:b w:val="false"/>
            <w:color w:val="0000FF"/>
            <w:sz w:val="20"/>
            <w:u w:val="single"/>
          </w:rPr>
          <w:t>April 30, 2025</w:t>
        </w:r>
      </w:hyperlink>
      <w:r>
        <w:rPr>
          <w:rFonts w:ascii="Times New Roman;sans-serif" w:hAnsi="Times New Roman;sans-serif"/>
          <w:b w:val="false"/>
          <w:color w:val="000000"/>
          <w:sz w:val="20"/>
        </w:rPr>
        <w: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Registrant's Quarterly Report on Form 10-Q for the quarter ended March 31, 2025, filed with the SEC on </w:t>
      </w:r>
      <w:hyperlink r:id="rId4">
        <w:r>
          <w:rPr>
            <w:rStyle w:val="InternetLink"/>
            <w:rFonts w:ascii="Times New Roman;sans-serif" w:hAnsi="Times New Roman;sans-serif"/>
            <w:b w:val="false"/>
            <w:color w:val="0000FF"/>
            <w:sz w:val="20"/>
            <w:u w:val="single"/>
          </w:rPr>
          <w:t>May 5, 2025</w:t>
        </w:r>
      </w:hyperlink>
      <w:r>
        <w:rPr>
          <w:rFonts w:ascii="Times New Roman;sans-serif" w:hAnsi="Times New Roman;sans-serif"/>
          <w:b w:val="false"/>
          <w:color w:val="000000"/>
          <w:sz w:val="20"/>
        </w:rPr>
        <w: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Registrant's Current Reports on Form 8-K filed with the SEC on </w:t>
      </w:r>
      <w:hyperlink r:id="rId5">
        <w:r>
          <w:rPr>
            <w:rStyle w:val="InternetLink"/>
            <w:rFonts w:ascii="Times New Roman;sans-serif" w:hAnsi="Times New Roman;sans-serif"/>
            <w:b w:val="false"/>
            <w:color w:val="0000FF"/>
            <w:sz w:val="20"/>
            <w:u w:val="single"/>
          </w:rPr>
          <w:t>January 13, 2025</w:t>
        </w:r>
      </w:hyperlink>
      <w:r>
        <w:rPr>
          <w:rFonts w:ascii="Times New Roman;sans-serif" w:hAnsi="Times New Roman;sans-serif"/>
          <w:b w:val="false"/>
          <w:color w:val="000000"/>
          <w:sz w:val="20"/>
        </w:rPr>
        <w:t xml:space="preserve">, </w:t>
      </w:r>
      <w:hyperlink r:id="rId6">
        <w:r>
          <w:rPr>
            <w:rStyle w:val="InternetLink"/>
            <w:rFonts w:ascii="Times New Roman;sans-serif" w:hAnsi="Times New Roman;sans-serif"/>
            <w:b w:val="false"/>
            <w:color w:val="0000FF"/>
            <w:sz w:val="20"/>
            <w:u w:val="single"/>
          </w:rPr>
          <w:t>March 11, 2025</w:t>
        </w:r>
      </w:hyperlink>
      <w:r>
        <w:rPr>
          <w:rFonts w:ascii="Times New Roman;sans-serif" w:hAnsi="Times New Roman;sans-serif"/>
          <w:b w:val="false"/>
          <w:color w:val="000000"/>
          <w:sz w:val="20"/>
        </w:rPr>
        <w:t xml:space="preserve">, </w:t>
      </w:r>
      <w:hyperlink r:id="rId7">
        <w:r>
          <w:rPr>
            <w:rStyle w:val="InternetLink"/>
            <w:rFonts w:ascii="Times New Roman;sans-serif" w:hAnsi="Times New Roman;sans-serif"/>
            <w:b w:val="false"/>
            <w:color w:val="0000FF"/>
            <w:sz w:val="20"/>
            <w:u w:val="single"/>
          </w:rPr>
          <w:t>April 28, 2025</w:t>
        </w:r>
      </w:hyperlink>
      <w:r>
        <w:rPr>
          <w:rFonts w:ascii="Times New Roman;sans-serif" w:hAnsi="Times New Roman;sans-serif"/>
          <w:b w:val="false"/>
          <w:color w:val="000000"/>
          <w:sz w:val="20"/>
        </w:rPr>
        <w:t xml:space="preserve">, </w:t>
      </w:r>
      <w:hyperlink r:id="rId8">
        <w:r>
          <w:rPr>
            <w:rStyle w:val="InternetLink"/>
            <w:rFonts w:ascii="Times New Roman;sans-serif" w:hAnsi="Times New Roman;sans-serif"/>
            <w:b w:val="false"/>
            <w:color w:val="0000FF"/>
            <w:sz w:val="20"/>
            <w:u w:val="single"/>
          </w:rPr>
          <w:t>May 5, 2025</w:t>
        </w:r>
      </w:hyperlink>
      <w:r>
        <w:rPr>
          <w:rFonts w:ascii="Times New Roman;sans-serif" w:hAnsi="Times New Roman;sans-serif"/>
          <w:b w:val="false"/>
          <w:color w:val="000000"/>
          <w:sz w:val="20"/>
        </w:rPr>
        <w:t xml:space="preserve">, </w:t>
      </w:r>
      <w:hyperlink r:id="rId9">
        <w:r>
          <w:rPr>
            <w:rStyle w:val="InternetLink"/>
            <w:rFonts w:ascii="Times New Roman;sans-serif" w:hAnsi="Times New Roman;sans-serif"/>
            <w:b w:val="false"/>
            <w:color w:val="0000FF"/>
            <w:sz w:val="20"/>
            <w:u w:val="single"/>
          </w:rPr>
          <w:t>May 8, 2025</w:t>
        </w:r>
      </w:hyperlink>
      <w:r>
        <w:rPr>
          <w:color w:val="000000"/>
        </w:rPr>
        <w:t xml:space="preserve"> </w:t>
      </w:r>
      <w:r>
        <w:rPr>
          <w:rFonts w:ascii="Times New Roman;sans-serif" w:hAnsi="Times New Roman;sans-serif"/>
          <w:b w:val="false"/>
          <w:color w:val="000000"/>
          <w:sz w:val="20"/>
        </w:rPr>
        <w:t xml:space="preserve">and </w:t>
      </w:r>
      <w:hyperlink r:id="rId10">
        <w:r>
          <w:rPr>
            <w:rStyle w:val="InternetLink"/>
          </w:rPr>
          <w:t>M</w:t>
        </w:r>
      </w:hyperlink>
      <w:hyperlink r:id="rId11">
        <w:r>
          <w:rPr>
            <w:rStyle w:val="InternetLink"/>
          </w:rPr>
          <w:t>ay 9, 2025</w:t>
        </w:r>
      </w:hyperlink>
      <w:r>
        <w:rPr>
          <w:rFonts w:ascii="Times New Roman;sans-serif" w:hAnsi="Times New Roman;sans-serif"/>
          <w:b w:val="false"/>
          <w:color w:val="000000"/>
          <w:sz w:val="20"/>
        </w:rPr>
        <w: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description of the Registrant's common stock set forth in the Registrant's registration statement on Form 8-A12B (Registration No. 001-39049), filed by the Registrant with the SEC under Section 12(b) of the Securities Exchange Act of 1934, as amended (the "Exchange Act"), on </w:t>
      </w:r>
      <w:hyperlink r:id="rId12">
        <w:r>
          <w:rPr>
            <w:rStyle w:val="InternetLink"/>
            <w:rFonts w:ascii="Times New Roman;sans-serif" w:hAnsi="Times New Roman;sans-serif"/>
            <w:b w:val="false"/>
            <w:color w:val="0000FF"/>
            <w:sz w:val="20"/>
            <w:u w:val="single"/>
          </w:rPr>
          <w:t>September 13, 2019</w:t>
        </w:r>
      </w:hyperlink>
      <w:r>
        <w:rPr>
          <w:rFonts w:ascii="Times New Roman;sans-serif" w:hAnsi="Times New Roman;sans-serif"/>
          <w:b w:val="false"/>
          <w:color w:val="000000"/>
          <w:sz w:val="20"/>
        </w:rPr>
        <w:t>, including any amendments or reports filed for the purpose of updating such description.</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no circumstances shall any information furnished under Item 2.02 or 7.01 of Form 8-K be deemed incorporated herein by reference unless such Form 8-K expressly provides to the contrary.</w:t>
      </w:r>
    </w:p>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83"/>
        <w:gridCol w:w="338"/>
        <w:gridCol w:w="339"/>
        <w:gridCol w:w="1513"/>
        <w:gridCol w:w="1446"/>
        <w:gridCol w:w="1451"/>
        <w:gridCol w:w="171"/>
        <w:gridCol w:w="171"/>
        <w:gridCol w:w="170"/>
        <w:gridCol w:w="313"/>
        <w:gridCol w:w="293"/>
        <w:gridCol w:w="244"/>
        <w:gridCol w:w="210"/>
        <w:gridCol w:w="210"/>
        <w:gridCol w:w="211"/>
        <w:gridCol w:w="387"/>
        <w:gridCol w:w="387"/>
        <w:gridCol w:w="389"/>
        <w:gridCol w:w="460"/>
        <w:gridCol w:w="460"/>
        <w:gridCol w:w="659"/>
      </w:tblGrid>
      <w:tr>
        <w:trPr/>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Filing Date</w:t>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Filed/Furnished Herewith</w:t>
            </w:r>
          </w:p>
        </w:tc>
      </w:tr>
      <w:tr>
        <w:trPr/>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16"/>
                  <w:u w:val="single"/>
                </w:rPr>
                <w:t>Amended and Restated Certificate of Incorporation.</w:t>
              </w:r>
            </w:hyperlink>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001-39049</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9/23/2019</w:t>
            </w:r>
          </w:p>
        </w:tc>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16"/>
                  <w:u w:val="single"/>
                </w:rPr>
                <w:t>Amended Restated Bylaws.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001-39049</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3/22/2021</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16"/>
                  <w:u w:val="single"/>
                </w:rPr>
                <w:t>Amendment to Amended and Restated Bylaws, dated January 19, 2023.</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001-39049</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1/23/2023</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16"/>
                  <w:u w:val="single"/>
                </w:rPr>
                <w:t>Specimen stock certificate evidencing the shares of common stock.</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333-233446</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9/9/2019</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formsx8xopinionm.htm">
              <w:r>
                <w:rPr>
                  <w:rStyle w:val="InternetLink"/>
                  <w:rFonts w:ascii="Times New Roman;sans-serif" w:hAnsi="Times New Roman;sans-serif"/>
                  <w:b w:val="false"/>
                  <w:color w:val="0000FF"/>
                  <w:sz w:val="16"/>
                  <w:u w:val="single"/>
                </w:rPr>
                <w:t>Opinion of Mintz, Levin, Cohn, Ferris, Glovsky and Popeo, P.C.</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1-bdosx82025consent.htm">
              <w:r>
                <w:rPr>
                  <w:rStyle w:val="InternetLink"/>
                  <w:rFonts w:ascii="Times New Roman;sans-serif" w:hAnsi="Times New Roman;sans-serif"/>
                  <w:b w:val="false"/>
                  <w:color w:val="0000FF"/>
                  <w:sz w:val="16"/>
                  <w:u w:val="single"/>
                </w:rPr>
                <w:t>Consent of BDO USA, P.C., independent registered public accounting firm.</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formsx8xopinionm.htm">
              <w:r>
                <w:rPr>
                  <w:rStyle w:val="InternetLink"/>
                  <w:rFonts w:ascii="Times New Roman;sans-serif" w:hAnsi="Times New Roman;sans-serif"/>
                  <w:b w:val="false"/>
                  <w:color w:val="0000FF"/>
                  <w:sz w:val="16"/>
                  <w:u w:val="single"/>
                </w:rPr>
                <w:t>Consent of Mintz, Levin, Cohn, Ferris, Glovsky and Popeo, P.C. (included in Exhibit 5.1).</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349b956198436ca89e54c90c36e30b_16">
              <w:r>
                <w:rPr>
                  <w:rStyle w:val="InternetLink"/>
                  <w:rFonts w:ascii="Times New Roman;sans-serif" w:hAnsi="Times New Roman;sans-serif"/>
                  <w:b w:val="false"/>
                  <w:color w:val="0000FF"/>
                  <w:sz w:val="16"/>
                  <w:u w:val="single"/>
                </w:rPr>
                <w:t>Power of Attorney (see signature page)</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99.1</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16"/>
                  <w:u w:val="single"/>
                </w:rPr>
                <w:t>Exagen Inc. 2019 Incentive Award Plan.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333-233446</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9/9/2019</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99.2</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16"/>
                  <w:u w:val="single"/>
                </w:rPr>
                <w:t>Form of Option Agreement under Exagen Inc. 2019 Incentive Award Plan.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333-233446</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9/9/2019</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99.3</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16"/>
                  <w:u w:val="single"/>
                </w:rPr>
                <w:t>Form of Restricted Stock Unit Agreement under Exagen Inc. 2019 Incentive Award Plan.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001-39049</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3/16/2021</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16"/>
                  <w:u w:val="single"/>
                </w:rPr>
                <w:t>Exagen Inc. 2019 Employee Stock Purchase Plan.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333-233446</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9/9/2019</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7-formsx8calculat.htm">
              <w:r>
                <w:rPr>
                  <w:rStyle w:val="InternetLink"/>
                  <w:rFonts w:ascii="Times New Roman;sans-serif" w:hAnsi="Times New Roman;sans-serif"/>
                  <w:b w:val="false"/>
                  <w:color w:val="0000FF"/>
                  <w:sz w:val="16"/>
                  <w:u w:val="single"/>
                </w:rPr>
                <w:t>Filing Fee Table.</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Vista, State of California, on May 20, 2025.</w:t>
      </w:r>
    </w:p>
    <w:p>
      <w:pPr>
        <w:pStyle w:val="TextBody"/>
        <w:bidi w:val="0"/>
        <w:spacing w:before="0" w:after="0"/>
        <w:jc w:val="left"/>
        <w:rPr/>
      </w:pPr>
      <w:r>
        <w:rPr/>
      </w:r>
    </w:p>
    <w:tbl>
      <w:tblPr>
        <w:tblW w:w="3927"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938"/>
        <w:gridCol w:w="938"/>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EXAGEN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Aballi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Aballi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hereby constitutes and appoints John Aballi and Jeffrey G. Black, and each of them singly (with full power to each of them to act alone), his attorneys-in-fact, each with the full power of substitution, for him in any and all capacities, to sign this registration statement, and any amendments thereto (including post-effective amendments), and to file the same, with all exhibits thereto and other documents in connection therewith, with the SEC, hereby ratifying and confirming all that each of said attorneys-in-fact,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pStyle w:val="TextBody"/>
        <w:bidi w:val="0"/>
        <w:ind w:left="0" w:right="0" w:firstLine="36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378" w:type="dxa"/>
        <w:jc w:val="center"/>
        <w:tblInd w:w="0" w:type="dxa"/>
        <w:tblLayout w:type="fixed"/>
        <w:tblCellMar>
          <w:top w:w="28" w:type="dxa"/>
          <w:left w:w="28" w:type="dxa"/>
          <w:bottom w:w="28" w:type="dxa"/>
          <w:right w:w="28" w:type="dxa"/>
        </w:tblCellMar>
      </w:tblPr>
      <w:tblGrid>
        <w:gridCol w:w="458"/>
        <w:gridCol w:w="403"/>
        <w:gridCol w:w="403"/>
        <w:gridCol w:w="403"/>
        <w:gridCol w:w="403"/>
        <w:gridCol w:w="405"/>
        <w:gridCol w:w="109"/>
        <w:gridCol w:w="109"/>
        <w:gridCol w:w="109"/>
        <w:gridCol w:w="1314"/>
        <w:gridCol w:w="1314"/>
        <w:gridCol w:w="1331"/>
        <w:gridCol w:w="109"/>
        <w:gridCol w:w="109"/>
        <w:gridCol w:w="109"/>
        <w:gridCol w:w="377"/>
        <w:gridCol w:w="377"/>
        <w:gridCol w:w="536"/>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47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Aballi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 2025</w:t>
            </w:r>
          </w:p>
        </w:tc>
      </w:tr>
      <w:tr>
        <w:trPr/>
        <w:tc>
          <w:tcPr>
            <w:tcW w:w="2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Aballi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G.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 2025</w:t>
            </w:r>
          </w:p>
        </w:tc>
      </w:tr>
      <w:tr>
        <w:trPr/>
        <w:tc>
          <w:tcPr>
            <w:tcW w:w="2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G.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Tina S. Nova,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 2025</w:t>
            </w:r>
          </w:p>
        </w:tc>
      </w:tr>
      <w:tr>
        <w:trPr/>
        <w:tc>
          <w:tcPr>
            <w:tcW w:w="2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Tina S. Nova,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Ana Hooker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 2025</w:t>
            </w:r>
          </w:p>
        </w:tc>
      </w:tr>
      <w:tr>
        <w:trPr/>
        <w:tc>
          <w:tcPr>
            <w:tcW w:w="2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Ana Hooker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Kahn,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 2025</w:t>
            </w:r>
          </w:p>
        </w:tc>
      </w:tr>
      <w:tr>
        <w:trPr/>
        <w:tc>
          <w:tcPr>
            <w:tcW w:w="2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Kahn,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 2025</w:t>
            </w:r>
          </w:p>
        </w:tc>
      </w:tr>
      <w:tr>
        <w:trPr/>
        <w:tc>
          <w:tcPr>
            <w:tcW w:w="2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Paul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Bruce C. Robertson,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 2025</w:t>
            </w:r>
          </w:p>
        </w:tc>
      </w:tr>
      <w:tr>
        <w:trPr/>
        <w:tc>
          <w:tcPr>
            <w:tcW w:w="2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Bruce C. Robertson,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Frank Stokes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 2025</w:t>
            </w:r>
          </w:p>
        </w:tc>
      </w:tr>
      <w:tr>
        <w:trPr/>
        <w:tc>
          <w:tcPr>
            <w:tcW w:w="24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Frank Stokes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5.1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65" w:type="dxa"/>
        <w:jc w:val="left"/>
        <w:tblInd w:w="0" w:type="dxa"/>
        <w:tblLayout w:type="fixed"/>
        <w:tblCellMar>
          <w:top w:w="28" w:type="dxa"/>
          <w:left w:w="28" w:type="dxa"/>
          <w:bottom w:w="28" w:type="dxa"/>
          <w:right w:w="28" w:type="dxa"/>
        </w:tblCellMar>
      </w:tblPr>
      <w:tblGrid>
        <w:gridCol w:w="124"/>
        <w:gridCol w:w="109"/>
        <w:gridCol w:w="109"/>
        <w:gridCol w:w="467"/>
        <w:gridCol w:w="467"/>
        <w:gridCol w:w="470"/>
        <w:gridCol w:w="649"/>
        <w:gridCol w:w="649"/>
        <w:gridCol w:w="9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drawing>
                <wp:inline distT="0" distB="0" distL="0" distR="0">
                  <wp:extent cx="800100" cy="10096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1"/>
                          <a:stretch>
                            <a:fillRect/>
                          </a:stretch>
                        </pic:blipFill>
                        <pic:spPr bwMode="auto">
                          <a:xfrm>
                            <a:off x="0" y="0"/>
                            <a:ext cx="800100" cy="1009650"/>
                          </a:xfrm>
                          <a:prstGeom prst="rect">
                            <a:avLst/>
                          </a:prstGeom>
                        </pic:spPr>
                      </pic:pic>
                    </a:graphicData>
                  </a:graphic>
                </wp:inline>
              </w:drawing>
            </w:r>
            <w:r>
              <w:rPr>
                <w:color w:val="000000"/>
              </w:rPr>
              <w:t xml:space="preserve"> </w:t>
            </w:r>
          </w:p>
        </w:tc>
        <w:tc>
          <w:tcPr>
            <w:tcW w:w="2219" w:type="dxa"/>
            <w:gridSpan w:val="3"/>
            <w:tcBorders/>
            <w:tcMar>
              <w:top w:w="0" w:type="dxa"/>
              <w:left w:w="0" w:type="dxa"/>
              <w:bottom w:w="0" w:type="dxa"/>
              <w:right w:w="0" w:type="dxa"/>
            </w:tcMar>
            <w:vAlign w:val="center"/>
          </w:tcPr>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3580 Carmel Mountain Road</w:t>
            </w:r>
          </w:p>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Suite 300</w:t>
            </w:r>
          </w:p>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San Diego, CA 92130</w:t>
            </w:r>
          </w:p>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858 314 1500</w:t>
            </w:r>
          </w:p>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Mintz.com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810"/>
        <w:jc w:val="right"/>
        <w:rPr>
          <w:rFonts w:ascii="Times New Roman;sans-serif" w:hAnsi="Times New Roman;sans-serif"/>
          <w:b w:val="false"/>
          <w:color w:val="000000"/>
          <w:sz w:val="22"/>
        </w:rPr>
      </w:pPr>
      <w:r>
        <w:rPr>
          <w:rFonts w:ascii="Times New Roman;sans-serif" w:hAnsi="Times New Roman;sans-serif"/>
          <w:b w:val="false"/>
          <w:color w:val="000000"/>
          <w:sz w:val="22"/>
        </w:rPr>
        <w:t>May 20, 2025</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Exagen Inc.</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1261 Liberty Way</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Vista, CA 92081</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bidi w:val="0"/>
        <w:spacing w:lineRule="auto" w:line="288" w:before="0" w:after="240"/>
        <w:ind w:left="0" w:right="0" w:firstLine="941"/>
        <w:jc w:val="both"/>
        <w:rPr/>
      </w:pPr>
      <w:r>
        <w:rPr>
          <w:rFonts w:ascii="Times New Roman;sans-serif" w:hAnsi="Times New Roman;sans-serif"/>
          <w:b w:val="false"/>
          <w:color w:val="000000"/>
          <w:sz w:val="22"/>
        </w:rPr>
        <w:t>We have acted as legal counsel to Exagen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882,016</w:t>
      </w:r>
      <w:r>
        <w:rPr>
          <w:color w:val="000000"/>
        </w:rPr>
        <w:t xml:space="preserve"> </w:t>
      </w:r>
      <w:r>
        <w:rPr>
          <w:rFonts w:ascii="Times New Roman;sans-serif" w:hAnsi="Times New Roman;sans-serif"/>
          <w:b w:val="false"/>
          <w:color w:val="000000"/>
          <w:sz w:val="22"/>
        </w:rPr>
        <w:t>shares (the “Shares”) of the Company’s common stock, $0.001 par value per share, in accordance with the terms of the Exagen Inc. 2019 Incentive Award Plan and the Exagen Inc. 2019 Employee Stock Purchase Plan (together, the “Plans”). This opinion is being rendered in connection with the filing of the Registration Statement with the Commission.</w:t>
      </w:r>
    </w:p>
    <w:p>
      <w:pPr>
        <w:pStyle w:val="TextBody"/>
        <w:bidi w:val="0"/>
        <w:spacing w:lineRule="auto" w:line="288"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this opinion, we have examined the Company’s Amended and Restated Certificate of Incorporation and Amended and Restated Bylaws, each as currently in effect; such other records of the corporate proceedings of the Company and certificates of the Company’s officers as we have deemed relevant; and the Registration Statement and the exhibits thereto.</w:t>
      </w:r>
    </w:p>
    <w:p>
      <w:pPr>
        <w:pStyle w:val="TextBody"/>
        <w:bidi w:val="0"/>
        <w:spacing w:lineRule="auto" w:line="288"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Plans.</w:t>
      </w:r>
    </w:p>
    <w:p>
      <w:pPr>
        <w:pStyle w:val="TextBody"/>
        <w:bidi w:val="0"/>
        <w:spacing w:lineRule="auto" w:line="288"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pStyle w:val="TextBody"/>
        <w:bidi w:val="0"/>
        <w:spacing w:lineRule="auto" w:line="288"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lineRule="auto" w:line="240" w:before="0" w:after="240"/>
        <w:jc w:val="left"/>
        <w:rPr>
          <w:rFonts w:ascii="Arial;sans-serif" w:hAnsi="Arial;sans-serif"/>
          <w:b/>
          <w:color w:val="000000"/>
          <w:sz w:val="20"/>
        </w:rPr>
      </w:pPr>
      <w:r>
        <w:rPr>
          <w:rFonts w:ascii="Arial;sans-serif" w:hAnsi="Arial;sans-serif"/>
          <w:b/>
          <w:color w:val="000000"/>
          <w:sz w:val="20"/>
        </w:rPr>
        <w:t>MINTZ</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1415"/>
                <wp:effectExtent l="0" t="0" r="0" b="0"/>
                <wp:wrapNone/>
                <wp:docPr id="8" name="Frame7"/>
                <a:graphic xmlns:a="http://schemas.openxmlformats.org/drawingml/2006/main">
                  <a:graphicData uri="http://schemas.microsoft.com/office/word/2010/wordprocessingShape">
                    <wps:wsp>
                      <wps:cNvSpPr txBox="1"/>
                      <wps:spPr>
                        <a:xfrm>
                          <a:off x="0" y="0"/>
                          <a:ext cx="6480175" cy="1161415"/>
                        </a:xfrm>
                        <a:prstGeom prst="rect"/>
                        <a:solidFill>
                          <a:srgbClr val="FFFFFF"/>
                        </a:solidFill>
                      </wps:spPr>
                      <wps:txbx>
                        <w:txbxContent>
                          <w:tbl>
                            <w:tblPr>
                              <w:tblW w:w="7935" w:type="dxa"/>
                              <w:jc w:val="left"/>
                              <w:tblInd w:w="0" w:type="dxa"/>
                              <w:tblLayout w:type="fixed"/>
                              <w:tblCellMar>
                                <w:top w:w="28" w:type="dxa"/>
                                <w:left w:w="28" w:type="dxa"/>
                                <w:bottom w:w="28" w:type="dxa"/>
                                <w:right w:w="28" w:type="dxa"/>
                              </w:tblCellMar>
                            </w:tblPr>
                            <w:tblGrid>
                              <w:gridCol w:w="2540"/>
                              <w:gridCol w:w="2230"/>
                              <w:gridCol w:w="3165"/>
                            </w:tblGrid>
                            <w:tr>
                              <w:trPr/>
                              <w:tc>
                                <w:tcPr>
                                  <w:tcW w:w="2540" w:type="dxa"/>
                                  <w:tcBorders/>
                                  <w:vAlign w:val="center"/>
                                </w:tcPr>
                                <w:p>
                                  <w:pPr>
                                    <w:pStyle w:val="TableContents"/>
                                    <w:bidi w:val="0"/>
                                    <w:spacing w:before="0" w:after="283"/>
                                    <w:jc w:val="left"/>
                                    <w:rPr>
                                      <w:sz w:val="4"/>
                                      <w:szCs w:val="4"/>
                                    </w:rPr>
                                  </w:pPr>
                                  <w:r>
                                    <w:rPr>
                                      <w:sz w:val="4"/>
                                      <w:szCs w:val="4"/>
                                    </w:rPr>
                                  </w:r>
                                  <w:r>
                                    <w:br w:type="page"/>
                                  </w:r>
                                </w:p>
                              </w:tc>
                              <w:tc>
                                <w:tcPr>
                                  <w:tcW w:w="2230"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40"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45pt;mso-wrap-distance-left:0pt;mso-wrap-distance-right:0pt;mso-wrap-distance-top:0pt;mso-wrap-distance-bottom:0pt;margin-top:0pt;mso-position-vertical:top;mso-position-vertical-relative:text;margin-left:0pt;mso-position-horizontal:left;mso-position-horizontal-relative:text">
                <v:textbox>
                  <w:txbxContent>
                    <w:tbl>
                      <w:tblPr>
                        <w:tblW w:w="7935" w:type="dxa"/>
                        <w:jc w:val="left"/>
                        <w:tblInd w:w="0" w:type="dxa"/>
                        <w:tblLayout w:type="fixed"/>
                        <w:tblCellMar>
                          <w:top w:w="28" w:type="dxa"/>
                          <w:left w:w="28" w:type="dxa"/>
                          <w:bottom w:w="28" w:type="dxa"/>
                          <w:right w:w="28" w:type="dxa"/>
                        </w:tblCellMar>
                      </w:tblPr>
                      <w:tblGrid>
                        <w:gridCol w:w="2540"/>
                        <w:gridCol w:w="2230"/>
                        <w:gridCol w:w="3165"/>
                      </w:tblGrid>
                      <w:tr>
                        <w:trPr/>
                        <w:tc>
                          <w:tcPr>
                            <w:tcW w:w="254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40"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May 20, 2025</w:t>
      </w:r>
    </w:p>
    <w:p>
      <w:pPr>
        <w:pStyle w:val="TextBody"/>
        <w:bidi w:val="0"/>
        <w:spacing w:lineRule="auto" w:line="240" w:before="0" w:after="0"/>
        <w:jc w:val="left"/>
        <w:rPr/>
      </w:pPr>
      <w:r>
        <w:rPr>
          <w:rFonts w:ascii="Times New Roman;sans-serif" w:hAnsi="Times New Roman;sans-serif"/>
          <w:b w:val="false"/>
          <w:color w:val="000000"/>
          <w:sz w:val="22"/>
        </w:rPr>
        <w:t>Page 2</w:t>
      </w:r>
      <w:r>
        <w:rPr>
          <w:color w:val="000000"/>
        </w:rPr>
        <w:t>    </w:t>
      </w:r>
    </w:p>
    <w:p>
      <w:pPr>
        <w:pStyle w:val="TextBody"/>
        <w:bidi w:val="0"/>
        <w:spacing w:before="0" w:after="0"/>
        <w:jc w:val="right"/>
        <w:rPr/>
      </w:pPr>
      <w:r>
        <w:rPr/>
        <w:drawing>
          <wp:inline distT="0" distB="0" distL="0" distR="0">
            <wp:extent cx="409575" cy="5143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22"/>
                    <a:stretch>
                      <a:fillRect/>
                    </a:stretch>
                  </pic:blipFill>
                  <pic:spPr bwMode="auto">
                    <a:xfrm>
                      <a:off x="0" y="0"/>
                      <a:ext cx="409575" cy="514350"/>
                    </a:xfrm>
                    <a:prstGeom prst="rect">
                      <a:avLst/>
                    </a:prstGeom>
                  </pic:spPr>
                </pic:pic>
              </a:graphicData>
            </a:graphic>
          </wp:inline>
        </w:drawing>
      </w:r>
    </w:p>
    <w:p>
      <w:pPr>
        <w:pStyle w:val="TextBody"/>
        <w:bidi w:val="0"/>
        <w:spacing w:lineRule="auto" w:line="288"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Based upon the foregoing, we are of the opinion that the Shares, when issued and delivered in accordance with the terms of the Plans, will be validly issued, fully paid and non-assessable.</w:t>
      </w:r>
    </w:p>
    <w:p>
      <w:pPr>
        <w:pStyle w:val="TextBody"/>
        <w:bidi w:val="0"/>
        <w:spacing w:lineRule="auto" w:line="288"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tbl>
      <w:tblPr>
        <w:tblW w:w="63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37"/>
        <w:gridCol w:w="837"/>
        <w:gridCol w:w="837"/>
        <w:gridCol w:w="837"/>
        <w:gridCol w:w="837"/>
        <w:gridCol w:w="1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Mintz, Levin, Cohn, Ferris, Glovsky and Popeo, P.C.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Mintz, Levin, Cohn, Ferris, Glovsky and Popeo, P.C.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u w:val="single"/>
        </w:rPr>
      </w:pPr>
      <w:r>
        <w:rPr>
          <w:rFonts w:ascii="sans-serif" w:hAnsi="sans-serif"/>
          <w:b/>
          <w:color w:val="000000"/>
          <w:sz w:val="22"/>
          <w:u w:val="single"/>
        </w:rPr>
        <w:t>Consent of Independent Registered Public Accounting Firm</w:t>
      </w:r>
    </w:p>
    <w:p>
      <w:pPr>
        <w:pStyle w:val="TextBody"/>
        <w:bidi w:val="0"/>
        <w:spacing w:before="240" w:after="283"/>
        <w:jc w:val="both"/>
        <w:rPr/>
      </w:pPr>
      <w:r>
        <w:rPr/>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 xml:space="preserve">We hereby consent to the incorporation by reference in this Registration Statement of our report dated March 11, 2025, relating to the financial statements of Exagen Inc. (the “Company”) appearing in the Company’s Annual Report on Form 10-K for the year ended December 31, 2024. </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/s/ BDO USA, P.C.</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San Diego, California</w:t>
      </w:r>
    </w:p>
    <w:p>
      <w:pPr>
        <w:pStyle w:val="TextBody"/>
        <w:bidi w:val="0"/>
        <w:spacing w:lineRule="auto" w:line="288" w:before="0" w:after="1"/>
        <w:jc w:val="both"/>
        <w:rPr>
          <w:rFonts w:ascii="sans-serif" w:hAnsi="sans-serif"/>
          <w:b w:val="false"/>
          <w:color w:val="000000"/>
          <w:sz w:val="22"/>
        </w:rPr>
      </w:pPr>
      <w:r>
        <w:rPr>
          <w:rFonts w:ascii="sans-serif" w:hAnsi="sans-serif"/>
          <w:b w:val="false"/>
          <w:color w:val="000000"/>
          <w:sz w:val="22"/>
        </w:rPr>
        <w:t>May 20, 2025</w:t>
      </w:r>
    </w:p>
    <w:p>
      <w:pPr>
        <w:pStyle w:val="TextBody"/>
        <w:bidi w:val="0"/>
        <w:spacing w:before="240" w:after="1"/>
        <w:ind w:left="0" w:right="0" w:hanging="4"/>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107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Calculation of Filing Fee Table </w:t>
      </w:r>
    </w:p>
    <w:p>
      <w:pPr>
        <w:pStyle w:val="TextBody"/>
        <w:bidi w:val="0"/>
        <w:spacing w:lineRule="auto" w:line="240"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Form S-8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 Type) </w:t>
      </w:r>
    </w:p>
    <w:p>
      <w:pPr>
        <w:pStyle w:val="TextBody"/>
        <w:bidi w:val="0"/>
        <w:spacing w:lineRule="auto" w:line="240"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Exagen Inc.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Table 1: Newly Registered </w:t>
      </w:r>
    </w:p>
    <w:tbl>
      <w:tblPr>
        <w:tblW w:w="10205" w:type="dxa"/>
        <w:jc w:val="left"/>
        <w:tblInd w:w="0" w:type="dxa"/>
        <w:tblLayout w:type="fixed"/>
        <w:tblCellMar>
          <w:top w:w="28" w:type="dxa"/>
          <w:left w:w="28" w:type="dxa"/>
          <w:bottom w:w="28" w:type="dxa"/>
          <w:right w:w="28" w:type="dxa"/>
        </w:tblCellMar>
      </w:tblPr>
      <w:tblGrid>
        <w:gridCol w:w="312"/>
        <w:gridCol w:w="249"/>
        <w:gridCol w:w="250"/>
        <w:gridCol w:w="823"/>
        <w:gridCol w:w="758"/>
        <w:gridCol w:w="716"/>
        <w:gridCol w:w="358"/>
        <w:gridCol w:w="358"/>
        <w:gridCol w:w="359"/>
        <w:gridCol w:w="363"/>
        <w:gridCol w:w="363"/>
        <w:gridCol w:w="364"/>
        <w:gridCol w:w="389"/>
        <w:gridCol w:w="389"/>
        <w:gridCol w:w="390"/>
        <w:gridCol w:w="449"/>
        <w:gridCol w:w="449"/>
        <w:gridCol w:w="422"/>
        <w:gridCol w:w="364"/>
        <w:gridCol w:w="364"/>
        <w:gridCol w:w="368"/>
        <w:gridCol w:w="392"/>
        <w:gridCol w:w="392"/>
        <w:gridCol w:w="564"/>
      </w:tblGrid>
      <w:tr>
        <w:trPr/>
        <w:tc>
          <w:tcPr>
            <w:tcW w:w="3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Security Type</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Security Class Title</w:t>
            </w:r>
          </w:p>
        </w:tc>
        <w:tc>
          <w:tcPr>
            <w:tcW w:w="1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Fee Calculation Rule</w:t>
            </w:r>
          </w:p>
        </w:tc>
        <w:tc>
          <w:tcPr>
            <w:tcW w:w="10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Amount Registered(1)</w:t>
            </w:r>
          </w:p>
        </w:tc>
        <w:tc>
          <w:tcPr>
            <w:tcW w:w="11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Proposed Maximum</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Offering Price Per Unit(4)</w:t>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Maximum Aggregate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Offering Price</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Fee Rate</w:t>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Amount of Registration Fee</w:t>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Common Stock, par value $0.001 per share</w:t>
            </w:r>
          </w:p>
        </w:tc>
        <w:tc>
          <w:tcPr>
            <w:tcW w:w="1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457(c)</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457(h)</w:t>
            </w:r>
          </w:p>
        </w:tc>
        <w:tc>
          <w:tcPr>
            <w:tcW w:w="10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705,613 (2)</w:t>
            </w:r>
          </w:p>
        </w:tc>
        <w:tc>
          <w:tcPr>
            <w:tcW w:w="11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$5.835</w:t>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$4,117,251.86</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$0.0001531</w:t>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$630.35</w:t>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22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Common Stock, par value $0.001 per share</w:t>
            </w:r>
          </w:p>
        </w:tc>
        <w:tc>
          <w:tcPr>
            <w:tcW w:w="10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457(c)</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457(h)</w:t>
            </w:r>
          </w:p>
        </w:tc>
        <w:tc>
          <w:tcPr>
            <w:tcW w:w="10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176,403 (3)</w:t>
            </w:r>
          </w:p>
        </w:tc>
        <w:tc>
          <w:tcPr>
            <w:tcW w:w="11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$5.835</w:t>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$1,029,311.51</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$0.0001531</w:t>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$157.59</w:t>
            </w:r>
          </w:p>
        </w:tc>
      </w:tr>
      <w:tr>
        <w:trPr/>
        <w:tc>
          <w:tcPr>
            <w:tcW w:w="5273" w:type="dxa"/>
            <w:gridSpan w:val="12"/>
            <w:tcBorders>
              <w:top w:val="single" w:sz="8" w:space="0" w:color="000000"/>
              <w:left w:val="single" w:sz="8" w:space="0" w:color="000000"/>
              <w:bottom w:val="single" w:sz="8" w:space="0" w:color="000000"/>
            </w:tcBorders>
            <w:tcMar>
              <w:top w:w="30" w:type="dxa"/>
              <w:left w:w="135" w:type="dxa"/>
              <w:bottom w:w="3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Offering Amount</w:t>
            </w:r>
          </w:p>
        </w:tc>
        <w:tc>
          <w:tcPr>
            <w:tcW w:w="11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$5,146,563.36</w:t>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$787.94</w:t>
            </w:r>
          </w:p>
        </w:tc>
      </w:tr>
      <w:tr>
        <w:trPr/>
        <w:tc>
          <w:tcPr>
            <w:tcW w:w="5273" w:type="dxa"/>
            <w:gridSpan w:val="12"/>
            <w:tcBorders>
              <w:top w:val="single" w:sz="8" w:space="0" w:color="000000"/>
              <w:left w:val="single" w:sz="8" w:space="0" w:color="000000"/>
              <w:bottom w:val="single" w:sz="8" w:space="0" w:color="000000"/>
            </w:tcBorders>
            <w:tcMar>
              <w:top w:w="30" w:type="dxa"/>
              <w:left w:w="135" w:type="dxa"/>
              <w:bottom w:w="3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Fees Previously Paid</w:t>
            </w:r>
          </w:p>
        </w:tc>
        <w:tc>
          <w:tcPr>
            <w:tcW w:w="11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color w:val="000000"/>
              </w:rPr>
            </w:pPr>
            <w:r>
              <w:rPr>
                <w:color w:val="000000"/>
              </w:rPr>
              <w:t>—</w:t>
            </w:r>
          </w:p>
        </w:tc>
      </w:tr>
      <w:tr>
        <w:trPr/>
        <w:tc>
          <w:tcPr>
            <w:tcW w:w="5273" w:type="dxa"/>
            <w:gridSpan w:val="12"/>
            <w:tcBorders>
              <w:top w:val="single" w:sz="8" w:space="0" w:color="000000"/>
              <w:left w:val="single" w:sz="8" w:space="0" w:color="000000"/>
              <w:bottom w:val="single" w:sz="8" w:space="0" w:color="000000"/>
            </w:tcBorders>
            <w:tcMar>
              <w:top w:w="30" w:type="dxa"/>
              <w:left w:w="135" w:type="dxa"/>
              <w:bottom w:w="3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Fee Offsets</w:t>
            </w:r>
          </w:p>
        </w:tc>
        <w:tc>
          <w:tcPr>
            <w:tcW w:w="11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color w:val="000000"/>
              </w:rPr>
            </w:pPr>
            <w:r>
              <w:rPr>
                <w:color w:val="000000"/>
              </w:rPr>
              <w:t>—</w:t>
            </w:r>
          </w:p>
        </w:tc>
      </w:tr>
      <w:tr>
        <w:trPr/>
        <w:tc>
          <w:tcPr>
            <w:tcW w:w="5273" w:type="dxa"/>
            <w:gridSpan w:val="12"/>
            <w:tcBorders>
              <w:top w:val="single" w:sz="8" w:space="0" w:color="000000"/>
              <w:left w:val="single" w:sz="8" w:space="0" w:color="000000"/>
              <w:bottom w:val="single" w:sz="8" w:space="0" w:color="000000"/>
            </w:tcBorders>
            <w:tcMar>
              <w:top w:w="30" w:type="dxa"/>
              <w:left w:w="135" w:type="dxa"/>
              <w:bottom w:w="3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Net Fee Due</w:t>
            </w:r>
          </w:p>
        </w:tc>
        <w:tc>
          <w:tcPr>
            <w:tcW w:w="116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$787.94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1"/>
        <w:gridCol w:w="2879"/>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Rule 416(a) under the Securities Act of 1933, as amended (the “Securities Act”), this Registration Statement also covers an indeterminate number of additional shares of common stock, par value $0.001 per share (“Common Stock”), of Exagen Inc. (the “Registrant”), which may be subject to grant or otherwise issuable after the operation of any anti-dilution and other provisions of the Registrant’s 2019 Incentive Award Plan (the “2019 Plan”), or the Registrant’s 2019 Employee Stock Purchase Plan (the “2019 ESPP”).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Represents an increase of 705,613 shares of Common Stock of the Registrant authorized for issuance for compensatory purposes only, as previously authorized under the 2019 Plan as of January 1, 2025, in connection with an “evergreen” provision in the 2019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Represents an increase of 176,403 shares of Common Stock of the Registrant authorized for issuance for compensatory purposes only, as previously authorized under the 2019 ESPP as of January 1, 2025, in connection with an “evergreen” provision in the 2019 ESPP.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solely for the purpose of calculating the amount of the registration fee pursuant to Rule 457(c) and Rule 457(h) promulgated under the Securities Act. The offering price per share and the aggregate offering price are based on the average of the high and the low price of the Registrant’s Common Stock as reported on The Nasdaq Global Market as of a date (May 14, 2025) within five business days prior to filing this Registration Statement.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274737/000127473725000019/exdx-20241231.htm" TargetMode="External"/><Relationship Id="rId3" Type="http://schemas.openxmlformats.org/officeDocument/2006/relationships/hyperlink" Target="https://www.sec.gov/ix?doc=/Archives/edgar/data/0001274737/000119312525105576/d920432ddef14a.htm" TargetMode="External"/><Relationship Id="rId4" Type="http://schemas.openxmlformats.org/officeDocument/2006/relationships/hyperlink" Target="https://www.sec.gov/ix?doc=/Archives/edgar/data/0001274737/000127473725000026/exdx-20250331.htm" TargetMode="External"/><Relationship Id="rId5" Type="http://schemas.openxmlformats.org/officeDocument/2006/relationships/hyperlink" Target="https://www.sec.gov/ix?doc=/Archives/edgar/data/0001274737/000127473725000003/exdx-20250112.htm" TargetMode="External"/><Relationship Id="rId6" Type="http://schemas.openxmlformats.org/officeDocument/2006/relationships/hyperlink" Target="https://www.sec.gov/ix?doc=/Archives/edgar/data/0001274737/000127473725000018/exdx-20250311.htm" TargetMode="External"/><Relationship Id="rId7" Type="http://schemas.openxmlformats.org/officeDocument/2006/relationships/hyperlink" Target="https://www.sec.gov/ix?doc=/Archives/edgar/data/0001274737/000119312525100447/d811854d8k.htm" TargetMode="External"/><Relationship Id="rId8" Type="http://schemas.openxmlformats.org/officeDocument/2006/relationships/hyperlink" Target="https://www.sec.gov/ix?doc=/Archives/edgar/data/0001274737/000127473725000023/exdx-20250505.htm" TargetMode="External"/><Relationship Id="rId9" Type="http://schemas.openxmlformats.org/officeDocument/2006/relationships/hyperlink" Target="https://www.sec.gov/ix?doc=/Archives/edgar/data/0001274737/000119312525115946/d788679d8k.htm" TargetMode="External"/><Relationship Id="rId10" Type="http://schemas.openxmlformats.org/officeDocument/2006/relationships/hyperlink" Target="https://www.sec.gov/ix?doc=/Archives/edgar/data/0001274737/000119312525116881/d916977d8k.htm" TargetMode="External"/><Relationship Id="rId11" Type="http://schemas.openxmlformats.org/officeDocument/2006/relationships/hyperlink" Target="https://www.sec.gov/ix?doc=/Archives/edgar/data/0001274737/000119312525116881/d916977d8k.htm" TargetMode="External"/><Relationship Id="rId12" Type="http://schemas.openxmlformats.org/officeDocument/2006/relationships/hyperlink" Target="https://www.sec.gov/Archives/edgar/data/1274737/000119312519244881/d756255d8a12b.htm" TargetMode="External"/><Relationship Id="rId13" Type="http://schemas.openxmlformats.org/officeDocument/2006/relationships/hyperlink" Target="https://www.sec.gov/Archives/edgar/data/1274737/000119312519252366/d769261dex31.htm" TargetMode="External"/><Relationship Id="rId14" Type="http://schemas.openxmlformats.org/officeDocument/2006/relationships/hyperlink" Target="https://www.sec.gov/Archives/edgar/data/1274737/000127473721000017/ex31-amendedandrestatedbyl.htm" TargetMode="External"/><Relationship Id="rId15" Type="http://schemas.openxmlformats.org/officeDocument/2006/relationships/hyperlink" Target="https://www.sec.gov/Archives/edgar/data/1274737/000127473723000004/exhibit-exagenxamendmentto.htm" TargetMode="External"/><Relationship Id="rId16" Type="http://schemas.openxmlformats.org/officeDocument/2006/relationships/hyperlink" Target="https://www.sec.gov/Archives/edgar/data/1274737/000119312519240403/d692844dex41.htm" TargetMode="External"/><Relationship Id="rId17" Type="http://schemas.openxmlformats.org/officeDocument/2006/relationships/hyperlink" Target="https://www.sec.gov/Archives/edgar/data/1274737/000119312519240403/d692844dex103.htm" TargetMode="External"/><Relationship Id="rId18" Type="http://schemas.openxmlformats.org/officeDocument/2006/relationships/hyperlink" Target="https://www.sec.gov/Archives/edgar/data/1274737/000119312519240403/d692844dex104.htm" TargetMode="External"/><Relationship Id="rId19" Type="http://schemas.openxmlformats.org/officeDocument/2006/relationships/hyperlink" Target="https://www.sec.gov/Archives/edgar/data/1274737/000127473721000015/ex105-formofrsuagreement20.htm" TargetMode="External"/><Relationship Id="rId20" Type="http://schemas.openxmlformats.org/officeDocument/2006/relationships/hyperlink" Target="https://www.sec.gov/Archives/edgar/data/1274737/000119312519240403/d692844dex105.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2465</Words>
  <Characters>13245</Characters>
  <CharactersWithSpaces>15498</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