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Exagen Inc. (the "Company") held its 2024 annual meeting of stockholders (the "Annual Meeting") on June 10, 2024. At the Annual Meeting, the Company's stockholders voted on two proposals, as described below. Each of the proposals was described in detail in the Company's definitive proxy statement on Schedule 14A filed with the U.S. Securities and Exchange Commission on April 26, 2024. The vote totals noted below are final voting results from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1</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three Class II directors for a three-year term of office expiring at the Company's 2027 annual meeting of stockholders and until their successors are duly elected and qualified or until such director's earlier death, resignation or removal.</w:t>
      </w:r>
    </w:p>
    <w:p>
      <w:pPr>
        <w:spacing w:after="0" w:line="135"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3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45"/>
        </w:trPr>
        <w:tc>
          <w:tcPr>
            <w:tcW w:w="20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Ana Hooker</w:t>
            </w:r>
          </w:p>
        </w:tc>
        <w:tc>
          <w:tcPr>
            <w:tcW w:w="18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7"/>
              </w:rPr>
              <w:t>7,720,706</w:t>
            </w:r>
          </w:p>
        </w:tc>
        <w:tc>
          <w:tcPr>
            <w:tcW w:w="940" w:type="dxa"/>
            <w:vAlign w:val="bottom"/>
          </w:tcPr>
          <w:p>
            <w:pPr>
              <w:spacing w:after="0"/>
              <w:rPr>
                <w:sz w:val="21"/>
                <w:szCs w:val="21"/>
                <w:color w:val="auto"/>
              </w:rPr>
            </w:pPr>
          </w:p>
        </w:tc>
        <w:tc>
          <w:tcPr>
            <w:tcW w:w="2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338,816</w:t>
            </w:r>
          </w:p>
        </w:tc>
        <w:tc>
          <w:tcPr>
            <w:tcW w:w="12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3,839,742</w:t>
            </w:r>
          </w:p>
        </w:tc>
      </w:tr>
      <w:tr>
        <w:trPr>
          <w:trHeight w:val="230"/>
        </w:trPr>
        <w:tc>
          <w:tcPr>
            <w:tcW w:w="20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Paul Kim</w:t>
            </w:r>
          </w:p>
        </w:tc>
        <w:tc>
          <w:tcPr>
            <w:tcW w:w="18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7"/>
              </w:rPr>
              <w:t>8,037,137</w:t>
            </w:r>
          </w:p>
        </w:tc>
        <w:tc>
          <w:tcPr>
            <w:tcW w:w="940" w:type="dxa"/>
            <w:vAlign w:val="bottom"/>
          </w:tcPr>
          <w:p>
            <w:pPr>
              <w:spacing w:after="0"/>
              <w:rPr>
                <w:sz w:val="19"/>
                <w:szCs w:val="19"/>
                <w:color w:val="auto"/>
              </w:rPr>
            </w:pPr>
          </w:p>
        </w:tc>
        <w:tc>
          <w:tcPr>
            <w:tcW w:w="2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22,385</w:t>
            </w:r>
          </w:p>
        </w:tc>
        <w:tc>
          <w:tcPr>
            <w:tcW w:w="1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3,839,742</w:t>
            </w:r>
          </w:p>
        </w:tc>
      </w:tr>
      <w:tr>
        <w:trPr>
          <w:trHeight w:val="234"/>
        </w:trPr>
        <w:tc>
          <w:tcPr>
            <w:tcW w:w="208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9"/>
              </w:rPr>
              <w:t>Frank Stokes</w:t>
            </w:r>
          </w:p>
        </w:tc>
        <w:tc>
          <w:tcPr>
            <w:tcW w:w="18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7"/>
              </w:rPr>
              <w:t>7,970,534</w:t>
            </w:r>
          </w:p>
        </w:tc>
        <w:tc>
          <w:tcPr>
            <w:tcW w:w="940" w:type="dxa"/>
            <w:vAlign w:val="bottom"/>
          </w:tcPr>
          <w:p>
            <w:pPr>
              <w:spacing w:after="0"/>
              <w:rPr>
                <w:sz w:val="20"/>
                <w:szCs w:val="20"/>
                <w:color w:val="auto"/>
              </w:rPr>
            </w:pPr>
          </w:p>
        </w:tc>
        <w:tc>
          <w:tcPr>
            <w:tcW w:w="2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88,988</w:t>
            </w:r>
          </w:p>
        </w:tc>
        <w:tc>
          <w:tcPr>
            <w:tcW w:w="12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3,839,742</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2</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BDO USA, P.C. as the Company's independent registered public accounting firm for the fiscal year ending December 31,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8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4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400" w:type="dxa"/>
            <w:vAlign w:val="bottom"/>
          </w:tcPr>
          <w:p>
            <w:pPr>
              <w:spacing w:after="0"/>
              <w:rPr>
                <w:sz w:val="17"/>
                <w:szCs w:val="17"/>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02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11,798,192</w:t>
            </w: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19,271</w:t>
            </w:r>
          </w:p>
        </w:tc>
        <w:tc>
          <w:tcPr>
            <w:tcW w:w="94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81,801</w:t>
            </w:r>
          </w:p>
        </w:tc>
        <w:tc>
          <w:tcPr>
            <w:tcW w:w="1400" w:type="dxa"/>
            <w:vAlign w:val="bottom"/>
          </w:tcPr>
          <w:p>
            <w:pPr>
              <w:spacing w:after="0"/>
              <w:rPr>
                <w:sz w:val="21"/>
                <w:szCs w:val="21"/>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t>
            </w:r>
          </w:p>
        </w:tc>
      </w:tr>
      <w:tr>
        <w:trPr>
          <w:trHeight w:val="1573"/>
        </w:trPr>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2024-06-11T15:11:55Z</dcterms:created>
  <dcterms:modified xsi:type="dcterms:W3CDTF">2024-06-11T15:11:55Z</dcterms:modified>
</cp:coreProperties>
</file>