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Adawi Kamal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5"/>
        <w:spacing w:after="0"/>
        <w:rPr>
          <w:sz w:val="20"/>
          <w:szCs w:val="20"/>
          <w:color w:val="auto"/>
        </w:rPr>
      </w:pPr>
      <w:r>
        <w:rPr>
          <w:rFonts w:ascii="Arial" w:cs="Arial" w:eastAsia="Arial" w:hAnsi="Arial"/>
          <w:sz w:val="17"/>
          <w:szCs w:val="17"/>
          <w:color w:val="0000FF"/>
        </w:rPr>
        <w:t>CFO and Corporate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VISTA</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92081</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03/02/2023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9"/>
              </w:rPr>
              <w:t>3,667</w:t>
            </w:r>
            <w:r>
              <w:rPr>
                <w:rFonts w:ascii="Arial" w:cs="Arial" w:eastAsia="Arial" w:hAnsi="Arial"/>
                <w:sz w:val="22"/>
                <w:szCs w:val="22"/>
                <w:color w:val="008000"/>
                <w:w w:val="99"/>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2.2993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188,271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sold by the reporting person to generate proceeds used to satisfy the tax withholding obligation that arose upon the vesting of certain restricted stock units granted to the reporting person on February 23, 2021.</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Kamal Adawi</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03/03/2023</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393"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2023-03-03T18:47:11Z</dcterms:created>
  <dcterms:modified xsi:type="dcterms:W3CDTF">2023-03-03T18:47:11Z</dcterms:modified>
</cp:coreProperties>
</file>