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8-K/A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(Amendment No. 1)</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of the Securities Exchange Act of 1934 </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July 31, 2024 </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 xml:space="preserve">EXAGEN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001-39049</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20-0434866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1261 Liberty Way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Vista, CA 92081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(Zip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(760) 560-1501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w:t>
      </w:r>
    </w:p>
    <w:tbl>
      <w:tblPr>
        <w:tblW w:w="9887" w:type="dxa"/>
        <w:jc w:val="left"/>
        <w:tblInd w:w="0" w:type="dxa"/>
        <w:tblLayout w:type="fixed"/>
        <w:tblCellMar>
          <w:top w:w="28" w:type="dxa"/>
          <w:left w:w="28" w:type="dxa"/>
          <w:bottom w:w="28" w:type="dxa"/>
          <w:right w:w="28" w:type="dxa"/>
        </w:tblCellMar>
      </w:tblPr>
      <w:tblGrid>
        <w:gridCol w:w="124"/>
        <w:gridCol w:w="109"/>
        <w:gridCol w:w="109"/>
        <w:gridCol w:w="1012"/>
        <w:gridCol w:w="1012"/>
        <w:gridCol w:w="1012"/>
        <w:gridCol w:w="1896"/>
        <w:gridCol w:w="1896"/>
        <w:gridCol w:w="27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37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7703"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720"/>
        <w:gridCol w:w="720"/>
        <w:gridCol w:w="1020"/>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XGN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Market</w:t>
            </w:r>
          </w:p>
        </w:tc>
      </w:tr>
    </w:tbl>
    <w:p>
      <w:pPr>
        <w:pStyle w:val="TextBody"/>
        <w:bidi w:val="0"/>
        <w:spacing w:lineRule="auto" w:line="288" w:before="200" w:after="283"/>
        <w:jc w:val="left"/>
        <w:rPr/>
      </w:pPr>
      <w:r>
        <w:rPr>
          <w:rFonts w:ascii="Times New Roman;sans-serif" w:hAnsi="Times New Roman;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20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EXPLANATORY NOTE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Exagen Inc. (the “Company”) is filing this amended Current Report on Form 8-K/A to amend the Current Report on Form 8-K previously filed with the U.S. Securities and Exchange Commission (“SEC”) on August 2, 2024 (the “Prior 8-K”) to, among other things, correct the signature page of the Prior 8-K with respect to the date and the identity of the officer on the signature page of the Prior 8-K and to correct the effective date of Mr. Adawi’s termination previously disclosed in the Prior 8-K.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5.02. Departure of Directors or Certain Officers; Election of Directors; Appointment of Certain Officers; Compensatory Arrangements of Certain Officers.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2024, the Company appointed, effective as of September 1, 2024, Jeffrey Black to serve as the Company’s Chief Financial Officer and principal financial officer for SEC reporting purposes. Mr. Black currently serves as Chief Financial Officer of Standard BioTools Inc., a publicly traded, biological research equipment company. Previously to this role, Mr. Black served as Senior Vice President and Chief Financial Officer of Apollo Endosurgery Inc., a publicly traded, medical technology company focused on endoscopic therapies for gastrointestinal conditions and interventional treatment of obesity, from August 2021 until April 2023, when Apollo was acquired by Boston Scientific. Prior to joining Apollo, he served as Executive Vice President and Chief Financial Officer of Alphatec Holdings, Inc., a publicly traded, medical technology company focused on the surgical treatment of spinal disorders, from March 2017 to April 2021. Prior to joining Alphatec, Mr. Black was Senior Vice President and Chief Financial Officer of Applied Proteomics, Inc., a proteomics-based diagnostics company, Senior Vice President and Chief Financial Officer of AltheaDx, Inc., a pharmacogenetics diagnostics company, and Senior Vice President and Chief Financial Officer of Verenium Corporation, an industrial biotechnology company. Mr. Black began his career at Ernst &amp; Young LLP. Mr. Black is a member of the board of directors of Cellana, Inc., a privately held company and developer of algae-based bioproducts, where he serves as chairperson of the audit committee. Mr. Black received his B.S. in Business from the University of Arizona.</w:t>
      </w:r>
    </w:p>
    <w:p>
      <w:pPr>
        <w:pStyle w:val="TextBody"/>
        <w:bidi w:val="0"/>
        <w:spacing w:lineRule="auto" w:line="288" w:before="240" w:after="283"/>
        <w:jc w:val="both"/>
        <w:rPr/>
      </w:pPr>
      <w:r>
        <w:rPr>
          <w:rFonts w:ascii="Times New Roman;sans-serif" w:hAnsi="Times New Roman;sans-serif"/>
          <w:b w:val="false"/>
          <w:color w:val="000000"/>
          <w:sz w:val="20"/>
        </w:rPr>
        <w:t>Mr. Black’s appointment was made pursuant to an</w:t>
      </w:r>
      <w:r>
        <w:rPr>
          <w:color w:val="000000"/>
          <w:shd w:fill="FFFFFF" w:val="clear"/>
        </w:rPr>
        <w:t xml:space="preserve"> </w:t>
      </w:r>
      <w:r>
        <w:rPr>
          <w:rFonts w:ascii="Times New Roman;sans-serif" w:hAnsi="Times New Roman;sans-serif"/>
          <w:b w:val="false"/>
          <w:color w:val="000000"/>
          <w:sz w:val="20"/>
          <w:shd w:fill="FFFFFF" w:val="clear"/>
        </w:rPr>
        <w:t xml:space="preserve">Employment Agreement by and between the Company and Mr. Black (the “Employment Agreement”). Pursuant to the terms of the Employment Agreement, Mr. Black’s employment term will commence on September 1, 2024 and continue until terminated by Mr. Black or the Company following 30 days’ notice. Mr. Black will be entitled to an annual base salary of $460,000, a signing bonus of $125,000, an annual target performance bonus of up to 50% of his gross base salary (prorated for fiscal year 2024) and will be granted restricted stock units representing the contingent right to receive, up to 225,000 shares of common stock of the Company (the “Equity Award”). The Equity Award will vest as follows: 25% of the restricted stock units underlying the Equity Award will vest on each of the first, second, third and fourth anniversaries of September 1, 2024, subject to Mr. Black’s continued service through each applicable vesting date. The Equity Award will also be subject to the terms of the Company’s 2019 Incentive Award Plan and the applicable award agreements thereunder. Mr. Black will be eligible to participate in the Company’s employee benefit plans, as may be maintained by the Company from time to time, on the same terms as other similarly situated employees of the Company, and as a Tier 2 participant under the Severance Plan (as defined below). </w:t>
      </w:r>
      <w:r>
        <w:rPr>
          <w:rFonts w:ascii="Times New Roman;sans-serif" w:hAnsi="Times New Roman;sans-serif"/>
          <w:b w:val="false"/>
          <w:color w:val="000000"/>
          <w:sz w:val="20"/>
        </w:rPr>
        <w:t>A copy of the Employment Agreement is filed as Exhibit 10.1 to this current report on Form 8-K and is incorporated herein by reference. The description of the Employment Agreement is a summary only, does not purport to be complete, and is qualified in its entirety by the terms of the Employment Agreement. Mr. Black and the Company will enter into an indemnification agreement in the form the Company has entered into with certain of its other executive officers (the “Indemnification Agreement”), which form is filed as Exhibit 10.35 to the Company’s registration statement on Form S 1 (File No. 333-233446) filed by the Company with the SEC on September 9, 2019. The Indemnification Agreement will provide, among other things, for indemnification of Mr. Black for expenses, judgments, fines and settlement amounts incurred by him in any action or proceeding arising out of his services as an executive officer of the Company.</w:t>
      </w:r>
    </w:p>
    <w:p>
      <w:pPr>
        <w:pStyle w:val="TextBody"/>
        <w:bidi w:val="0"/>
        <w:spacing w:lineRule="auto" w:line="288" w:before="240" w:after="283"/>
        <w:jc w:val="both"/>
        <w:rPr/>
      </w:pPr>
      <w:r>
        <w:rPr>
          <w:rFonts w:ascii="Times New Roman;sans-serif" w:hAnsi="Times New Roman;sans-serif"/>
          <w:b w:val="false"/>
          <w:color w:val="000000"/>
          <w:sz w:val="20"/>
        </w:rPr>
        <w:t xml:space="preserve">On August 1, 2024, the Company also announced that John Aballi had been appointed as Interim Chief Financial Officer of the Company, replacing Kamal Adawi who no longer serves as Chief Financial Officer and Corporate Secretary of the Company, effective as of August 1, 2024. Mr. Aballi has also assumed the duties of the Company’s principal financial officer for SEC reporting purposes pending Mr. Black’s appointment. </w:t>
      </w:r>
      <w:r>
        <w:rPr>
          <w:rFonts w:ascii="Times New Roman;sans-serif" w:hAnsi="Times New Roman;sans-serif"/>
          <w:b w:val="false"/>
          <w:color w:val="000000"/>
          <w:sz w:val="20"/>
          <w:shd w:fill="FFFFFF" w:val="clear"/>
        </w:rPr>
        <w:t xml:space="preserve">Messrs. </w:t>
      </w:r>
      <w:r>
        <w:rPr>
          <w:rFonts w:ascii="Times New Roman;sans-serif" w:hAnsi="Times New Roman;sans-serif"/>
          <w:b w:val="false"/>
          <w:color w:val="000000"/>
          <w:sz w:val="20"/>
        </w:rPr>
        <w:t xml:space="preserve">Aballi and Black </w:t>
      </w:r>
      <w:r>
        <w:rPr>
          <w:rFonts w:ascii="Times New Roman;sans-serif" w:hAnsi="Times New Roman;sans-serif"/>
          <w:b w:val="false"/>
          <w:color w:val="000000"/>
          <w:sz w:val="20"/>
          <w:shd w:fill="FFFFFF" w:val="clear"/>
        </w:rPr>
        <w:t xml:space="preserve">do not have a family relationship with any director or executive officer of the Company or person nominated or chosen by the Company to become a director or executive officer, and there are no arrangements or understandings between Messrs. </w:t>
      </w:r>
      <w:r>
        <w:rPr>
          <w:rFonts w:ascii="Times New Roman;sans-serif" w:hAnsi="Times New Roman;sans-serif"/>
          <w:b w:val="false"/>
          <w:color w:val="000000"/>
          <w:sz w:val="20"/>
        </w:rPr>
        <w:t xml:space="preserve">Aballi or Black </w:t>
      </w:r>
      <w:r>
        <w:rPr>
          <w:rFonts w:ascii="Times New Roman;sans-serif" w:hAnsi="Times New Roman;sans-serif"/>
          <w:b w:val="false"/>
          <w:color w:val="000000"/>
          <w:sz w:val="20"/>
          <w:shd w:fill="FFFFFF" w:val="clear"/>
        </w:rPr>
        <w:t>and any other person pursuant to which Messrs. Aballi or Black were selected to serve as Interim Chief Financial Officer or Chief Financial Officer of the Company, as applicable. There have been no transactions involving Messrs. Aballi or Black that would require disclosure under Item 404(a) of Regulation S</w:t>
        <w:noBreakHyphen/>
        <w:t xml:space="preserve">K under the Securities Exchange Act of 1934, 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his execution and delivery of a release of claims against the Company, Mr. Adawi will be entitled to severance benefits pursuant to a termination without cause other than in connection with a change of control as a Tier 2 participant under the Exagen Inc. Amended and Restated Executive Change in Control and Severance Plan on the terms and subject to the conditions set forth therein.</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8.01. Other Events.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a press release on August 1, 2024, announcing the executive transition described above. A copy of the press release is attached as Exhibit 99.1 hereto and is incorporated by reference herein. </w:t>
      </w:r>
    </w:p>
    <w:p>
      <w:pPr>
        <w:pStyle w:val="TextBody"/>
        <w:bidi w:val="0"/>
        <w:spacing w:lineRule="auto" w:line="26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279"/>
        <w:gridCol w:w="245"/>
        <w:gridCol w:w="247"/>
        <w:gridCol w:w="109"/>
        <w:gridCol w:w="109"/>
        <w:gridCol w:w="109"/>
        <w:gridCol w:w="2652"/>
        <w:gridCol w:w="2652"/>
        <w:gridCol w:w="3803"/>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107"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9434"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Employment Agreement by and between the Company and Jeffrey Black (incorporated by reference the Current Report on Form 8-K filed on August 2, 2024).</w:t>
              </w:r>
            </w:hyperlink>
          </w:p>
        </w:tc>
      </w:tr>
      <w:tr>
        <w:trPr/>
        <w:tc>
          <w:tcPr>
            <w:tcW w:w="77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4"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1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80"/>
                  <w:sz w:val="20"/>
                  <w:u w:val="single"/>
                </w:rPr>
                <w:t>Press Release, dated August 1, 2024</w:t>
              </w:r>
            </w:hyperlink>
            <w:hyperlink r:id="rId4">
              <w:r>
                <w:rPr>
                  <w:rStyle w:val="InternetLink"/>
                  <w:rFonts w:ascii="Times New Roman;sans-serif" w:hAnsi="Times New Roman;sans-serif"/>
                  <w:b w:val="false"/>
                  <w:color w:val="000080"/>
                  <w:sz w:val="20"/>
                  <w:u w:val="single"/>
                </w:rPr>
                <w:t xml:space="preserve"> (incorporated by reference to the Current Report on Form 8-K filed on August 2, 2024)</w:t>
              </w:r>
            </w:hyperlink>
            <w:hyperlink r:id="rId5">
              <w:r>
                <w:rPr>
                  <w:rStyle w:val="InternetLink"/>
                  <w:rFonts w:ascii="Times New Roman;sans-serif" w:hAnsi="Times New Roman;sans-serif"/>
                  <w:b w:val="false"/>
                  <w:color w:val="000080"/>
                  <w:sz w:val="20"/>
                  <w:u w:val="single"/>
                </w:rPr>
                <w:t>.</w:t>
              </w:r>
            </w:hyperlink>
          </w:p>
        </w:tc>
      </w:tr>
      <w:tr>
        <w:trPr/>
        <w:tc>
          <w:tcPr>
            <w:tcW w:w="77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34"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and exhibits have been omitted pursuant to Item 601(a)(5) of Regulation S-K. The Company undertakes to furnish supplemental copies of any of the omitted schedules upon request by the U.S. Securities and Exchange Commission.</w:t>
            </w:r>
          </w:p>
        </w:tc>
      </w:tr>
      <w:tr>
        <w:trPr/>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997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233"/>
        <w:gridCol w:w="197"/>
        <w:gridCol w:w="200"/>
        <w:gridCol w:w="143"/>
        <w:gridCol w:w="143"/>
        <w:gridCol w:w="143"/>
        <w:gridCol w:w="1779"/>
        <w:gridCol w:w="1779"/>
        <w:gridCol w:w="253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09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 2024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1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EXAGEN INC.</w:t>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4"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957"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6519"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Aballi</w:t>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Aballi</w:t>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and Interim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74737/000127473724000071/exagencfoemploymentagreeme.htm" TargetMode="External"/><Relationship Id="rId3" Type="http://schemas.openxmlformats.org/officeDocument/2006/relationships/hyperlink" Target="https://www.sec.gov/Archives/edgar/data/1274737/000127473724000071/pr-appointmentofjeffblackf.htm" TargetMode="External"/><Relationship Id="rId4" Type="http://schemas.openxmlformats.org/officeDocument/2006/relationships/hyperlink" Target="https://www.sec.gov/Archives/edgar/data/1274737/000127473724000071/pr-appointmentofjeffblackf.htm" TargetMode="External"/><Relationship Id="rId5" Type="http://schemas.openxmlformats.org/officeDocument/2006/relationships/hyperlink" Target="https://www.sec.gov/Archives/edgar/data/1274737/000127473724000071/pr-appointmentofjeffblackf.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1468</Words>
  <Characters>7842</Characters>
  <CharactersWithSpaces>9261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