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333-250015</w:t>
      </w:r>
    </w:p>
    <w:p>
      <w:pPr>
        <w:spacing w:after="0" w:line="144" w:lineRule="exact"/>
        <w:rPr>
          <w:sz w:val="24"/>
          <w:szCs w:val="24"/>
          <w:color w:val="auto"/>
        </w:rPr>
      </w:pPr>
    </w:p>
    <w:p>
      <w:pPr>
        <w:ind w:left="120" w:right="100"/>
        <w:spacing w:after="0" w:line="238" w:lineRule="auto"/>
        <w:rPr>
          <w:sz w:val="20"/>
          <w:szCs w:val="20"/>
          <w:color w:val="auto"/>
        </w:rPr>
      </w:pPr>
      <w:r>
        <w:rPr>
          <w:rFonts w:ascii="Arial" w:cs="Arial" w:eastAsia="Arial" w:hAnsi="Arial"/>
          <w:sz w:val="18"/>
          <w:szCs w:val="18"/>
          <w:color w:val="CC062A"/>
        </w:rPr>
        <w:t>The information in this preliminary prospectus supplement is not complete and may be changed. A registration statement relating to these securities has been declared effective by the Securities and Exchange Commission. This preliminary prospectus supplement and the accompanying prospectus are not an offer to sell these securities, and we are not soliciting offers to buy these securities, in any jurisdiction where the offer or sale is not permitted.</w:t>
      </w:r>
    </w:p>
    <w:p>
      <w:pPr>
        <w:spacing w:after="0" w:line="1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CC062A"/>
        </w:rPr>
        <w:t>PRELIMINARY PROSPECTUS SUPPLEMENT (Subject to Completion)</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CC062A"/>
        </w:rPr>
        <w:t>Dated March 22, 2021</w:t>
      </w:r>
    </w:p>
    <w:p>
      <w:pPr>
        <w:spacing w:after="0" w:line="21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18"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November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64" w:lineRule="exact"/>
        <w:rPr>
          <w:sz w:val="24"/>
          <w:szCs w:val="24"/>
          <w:color w:val="auto"/>
        </w:rPr>
      </w:pPr>
    </w:p>
    <w:p>
      <w:pPr>
        <w:ind w:left="576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179705</wp:posOffset>
            </wp:positionV>
            <wp:extent cx="1937385" cy="711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37385"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0" w:lineRule="exact"/>
        <w:rPr>
          <w:sz w:val="24"/>
          <w:szCs w:val="24"/>
          <w:color w:val="auto"/>
        </w:rPr>
      </w:pPr>
    </w:p>
    <w:p>
      <w:pPr>
        <w:spacing w:after="0" w:line="271" w:lineRule="exact"/>
        <w:rPr>
          <w:sz w:val="24"/>
          <w:szCs w:val="24"/>
          <w:color w:val="auto"/>
        </w:rPr>
      </w:pPr>
    </w:p>
    <w:p>
      <w:pPr>
        <w:ind w:left="120"/>
        <w:spacing w:after="0"/>
        <w:tabs>
          <w:tab w:leader="none" w:pos="2120" w:val="left"/>
        </w:tabs>
        <w:rPr>
          <w:sz w:val="20"/>
          <w:szCs w:val="20"/>
          <w:color w:val="auto"/>
        </w:rPr>
      </w:pPr>
      <w:r>
        <w:rPr>
          <w:rFonts w:ascii="Arial" w:cs="Arial" w:eastAsia="Arial" w:hAnsi="Arial"/>
          <w:sz w:val="18"/>
          <w:szCs w:val="18"/>
          <w:color w:val="auto"/>
        </w:rPr>
        <w:t>We are offering</w:t>
      </w:r>
      <w:r>
        <w:rPr>
          <w:sz w:val="20"/>
          <w:szCs w:val="20"/>
          <w:color w:val="auto"/>
        </w:rPr>
        <w:tab/>
      </w:r>
      <w:r>
        <w:rPr>
          <w:rFonts w:ascii="Arial" w:cs="Arial" w:eastAsia="Arial" w:hAnsi="Arial"/>
          <w:sz w:val="17"/>
          <w:szCs w:val="17"/>
          <w:color w:val="auto"/>
        </w:rPr>
        <w:t>shares of our common stock.</w:t>
      </w:r>
    </w:p>
    <w:p>
      <w:pPr>
        <w:spacing w:after="0" w:line="212" w:lineRule="exact"/>
        <w:rPr>
          <w:sz w:val="24"/>
          <w:szCs w:val="24"/>
          <w:color w:val="auto"/>
        </w:rPr>
      </w:pPr>
    </w:p>
    <w:p>
      <w:pPr>
        <w:ind w:left="120" w:right="20"/>
        <w:spacing w:after="0" w:line="246" w:lineRule="auto"/>
        <w:rPr>
          <w:sz w:val="20"/>
          <w:szCs w:val="20"/>
          <w:color w:val="auto"/>
        </w:rPr>
      </w:pPr>
      <w:r>
        <w:rPr>
          <w:rFonts w:ascii="Arial" w:cs="Arial" w:eastAsia="Arial" w:hAnsi="Arial"/>
          <w:sz w:val="18"/>
          <w:szCs w:val="18"/>
          <w:color w:val="auto"/>
        </w:rPr>
        <w:t>Our common stock is listed on the Nasdaq Global Market under the symbol “XGN.” On March 19, 2021, the last reported sales price of our common stock on the Nasdaq Global Market was $20.00 per share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76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ind w:left="120"/>
        <w:spacing w:after="0"/>
        <w:tabs>
          <w:tab w:leader="none" w:pos="7180" w:val="left"/>
        </w:tabs>
        <w:rPr>
          <w:sz w:val="20"/>
          <w:szCs w:val="20"/>
          <w:color w:val="auto"/>
        </w:rPr>
      </w:pPr>
      <w:r>
        <w:rPr>
          <w:rFonts w:ascii="Arial" w:cs="Arial" w:eastAsia="Arial" w:hAnsi="Arial"/>
          <w:sz w:val="18"/>
          <w:szCs w:val="18"/>
          <w:b w:val="1"/>
          <w:bCs w:val="1"/>
          <w:color w:val="auto"/>
        </w:rPr>
        <w:t>Public offering price</w:t>
      </w:r>
      <w:r>
        <w:rPr>
          <w:sz w:val="20"/>
          <w:szCs w:val="20"/>
          <w:color w:val="auto"/>
        </w:rPr>
        <w:tab/>
      </w:r>
      <w:r>
        <w:rPr>
          <w:rFonts w:ascii="Arial" w:cs="Arial" w:eastAsia="Arial" w:hAnsi="Arial"/>
          <w:sz w:val="17"/>
          <w:szCs w:val="17"/>
          <w:b w:val="1"/>
          <w:bCs w:val="1"/>
          <w:color w:val="auto"/>
        </w:rPr>
        <w:t>$</w:t>
      </w:r>
    </w:p>
    <w:p>
      <w:pPr>
        <w:spacing w:after="0" w:line="27" w:lineRule="exact"/>
        <w:rPr>
          <w:sz w:val="24"/>
          <w:szCs w:val="24"/>
          <w:color w:val="auto"/>
        </w:rPr>
      </w:pPr>
    </w:p>
    <w:p>
      <w:pPr>
        <w:ind w:left="120"/>
        <w:spacing w:after="0"/>
        <w:tabs>
          <w:tab w:leader="none" w:pos="7180" w:val="left"/>
        </w:tabs>
        <w:rPr>
          <w:sz w:val="20"/>
          <w:szCs w:val="20"/>
          <w:color w:val="auto"/>
        </w:rPr>
      </w:pPr>
      <w:r>
        <w:rPr>
          <w:rFonts w:ascii="Arial" w:cs="Arial" w:eastAsia="Arial" w:hAnsi="Arial"/>
          <w:sz w:val="18"/>
          <w:szCs w:val="18"/>
          <w:b w:val="1"/>
          <w:bCs w:val="1"/>
          <w:color w:val="auto"/>
        </w:rPr>
        <w:t>Underwriting discounts and commissions(1)</w:t>
      </w:r>
      <w:r>
        <w:rPr>
          <w:sz w:val="20"/>
          <w:szCs w:val="20"/>
          <w:color w:val="auto"/>
        </w:rPr>
        <w:tab/>
      </w:r>
      <w:r>
        <w:rPr>
          <w:rFonts w:ascii="Arial" w:cs="Arial" w:eastAsia="Arial" w:hAnsi="Arial"/>
          <w:sz w:val="17"/>
          <w:szCs w:val="17"/>
          <w:b w:val="1"/>
          <w:bCs w:val="1"/>
          <w:color w:val="auto"/>
        </w:rPr>
        <w:t>$</w:t>
      </w:r>
    </w:p>
    <w:p>
      <w:pPr>
        <w:ind w:left="120"/>
        <w:spacing w:after="0"/>
        <w:tabs>
          <w:tab w:leader="none" w:pos="7180" w:val="left"/>
        </w:tabs>
        <w:rPr>
          <w:sz w:val="20"/>
          <w:szCs w:val="20"/>
          <w:color w:val="auto"/>
        </w:rPr>
      </w:pPr>
      <w:r>
        <w:rPr>
          <w:rFonts w:ascii="Arial" w:cs="Arial" w:eastAsia="Arial" w:hAnsi="Arial"/>
          <w:sz w:val="18"/>
          <w:szCs w:val="18"/>
          <w:b w:val="1"/>
          <w:bCs w:val="1"/>
          <w:color w:val="auto"/>
        </w:rPr>
        <w:t>Proceeds to Exagen, before expenses</w:t>
      </w:r>
      <w:r>
        <w:rPr>
          <w:sz w:val="20"/>
          <w:szCs w:val="20"/>
          <w:color w:val="auto"/>
        </w:rPr>
        <w:tab/>
      </w:r>
      <w:r>
        <w:rPr>
          <w:rFonts w:ascii="Arial" w:cs="Arial" w:eastAsia="Arial" w:hAnsi="Arial"/>
          <w:sz w:val="17"/>
          <w:szCs w:val="1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1" w:lineRule="exact"/>
        <w:rPr>
          <w:sz w:val="24"/>
          <w:szCs w:val="24"/>
          <w:color w:val="auto"/>
        </w:rPr>
      </w:pPr>
    </w:p>
    <w:p>
      <w:pPr>
        <w:ind w:left="120" w:hanging="4"/>
        <w:spacing w:after="0" w:line="500" w:lineRule="auto"/>
        <w:tabs>
          <w:tab w:leader="none" w:pos="552" w:val="left"/>
        </w:tabs>
        <w:numPr>
          <w:ilvl w:val="0"/>
          <w:numId w:val="1"/>
        </w:numPr>
        <w:rPr>
          <w:rFonts w:ascii="Arial" w:cs="Arial" w:eastAsia="Arial" w:hAnsi="Arial"/>
          <w:sz w:val="17"/>
          <w:szCs w:val="17"/>
          <w:color w:val="auto"/>
        </w:rPr>
      </w:pPr>
      <w:r>
        <w:rPr>
          <w:rFonts w:ascii="Arial" w:cs="Arial" w:eastAsia="Arial" w:hAnsi="Arial"/>
          <w:sz w:val="17"/>
          <w:szCs w:val="17"/>
          <w:color w:val="auto"/>
        </w:rPr>
        <w:t>See “Underwriting” for a description of the compensation payable to the underwriters. We have granted the underwriters an option for a period of 30 days to purchase up 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spacing w:after="0"/>
        <w:tabs>
          <w:tab w:leader="none" w:pos="2640" w:val="left"/>
        </w:tabs>
        <w:rPr>
          <w:sz w:val="20"/>
          <w:szCs w:val="20"/>
          <w:color w:val="auto"/>
        </w:rPr>
      </w:pPr>
      <w:r>
        <w:rPr>
          <w:rFonts w:ascii="Arial" w:cs="Arial" w:eastAsia="Arial" w:hAnsi="Arial"/>
          <w:sz w:val="18"/>
          <w:szCs w:val="18"/>
          <w:b w:val="1"/>
          <w:bCs w:val="1"/>
          <w:i w:val="1"/>
          <w:iCs w:val="1"/>
          <w:color w:val="auto"/>
        </w:rPr>
        <w:t>Per share</w:t>
      </w:r>
      <w:r>
        <w:rPr>
          <w:sz w:val="20"/>
          <w:szCs w:val="20"/>
          <w:color w:val="auto"/>
        </w:rPr>
        <w:tab/>
      </w:r>
      <w:r>
        <w:rPr>
          <w:rFonts w:ascii="Arial" w:cs="Arial" w:eastAsia="Arial" w:hAnsi="Arial"/>
          <w:sz w:val="17"/>
          <w:szCs w:val="17"/>
          <w:b w:val="1"/>
          <w:bCs w:val="1"/>
          <w:i w:val="1"/>
          <w:iCs w:val="1"/>
          <w:color w:val="auto"/>
        </w:rPr>
        <w:t>Total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11430</wp:posOffset>
            </wp:positionV>
            <wp:extent cx="780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11430</wp:posOffset>
            </wp:positionV>
            <wp:extent cx="103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7" w:lineRule="exact"/>
        <w:rPr>
          <w:sz w:val="24"/>
          <w:szCs w:val="24"/>
          <w:color w:val="auto"/>
        </w:rPr>
      </w:pPr>
    </w:p>
    <w:p>
      <w:pPr>
        <w:ind w:left="2240"/>
        <w:spacing w:after="0"/>
        <w:rPr>
          <w:sz w:val="20"/>
          <w:szCs w:val="20"/>
          <w:color w:val="auto"/>
        </w:rPr>
      </w:pPr>
      <w:r>
        <w:rPr>
          <w:rFonts w:ascii="Arial" w:cs="Arial" w:eastAsia="Arial" w:hAnsi="Arial"/>
          <w:sz w:val="18"/>
          <w:szCs w:val="18"/>
          <w:b w:val="1"/>
          <w:bCs w:val="1"/>
          <w:color w:val="auto"/>
        </w:rPr>
        <w:t>$</w:t>
      </w:r>
    </w:p>
    <w:p>
      <w:pPr>
        <w:ind w:left="2240"/>
        <w:spacing w:after="0" w:line="234" w:lineRule="auto"/>
        <w:rPr>
          <w:sz w:val="20"/>
          <w:szCs w:val="20"/>
          <w:color w:val="auto"/>
        </w:rPr>
      </w:pPr>
      <w:r>
        <w:rPr>
          <w:rFonts w:ascii="Arial" w:cs="Arial" w:eastAsia="Arial" w:hAnsi="Arial"/>
          <w:sz w:val="18"/>
          <w:szCs w:val="18"/>
          <w:b w:val="1"/>
          <w:bCs w:val="1"/>
          <w:color w:val="auto"/>
        </w:rPr>
        <w:t>$</w:t>
      </w:r>
    </w:p>
    <w:p>
      <w:pPr>
        <w:spacing w:after="0" w:line="1" w:lineRule="exact"/>
        <w:rPr>
          <w:sz w:val="24"/>
          <w:szCs w:val="24"/>
          <w:color w:val="auto"/>
        </w:rPr>
      </w:pPr>
    </w:p>
    <w:p>
      <w:pPr>
        <w:ind w:left="2240"/>
        <w:spacing w:after="0"/>
        <w:rPr>
          <w:sz w:val="20"/>
          <w:szCs w:val="20"/>
          <w:color w:val="auto"/>
        </w:rPr>
      </w:pPr>
      <w:r>
        <w:rPr>
          <w:rFonts w:ascii="Arial" w:cs="Arial" w:eastAsia="Arial" w:hAnsi="Arial"/>
          <w:sz w:val="18"/>
          <w:szCs w:val="18"/>
          <w:b w:val="1"/>
          <w:bCs w:val="1"/>
          <w:color w:val="auto"/>
        </w:rPr>
        <w:t>$</w:t>
      </w:r>
    </w:p>
    <w:p>
      <w:pPr>
        <w:spacing w:after="0" w:line="200" w:lineRule="exact"/>
        <w:rPr>
          <w:sz w:val="24"/>
          <w:szCs w:val="24"/>
          <w:color w:val="auto"/>
        </w:rPr>
      </w:pPr>
    </w:p>
    <w:p>
      <w:pPr>
        <w:spacing w:after="0" w:line="390"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additional shares of common stock.</w:t>
      </w:r>
    </w:p>
    <w:p>
      <w:pPr>
        <w:spacing w:after="0" w:line="189" w:lineRule="exact"/>
        <w:rPr>
          <w:sz w:val="24"/>
          <w:szCs w:val="24"/>
          <w:color w:val="auto"/>
        </w:rPr>
      </w:pPr>
    </w:p>
    <w:p>
      <w:pPr>
        <w:sectPr>
          <w:pgSz w:w="11900" w:h="16838" w:orient="portrait"/>
          <w:cols w:equalWidth="0" w:num="2">
            <w:col w:w="7320" w:space="280"/>
            <w:col w:w="3540"/>
          </w:cols>
          <w:pgMar w:left="320" w:top="230" w:right="439" w:bottom="765" w:gutter="0" w:footer="0" w:header="0"/>
          <w:type w:val="continuous"/>
        </w:sectPr>
      </w:pPr>
    </w:p>
    <w:p>
      <w:pPr>
        <w:ind w:left="120" w:right="6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See “</w:t>
      </w:r>
      <w:hyperlink w:anchor="page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S-5 of this prospectus supplement and the documents incorporated by reference into this prospectus supplement.</w:t>
      </w:r>
    </w:p>
    <w:p>
      <w:pPr>
        <w:spacing w:after="0" w:line="176" w:lineRule="exact"/>
        <w:rPr>
          <w:sz w:val="24"/>
          <w:szCs w:val="24"/>
          <w:color w:val="auto"/>
        </w:rPr>
      </w:pPr>
    </w:p>
    <w:p>
      <w:pPr>
        <w:ind w:left="120" w:right="580"/>
        <w:spacing w:after="0"/>
        <w:rPr>
          <w:sz w:val="20"/>
          <w:szCs w:val="20"/>
          <w:color w:val="auto"/>
        </w:rPr>
      </w:pPr>
      <w:r>
        <w:rPr>
          <w:rFonts w:ascii="Arial" w:cs="Arial" w:eastAsia="Arial" w:hAnsi="Arial"/>
          <w:sz w:val="18"/>
          <w:szCs w:val="18"/>
          <w:color w:val="auto"/>
        </w:rPr>
        <w:t>Neither the Securities and Exchange Commission nor any other regulatory body has approved or disapproved of these securities or passed upon the accuracy or adequacy of this prospectus supplement or the accompanying prospectus. Any representation to the contrary is a criminal offense.</w:t>
      </w:r>
    </w:p>
    <w:p>
      <w:pPr>
        <w:spacing w:after="0" w:line="203" w:lineRule="exact"/>
        <w:rPr>
          <w:sz w:val="24"/>
          <w:szCs w:val="24"/>
          <w:color w:val="auto"/>
        </w:rPr>
      </w:pPr>
    </w:p>
    <w:tbl>
      <w:tblPr>
        <w:tblLayout w:type="fixed"/>
        <w:tblInd w:w="120" w:type="dxa"/>
        <w:tblCellMar>
          <w:top w:w="0" w:type="dxa"/>
          <w:left w:w="0" w:type="dxa"/>
          <w:bottom w:w="0" w:type="dxa"/>
          <w:right w:w="0" w:type="dxa"/>
        </w:tblCellMar>
      </w:tblPr>
      <w:tr>
        <w:trPr>
          <w:trHeight w:val="217"/>
        </w:trPr>
        <w:tc>
          <w:tcPr>
            <w:tcW w:w="7080" w:type="dxa"/>
            <w:vAlign w:val="bottom"/>
            <w:gridSpan w:val="2"/>
          </w:tcPr>
          <w:p>
            <w:pPr>
              <w:spacing w:after="0"/>
              <w:rPr>
                <w:sz w:val="20"/>
                <w:szCs w:val="20"/>
                <w:color w:val="auto"/>
              </w:rPr>
            </w:pPr>
            <w:r>
              <w:rPr>
                <w:rFonts w:ascii="Arial" w:cs="Arial" w:eastAsia="Arial" w:hAnsi="Arial"/>
                <w:sz w:val="18"/>
                <w:szCs w:val="18"/>
                <w:color w:val="auto"/>
              </w:rPr>
              <w:t>The underwriters expect to deliver the shares of common stock to purchasers on</w:t>
            </w:r>
          </w:p>
        </w:tc>
        <w:tc>
          <w:tcPr>
            <w:tcW w:w="3940" w:type="dxa"/>
            <w:vAlign w:val="bottom"/>
          </w:tcPr>
          <w:p>
            <w:pPr>
              <w:jc w:val="right"/>
              <w:ind w:right="2963"/>
              <w:spacing w:after="0"/>
              <w:rPr>
                <w:sz w:val="20"/>
                <w:szCs w:val="20"/>
                <w:color w:val="auto"/>
              </w:rPr>
            </w:pPr>
            <w:r>
              <w:rPr>
                <w:rFonts w:ascii="Arial" w:cs="Arial" w:eastAsia="Arial" w:hAnsi="Arial"/>
                <w:sz w:val="18"/>
                <w:szCs w:val="18"/>
                <w:color w:val="auto"/>
              </w:rPr>
              <w:t>, 2021.</w:t>
            </w:r>
          </w:p>
        </w:tc>
      </w:tr>
      <w:tr>
        <w:trPr>
          <w:trHeight w:val="243"/>
        </w:trPr>
        <w:tc>
          <w:tcPr>
            <w:tcW w:w="2580" w:type="dxa"/>
            <w:vAlign w:val="bottom"/>
            <w:tcBorders>
              <w:bottom w:val="single" w:sz="8" w:color="auto"/>
            </w:tcBorders>
          </w:tcPr>
          <w:p>
            <w:pPr>
              <w:spacing w:after="0"/>
              <w:rPr>
                <w:sz w:val="21"/>
                <w:szCs w:val="21"/>
                <w:color w:val="auto"/>
              </w:rPr>
            </w:pPr>
          </w:p>
        </w:tc>
        <w:tc>
          <w:tcPr>
            <w:tcW w:w="450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tcPr>
          <w:p>
            <w:pPr>
              <w:spacing w:after="0"/>
              <w:rPr>
                <w:sz w:val="21"/>
                <w:szCs w:val="21"/>
                <w:color w:val="auto"/>
              </w:rPr>
            </w:pPr>
          </w:p>
        </w:tc>
      </w:tr>
      <w:tr>
        <w:trPr>
          <w:trHeight w:val="425"/>
        </w:trPr>
        <w:tc>
          <w:tcPr>
            <w:tcW w:w="2580" w:type="dxa"/>
            <w:vAlign w:val="bottom"/>
          </w:tcPr>
          <w:p>
            <w:pPr>
              <w:spacing w:after="0"/>
              <w:rPr>
                <w:sz w:val="24"/>
                <w:szCs w:val="24"/>
                <w:color w:val="auto"/>
              </w:rPr>
            </w:pPr>
          </w:p>
        </w:tc>
        <w:tc>
          <w:tcPr>
            <w:tcW w:w="4500" w:type="dxa"/>
            <w:vAlign w:val="bottom"/>
          </w:tcPr>
          <w:p>
            <w:pPr>
              <w:ind w:left="1640"/>
              <w:spacing w:after="0"/>
              <w:rPr>
                <w:sz w:val="20"/>
                <w:szCs w:val="20"/>
                <w:color w:val="auto"/>
              </w:rPr>
            </w:pPr>
            <w:r>
              <w:rPr>
                <w:rFonts w:ascii="Arial" w:cs="Arial" w:eastAsia="Arial" w:hAnsi="Arial"/>
                <w:sz w:val="18"/>
                <w:szCs w:val="18"/>
                <w:b w:val="1"/>
                <w:bCs w:val="1"/>
                <w:i w:val="1"/>
                <w:iCs w:val="1"/>
                <w:color w:val="auto"/>
              </w:rPr>
              <w:t>Joint Book-running Managers</w:t>
            </w:r>
          </w:p>
        </w:tc>
        <w:tc>
          <w:tcPr>
            <w:tcW w:w="3940" w:type="dxa"/>
            <w:vAlign w:val="bottom"/>
          </w:tcPr>
          <w:p>
            <w:pPr>
              <w:spacing w:after="0"/>
              <w:rPr>
                <w:sz w:val="24"/>
                <w:szCs w:val="24"/>
                <w:color w:val="auto"/>
              </w:rPr>
            </w:pPr>
          </w:p>
        </w:tc>
      </w:tr>
      <w:tr>
        <w:trPr>
          <w:trHeight w:val="572"/>
        </w:trPr>
        <w:tc>
          <w:tcPr>
            <w:tcW w:w="2580" w:type="dxa"/>
            <w:vAlign w:val="bottom"/>
          </w:tcPr>
          <w:p>
            <w:pPr>
              <w:spacing w:after="0"/>
              <w:rPr>
                <w:sz w:val="20"/>
                <w:szCs w:val="20"/>
                <w:color w:val="auto"/>
              </w:rPr>
            </w:pPr>
            <w:r>
              <w:rPr>
                <w:rFonts w:ascii="Arial" w:cs="Arial" w:eastAsia="Arial" w:hAnsi="Arial"/>
                <w:sz w:val="29"/>
                <w:szCs w:val="29"/>
                <w:b w:val="1"/>
                <w:bCs w:val="1"/>
                <w:color w:val="auto"/>
              </w:rPr>
              <w:t>Cowen</w:t>
            </w:r>
          </w:p>
        </w:tc>
        <w:tc>
          <w:tcPr>
            <w:tcW w:w="4500" w:type="dxa"/>
            <w:vAlign w:val="bottom"/>
          </w:tcPr>
          <w:p>
            <w:pPr>
              <w:ind w:left="2140"/>
              <w:spacing w:after="0"/>
              <w:rPr>
                <w:sz w:val="20"/>
                <w:szCs w:val="20"/>
                <w:color w:val="auto"/>
              </w:rPr>
            </w:pPr>
            <w:r>
              <w:rPr>
                <w:rFonts w:ascii="Arial" w:cs="Arial" w:eastAsia="Arial" w:hAnsi="Arial"/>
                <w:sz w:val="29"/>
                <w:szCs w:val="29"/>
                <w:b w:val="1"/>
                <w:bCs w:val="1"/>
                <w:color w:val="auto"/>
              </w:rPr>
              <w:t>William Blair</w:t>
            </w:r>
          </w:p>
        </w:tc>
        <w:tc>
          <w:tcPr>
            <w:tcW w:w="3940" w:type="dxa"/>
            <w:vAlign w:val="bottom"/>
          </w:tcPr>
          <w:p>
            <w:pPr>
              <w:jc w:val="right"/>
              <w:spacing w:after="0"/>
              <w:rPr>
                <w:sz w:val="20"/>
                <w:szCs w:val="20"/>
                <w:color w:val="auto"/>
              </w:rPr>
            </w:pPr>
            <w:r>
              <w:rPr>
                <w:rFonts w:ascii="Arial" w:cs="Arial" w:eastAsia="Arial" w:hAnsi="Arial"/>
                <w:sz w:val="29"/>
                <w:szCs w:val="29"/>
                <w:b w:val="1"/>
                <w:bCs w:val="1"/>
                <w:color w:val="auto"/>
              </w:rPr>
              <w:t>Cantor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219710</wp:posOffset>
            </wp:positionV>
            <wp:extent cx="1817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Book-running Manager</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250190</wp:posOffset>
            </wp:positionV>
            <wp:extent cx="1817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Lead Manager</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BTIG</w:t>
      </w:r>
    </w:p>
    <w:p>
      <w:pPr>
        <w:sectPr>
          <w:pgSz w:w="11900" w:h="16838" w:orient="portrait"/>
          <w:cols w:equalWidth="0" w:num="1">
            <w:col w:w="11140"/>
          </w:cols>
          <w:pgMar w:left="320" w:top="230" w:right="439" w:bottom="765" w:gutter="0" w:footer="0" w:header="0"/>
          <w:type w:val="continuous"/>
        </w:sectPr>
      </w:pPr>
    </w:p>
    <w:p>
      <w:pPr>
        <w:spacing w:after="0" w:line="258" w:lineRule="exact"/>
        <w:rPr>
          <w:sz w:val="24"/>
          <w:szCs w:val="24"/>
          <w:color w:val="auto"/>
        </w:rPr>
      </w:pPr>
    </w:p>
    <w:p>
      <w:pPr>
        <w:ind w:left="1120"/>
        <w:spacing w:after="0"/>
        <w:rPr>
          <w:sz w:val="20"/>
          <w:szCs w:val="20"/>
          <w:color w:val="auto"/>
        </w:rPr>
      </w:pPr>
      <w:r>
        <w:rPr>
          <w:rFonts w:ascii="Arial" w:cs="Arial" w:eastAsia="Arial" w:hAnsi="Arial"/>
          <w:sz w:val="17"/>
          <w:szCs w:val="17"/>
          <w:color w:val="auto"/>
        </w:rPr>
        <w:t>, 2021</w:t>
      </w:r>
    </w:p>
    <w:p>
      <w:pPr>
        <w:sectPr>
          <w:pgSz w:w="11900" w:h="16838" w:orient="portrait"/>
          <w:cols w:equalWidth="0" w:num="1">
            <w:col w:w="11140"/>
          </w:cols>
          <w:pgMar w:left="320" w:top="230" w:right="439" w:bottom="76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0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20" w:type="dxa"/>
            <w:vAlign w:val="bottom"/>
          </w:tcPr>
          <w:p>
            <w:pPr>
              <w:spacing w:after="0"/>
              <w:rPr>
                <w:sz w:val="24"/>
                <w:szCs w:val="24"/>
                <w:color w:val="auto"/>
              </w:rPr>
            </w:pPr>
          </w:p>
        </w:tc>
        <w:tc>
          <w:tcPr>
            <w:tcW w:w="8480" w:type="dxa"/>
            <w:vAlign w:val="bottom"/>
            <w:gridSpan w:val="21"/>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8480" w:type="dxa"/>
            <w:vAlign w:val="bottom"/>
            <w:gridSpan w:val="21"/>
            <w:vMerge w:val="continue"/>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2820" w:type="dxa"/>
            <w:vAlign w:val="bottom"/>
            <w:tcBorders>
              <w:bottom w:val="single" w:sz="8" w:color="0000EE"/>
            </w:tcBorders>
            <w:gridSpan w:val="17"/>
          </w:tcPr>
          <w:p>
            <w:pPr>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About This Prospectus Supplement</w:t>
              </w:r>
            </w:hyperlink>
          </w:p>
        </w:tc>
        <w:tc>
          <w:tcPr>
            <w:tcW w:w="5660" w:type="dxa"/>
            <w:vAlign w:val="bottom"/>
            <w:gridSpan w:val="4"/>
          </w:tcPr>
          <w:p>
            <w:pPr>
              <w:spacing w:after="0"/>
              <w:rPr>
                <w:sz w:val="15"/>
                <w:szCs w:val="15"/>
                <w:color w:val="auto"/>
              </w:rPr>
            </w:pP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Risk Factors</w:t>
              </w:r>
            </w:hyperlink>
          </w:p>
        </w:tc>
        <w:tc>
          <w:tcPr>
            <w:tcW w:w="1720" w:type="dxa"/>
            <w:vAlign w:val="bottom"/>
            <w:tcBorders>
              <w:top w:val="single" w:sz="8" w:color="0000EE"/>
            </w:tcBorders>
            <w:gridSpan w:val="14"/>
          </w:tcPr>
          <w:p>
            <w:pPr>
              <w:spacing w:after="0"/>
              <w:rPr>
                <w:sz w:val="15"/>
                <w:szCs w:val="15"/>
                <w:color w:val="auto"/>
              </w:rPr>
            </w:pPr>
          </w:p>
        </w:tc>
        <w:tc>
          <w:tcPr>
            <w:tcW w:w="5760" w:type="dxa"/>
            <w:vAlign w:val="bottom"/>
            <w:gridSpan w:val="5"/>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54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Cautionary Note Regarding Forward-Looking Statements</w:t>
              </w:r>
            </w:hyperlink>
          </w:p>
        </w:tc>
        <w:tc>
          <w:tcPr>
            <w:tcW w:w="3940" w:type="dxa"/>
            <w:vAlign w:val="bottom"/>
            <w:gridSpan w:val="3"/>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Dilution</w:t>
              </w:r>
            </w:hyperlink>
          </w:p>
        </w:tc>
        <w:tc>
          <w:tcPr>
            <w:tcW w:w="720" w:type="dxa"/>
            <w:vAlign w:val="bottom"/>
            <w:tcBorders>
              <w:top w:val="single" w:sz="8" w:color="0000EE"/>
            </w:tcBorders>
            <w:gridSpan w:val="7"/>
          </w:tcPr>
          <w:p>
            <w:pPr>
              <w:spacing w:after="0"/>
              <w:rPr>
                <w:sz w:val="15"/>
                <w:szCs w:val="15"/>
                <w:color w:val="auto"/>
              </w:rPr>
            </w:pPr>
          </w:p>
        </w:tc>
        <w:tc>
          <w:tcPr>
            <w:tcW w:w="7160" w:type="dxa"/>
            <w:vAlign w:val="bottom"/>
            <w:gridSpan w:val="13"/>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2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12">
              <w:r>
                <w:rPr>
                  <w:rFonts w:ascii="Arial" w:cs="Arial" w:eastAsia="Arial" w:hAnsi="Arial"/>
                  <w:sz w:val="18"/>
                  <w:szCs w:val="18"/>
                  <w:color w:val="0000EE"/>
                  <w:w w:val="98"/>
                </w:rPr>
                <w:t>Underwriting</w:t>
              </w:r>
            </w:hyperlink>
          </w:p>
        </w:tc>
        <w:tc>
          <w:tcPr>
            <w:tcW w:w="7460" w:type="dxa"/>
            <w:vAlign w:val="bottom"/>
            <w:gridSpan w:val="18"/>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Legal Matters</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Experts</w:t>
              </w:r>
            </w:hyperlink>
          </w:p>
        </w:tc>
        <w:tc>
          <w:tcPr>
            <w:tcW w:w="7400" w:type="dxa"/>
            <w:vAlign w:val="bottom"/>
            <w:gridSpan w:val="17"/>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Where You Can Find More Information; Information Incorporated By Reference</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317"/>
        </w:trPr>
        <w:tc>
          <w:tcPr>
            <w:tcW w:w="120" w:type="dxa"/>
            <w:vAlign w:val="bottom"/>
          </w:tcPr>
          <w:p>
            <w:pPr>
              <w:spacing w:after="0"/>
              <w:rPr>
                <w:sz w:val="24"/>
                <w:szCs w:val="24"/>
                <w:color w:val="auto"/>
              </w:rPr>
            </w:pPr>
          </w:p>
        </w:tc>
        <w:tc>
          <w:tcPr>
            <w:tcW w:w="6260" w:type="dxa"/>
            <w:vAlign w:val="bottom"/>
            <w:tcBorders>
              <w:top w:val="single" w:sz="8" w:color="0000EE"/>
            </w:tcBorders>
            <w:gridSpan w:val="20"/>
          </w:tcPr>
          <w:p>
            <w:pPr>
              <w:spacing w:after="0"/>
              <w:rPr>
                <w:sz w:val="20"/>
                <w:szCs w:val="20"/>
                <w:color w:val="auto"/>
              </w:rPr>
            </w:pPr>
            <w:r>
              <w:rPr>
                <w:rFonts w:ascii="Arial" w:cs="Arial" w:eastAsia="Arial" w:hAnsi="Arial"/>
                <w:sz w:val="18"/>
                <w:szCs w:val="18"/>
                <w:b w:val="1"/>
                <w:bCs w:val="1"/>
                <w:color w:val="auto"/>
              </w:rPr>
              <w:t>Prospectus</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8480" w:type="dxa"/>
            <w:vAlign w:val="bottom"/>
            <w:gridSpan w:val="21"/>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About this Prospectus</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534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Where You Can Find More Information: Incorporation by Reference</w:t>
              </w:r>
            </w:hyperlink>
          </w:p>
        </w:tc>
        <w:tc>
          <w:tcPr>
            <w:tcW w:w="3140" w:type="dxa"/>
            <w:vAlign w:val="bottom"/>
            <w:gridSpan w:val="2"/>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The Company</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Risk Factors</w:t>
              </w:r>
            </w:hyperlink>
          </w:p>
        </w:tc>
        <w:tc>
          <w:tcPr>
            <w:tcW w:w="120" w:type="dxa"/>
            <w:vAlign w:val="bottom"/>
            <w:tcBorders>
              <w:top w:val="single" w:sz="8" w:color="0000EE"/>
            </w:tcBorders>
            <w:gridSpan w:val="3"/>
          </w:tcPr>
          <w:p>
            <w:pPr>
              <w:spacing w:after="0"/>
              <w:rPr>
                <w:sz w:val="15"/>
                <w:szCs w:val="15"/>
                <w:color w:val="auto"/>
              </w:rPr>
            </w:pPr>
          </w:p>
        </w:tc>
        <w:tc>
          <w:tcPr>
            <w:tcW w:w="7360" w:type="dxa"/>
            <w:vAlign w:val="bottom"/>
            <w:gridSpan w:val="16"/>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54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Cautionary Note Regarding Forward-Looking Statements</w:t>
              </w:r>
            </w:hyperlink>
          </w:p>
        </w:tc>
        <w:tc>
          <w:tcPr>
            <w:tcW w:w="3940" w:type="dxa"/>
            <w:vAlign w:val="bottom"/>
            <w:gridSpan w:val="3"/>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Dividend Policy</w:t>
              </w:r>
            </w:hyperlink>
          </w:p>
        </w:tc>
        <w:tc>
          <w:tcPr>
            <w:tcW w:w="7160" w:type="dxa"/>
            <w:vAlign w:val="bottom"/>
            <w:gridSpan w:val="13"/>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Capital Stock</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60" w:type="dxa"/>
            <w:vAlign w:val="bottom"/>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Debt Securities</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3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Warrants</w:t>
              </w:r>
            </w:hyperlink>
          </w:p>
        </w:tc>
        <w:tc>
          <w:tcPr>
            <w:tcW w:w="6120" w:type="dxa"/>
            <w:vAlign w:val="bottom"/>
            <w:gridSpan w:val="6"/>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5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8"/>
              </w:rPr>
            </w:pPr>
            <w:hyperlink w:anchor="page47">
              <w:r>
                <w:rPr>
                  <w:rFonts w:ascii="Arial" w:cs="Arial" w:eastAsia="Arial" w:hAnsi="Arial"/>
                  <w:sz w:val="18"/>
                  <w:szCs w:val="18"/>
                  <w:color w:val="0000EE"/>
                  <w:w w:val="98"/>
                </w:rPr>
                <w:t>Description of Units</w:t>
              </w:r>
            </w:hyperlink>
          </w:p>
        </w:tc>
        <w:tc>
          <w:tcPr>
            <w:tcW w:w="300" w:type="dxa"/>
            <w:vAlign w:val="bottom"/>
            <w:tcBorders>
              <w:top w:val="single" w:sz="8" w:color="0000EE"/>
            </w:tcBorders>
            <w:gridSpan w:val="2"/>
          </w:tcPr>
          <w:p>
            <w:pPr>
              <w:spacing w:after="0"/>
              <w:rPr>
                <w:sz w:val="15"/>
                <w:szCs w:val="15"/>
                <w:color w:val="auto"/>
              </w:rPr>
            </w:pPr>
          </w:p>
        </w:tc>
        <w:tc>
          <w:tcPr>
            <w:tcW w:w="6620" w:type="dxa"/>
            <w:vAlign w:val="bottom"/>
            <w:gridSpan w:val="8"/>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6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w:anchor="page48">
              <w:r>
                <w:rPr>
                  <w:rFonts w:ascii="Arial" w:cs="Arial" w:eastAsia="Arial" w:hAnsi="Arial"/>
                  <w:sz w:val="18"/>
                  <w:szCs w:val="18"/>
                  <w:color w:val="0000EE"/>
                  <w:w w:val="98"/>
                </w:rPr>
                <w:t>Global Securities</w:t>
              </w:r>
            </w:hyperlink>
          </w:p>
        </w:tc>
        <w:tc>
          <w:tcPr>
            <w:tcW w:w="7120" w:type="dxa"/>
            <w:vAlign w:val="bottom"/>
            <w:gridSpan w:val="12"/>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5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6980" w:type="dxa"/>
            <w:vAlign w:val="bottom"/>
            <w:gridSpan w:val="11"/>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7400" w:type="dxa"/>
            <w:vAlign w:val="bottom"/>
            <w:gridSpan w:val="17"/>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b w:val="1"/>
          <w:bCs w:val="1"/>
          <w:color w:val="auto"/>
        </w:rPr>
        <w:t>Neither we nor any of the underwriters have authorized anyone to provide information different from that contained in this prospectus supplement. When you make a decision about whether to invest in our common stock, you should not rely upon any information other than the information in this prospectus supplement. Neither the delivery of this prospectus supplement nor the sale of shares of our common stock means that information contained in this prospectus supplement is correct after the date of this prospectus supplement. This prospectus supplement is not an offer to sell or solicitation of an offer to buy shares of our common stock in any circumstances under which the offer or solicitation is unlawful.</w:t>
      </w:r>
    </w:p>
    <w:p>
      <w:pPr>
        <w:sectPr>
          <w:pgSz w:w="11900" w:h="16838" w:orient="portrait"/>
          <w:cols w:equalWidth="0" w:num="1">
            <w:col w:w="11120"/>
          </w:cols>
          <w:pgMar w:left="320" w:top="446"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342" w:lineRule="exact"/>
        <w:rPr>
          <w:sz w:val="20"/>
          <w:szCs w:val="20"/>
          <w:color w:val="auto"/>
        </w:rPr>
      </w:pPr>
    </w:p>
    <w:p>
      <w:pPr>
        <w:ind w:left="120" w:right="40" w:firstLine="440"/>
        <w:spacing w:after="0" w:line="235" w:lineRule="auto"/>
        <w:rPr>
          <w:sz w:val="20"/>
          <w:szCs w:val="20"/>
          <w:color w:val="auto"/>
        </w:rPr>
      </w:pPr>
      <w:r>
        <w:rPr>
          <w:rFonts w:ascii="Arial" w:cs="Arial" w:eastAsia="Arial" w:hAnsi="Arial"/>
          <w:sz w:val="18"/>
          <w:szCs w:val="18"/>
          <w:color w:val="auto"/>
        </w:rPr>
        <w:t>This prospectus supplement and the accompanying prospectus dated November 19, 2020 are part of a registration statement that we filed with the Securities and Exchange Commission, or SEC, utilizing a “shelf” registration process. This prospectus supplement and the accompanying prospectus relate to the offer by us of shares of our common stock to certain investors. We provide information to you about this offering of shares of our common stock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 or the accompanying prospectus—the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headings “Where You Can Find More Information; Information Incorporated by Reference.”</w:t>
      </w:r>
    </w:p>
    <w:p>
      <w:pPr>
        <w:spacing w:after="0" w:line="21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supplement and the accompanying prospectus. We have not, and the underwriters have not, authorized anyone to provide you with information that is different. We are offering to sell and seeking offers to buy shares of our common stock only in jurisdictions where offers and sales are permitted. The information contained in this prospectus supplement, the accompanying prospectus, the documents and information incorporated by reference in this prospectus supplement and the accompanying prospectus, and any free writing prospectus that we have authorized for use in connection with this offering are accurate only as of their respective dates, regardless of the time of delivery of this prospectus supplement or of any sale of our common stock.</w:t>
      </w:r>
    </w:p>
    <w:p>
      <w:pPr>
        <w:spacing w:after="0" w:line="203"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In this prospectus supplement, unless the context otherwise indicates, the terms “Exagen,” the “Company,” “we,” “our” and “us” or similar terms refer to Exagen Inc.</w:t>
      </w:r>
    </w:p>
    <w:p>
      <w:pPr>
        <w:spacing w:after="0" w:line="197"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 xml:space="preserve">We use our trademarks in this prospectus as well as trademarks, tradenames and service marks that are the property of other organizations. Use or display by us of other parties’ trademarks, trade dress or products is not intended to and does not imply a relationship with, or endorsements or sponsorship of, us by the trademark or trade dress owner. Solely for convenience, certain trademarks and tradenames referred to in this prospectus appear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18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3187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324" w:lineRule="exact"/>
        <w:rPr>
          <w:sz w:val="20"/>
          <w:szCs w:val="20"/>
          <w:color w:val="auto"/>
        </w:rPr>
      </w:pPr>
    </w:p>
    <w:p>
      <w:pPr>
        <w:ind w:left="300" w:right="100" w:firstLine="426"/>
        <w:spacing w:after="0" w:line="241" w:lineRule="auto"/>
        <w:rPr>
          <w:sz w:val="20"/>
          <w:szCs w:val="20"/>
          <w:color w:val="auto"/>
        </w:rPr>
      </w:pPr>
      <w:r>
        <w:rPr>
          <w:rFonts w:ascii="Arial" w:cs="Arial" w:eastAsia="Arial" w:hAnsi="Arial"/>
          <w:sz w:val="18"/>
          <w:szCs w:val="18"/>
          <w:i w:val="1"/>
          <w:iCs w:val="1"/>
          <w:color w:val="auto"/>
        </w:rPr>
        <w:t>The items in the following summary are described in more detail later in this prospectus supplement and in the accompanying prospectus. This summary provides an overview of selected information and does not contain all the information you should consider before investing in our common stock. Therefore, you should read the entire prospectus supplement, the accompanying prospectus and any free writing prospectus that we have authorized for use in connection with this offering carefully, including the “Risk Factors” section, and other documents or information included or incorporated by reference in this prospectus supplement and the accompanying prospectus before making any investment decision.</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Exagen Inc.</w:t>
      </w:r>
    </w:p>
    <w:p>
      <w:pPr>
        <w:spacing w:after="0" w:line="85"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Exagen is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that allow for the differential diagnosis, prognosis and</w:t>
      </w:r>
    </w:p>
    <w:p>
      <w:pPr>
        <w:ind w:left="300"/>
        <w:spacing w:after="0" w:line="236" w:lineRule="auto"/>
        <w:rPr>
          <w:sz w:val="20"/>
          <w:szCs w:val="20"/>
          <w:color w:val="auto"/>
        </w:rPr>
      </w:pPr>
      <w:r>
        <w:rPr>
          <w:rFonts w:ascii="Arial" w:cs="Arial" w:eastAsia="Arial" w:hAnsi="Arial"/>
          <w:sz w:val="18"/>
          <w:szCs w:val="18"/>
          <w:color w:val="auto"/>
        </w:rPr>
        <w:t>monitoring of complex autoimmune and autoimmune-related diseases. Our lead testing product, AVISE</w:t>
      </w:r>
      <w:r>
        <w:rPr>
          <w:rFonts w:ascii="Arial" w:cs="Arial" w:eastAsia="Arial" w:hAnsi="Arial"/>
          <w:sz w:val="15"/>
          <w:szCs w:val="15"/>
          <w:color w:val="auto"/>
        </w:rPr>
        <w:t>®</w:t>
      </w:r>
      <w:r>
        <w:rPr>
          <w:rFonts w:ascii="Arial" w:cs="Arial" w:eastAsia="Arial" w:hAnsi="Arial"/>
          <w:sz w:val="18"/>
          <w:szCs w:val="18"/>
          <w:color w:val="auto"/>
        </w:rPr>
        <w:t xml:space="preserve"> CTD, enables differential diagnosis for patients presenting with symptoms indicative of a wide variety of connective tissue diseases, or CTDs, and other related diseases with overlapping symptoms. The comprehensive nature of AVISE</w:t>
      </w:r>
      <w:r>
        <w:rPr>
          <w:rFonts w:ascii="Arial" w:cs="Arial" w:eastAsia="Arial" w:hAnsi="Arial"/>
          <w:sz w:val="15"/>
          <w:szCs w:val="15"/>
          <w:color w:val="auto"/>
        </w:rPr>
        <w:t>®</w:t>
      </w:r>
      <w:r>
        <w:rPr>
          <w:rFonts w:ascii="Arial" w:cs="Arial" w:eastAsia="Arial" w:hAnsi="Arial"/>
          <w:sz w:val="18"/>
          <w:szCs w:val="18"/>
          <w:color w:val="auto"/>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15"/>
          <w:szCs w:val="15"/>
          <w:color w:val="auto"/>
        </w:rPr>
        <w:t>®</w:t>
      </w:r>
      <w:r>
        <w:rPr>
          <w:rFonts w:ascii="Arial" w:cs="Arial" w:eastAsia="Arial" w:hAnsi="Arial"/>
          <w:sz w:val="18"/>
          <w:szCs w:val="18"/>
          <w:color w:val="auto"/>
        </w:rPr>
        <w:t xml:space="preserve"> CTD may provide clinical utility for over 23 million patients in the United States suffering from these diseases, which include SLE, RA, Sjögren’s syndrome, antiphospholipid syndrome, or APS, other autoimmune-related diseases such as autoimmune thyroid, and other disorders that mimic these diseases, such as fibromyalgia.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209" w:lineRule="exact"/>
        <w:rPr>
          <w:sz w:val="20"/>
          <w:szCs w:val="20"/>
          <w:color w:val="auto"/>
        </w:rPr>
      </w:pPr>
    </w:p>
    <w:p>
      <w:pPr>
        <w:ind w:left="300" w:firstLine="426"/>
        <w:spacing w:after="0" w:line="253" w:lineRule="auto"/>
        <w:rPr>
          <w:sz w:val="20"/>
          <w:szCs w:val="20"/>
          <w:color w:val="auto"/>
        </w:rPr>
      </w:pPr>
      <w:r>
        <w:rPr>
          <w:rFonts w:ascii="Arial" w:cs="Arial" w:eastAsia="Arial" w:hAnsi="Arial"/>
          <w:sz w:val="17"/>
          <w:szCs w:val="17"/>
          <w:color w:val="auto"/>
        </w:rPr>
        <w:t>We are leveraging our portfolio of testing products to establish partnerships with leading pharmaceutical companies, academic research centers and patient advocacy organizations. In December 2018, we entered into a co-promotion agreement, or the Janssen Agreement, with Janssen Biotech, Inc., or Janssen, to exclusively promote SIMPONI</w:t>
      </w:r>
      <w:r>
        <w:rPr>
          <w:rFonts w:ascii="Arial" w:cs="Arial" w:eastAsia="Arial" w:hAnsi="Arial"/>
          <w:sz w:val="14"/>
          <w:szCs w:val="14"/>
          <w:color w:val="auto"/>
        </w:rPr>
        <w:t>®</w:t>
      </w:r>
      <w:r>
        <w:rPr>
          <w:rFonts w:ascii="Arial" w:cs="Arial" w:eastAsia="Arial" w:hAnsi="Arial"/>
          <w:sz w:val="17"/>
          <w:szCs w:val="17"/>
          <w:color w:val="auto"/>
        </w:rPr>
        <w:t xml:space="preserve"> (golimumab) in order to advance our integrated testing and therapeutics strategy, and we began direct promotion of SIMPONI</w:t>
      </w:r>
      <w:r>
        <w:rPr>
          <w:rFonts w:ascii="Arial" w:cs="Arial" w:eastAsia="Arial" w:hAnsi="Arial"/>
          <w:sz w:val="14"/>
          <w:szCs w:val="14"/>
          <w:color w:val="auto"/>
        </w:rPr>
        <w:t>®</w:t>
      </w:r>
      <w:r>
        <w:rPr>
          <w:rFonts w:ascii="Arial" w:cs="Arial" w:eastAsia="Arial" w:hAnsi="Arial"/>
          <w:sz w:val="17"/>
          <w:szCs w:val="17"/>
          <w:color w:val="auto"/>
        </w:rPr>
        <w:t xml:space="preserve"> in January 2019. We also have agreements with other leading pharmaceutical companies and clinical research organizations, including GlaxoSmithKline LLC, or GSK, Covance Inc. and Parexel that leverage our testing products and/or the data generated from such tests. We provide GSK, a leader in lupus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64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6649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100"/>
        <w:spacing w:after="0" w:line="237" w:lineRule="auto"/>
        <w:rPr>
          <w:sz w:val="20"/>
          <w:szCs w:val="20"/>
          <w:color w:val="auto"/>
        </w:rPr>
      </w:pPr>
      <w:r>
        <w:rPr>
          <w:rFonts w:ascii="Arial" w:cs="Arial" w:eastAsia="Arial" w:hAnsi="Arial"/>
          <w:sz w:val="18"/>
          <w:szCs w:val="18"/>
          <w:color w:val="auto"/>
        </w:rPr>
        <w:t>therapeutics, our test result data to provide market insight into and help increase awareness of the benefits of an early and accurate diagnosis of SLE and lupus nephritis, and monitoring disease activity. We partner with academic research centers and patient advocacy organizations, such as Brigham and Women’s Hospital, Hospital for Special Surgery, and Duke University as well as the Lupus Foundation of America, to help improve the quality of life for people affected by autoimmune diseases through programs of research, education, support and advocacy. We plan to pursue additional partnerships that are synergistic with our evolving portfolio of testing products.</w:t>
      </w:r>
    </w:p>
    <w:p>
      <w:pPr>
        <w:spacing w:after="0" w:line="205" w:lineRule="exact"/>
        <w:rPr>
          <w:sz w:val="20"/>
          <w:szCs w:val="20"/>
          <w:color w:val="auto"/>
        </w:rPr>
      </w:pPr>
    </w:p>
    <w:p>
      <w:pPr>
        <w:ind w:left="300" w:right="500" w:firstLine="426"/>
        <w:spacing w:after="0" w:line="246" w:lineRule="auto"/>
        <w:rPr>
          <w:sz w:val="20"/>
          <w:szCs w:val="20"/>
          <w:color w:val="auto"/>
        </w:rPr>
      </w:pPr>
      <w:r>
        <w:rPr>
          <w:rFonts w:ascii="Arial" w:cs="Arial" w:eastAsia="Arial" w:hAnsi="Arial"/>
          <w:sz w:val="18"/>
          <w:szCs w:val="18"/>
          <w:color w:val="auto"/>
        </w:rPr>
        <w:t>We have demonstrated a strong track record of developing innovative testing products that meet the needs of diagnosing, prognosing and monitoring CTDs,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Exclusive Forum Provision</w:t>
      </w:r>
    </w:p>
    <w:p>
      <w:pPr>
        <w:spacing w:after="0" w:line="85"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Effective as of March 22, 2021, our Board of Directors adopted an amendment and restatement of our bylaws pursuant to which a new Article XI was added, which provides that, unless we consent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85" w:lineRule="exact"/>
        <w:rPr>
          <w:sz w:val="20"/>
          <w:szCs w:val="20"/>
          <w:color w:val="auto"/>
        </w:rPr>
      </w:pPr>
    </w:p>
    <w:p>
      <w:pPr>
        <w:ind w:left="300" w:right="180" w:firstLine="426"/>
        <w:spacing w:after="0" w:line="237" w:lineRule="auto"/>
        <w:rPr>
          <w:sz w:val="20"/>
          <w:szCs w:val="20"/>
          <w:color w:val="auto"/>
        </w:rPr>
      </w:pPr>
      <w:r>
        <w:rPr>
          <w:rFonts w:ascii="Arial" w:cs="Arial" w:eastAsia="Arial" w:hAnsi="Arial"/>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Vista, California 92081. Our telephone number is (760) 560-1501. Our website address is www.exagen.com. The information on, or accessible through, our website is not part of, and is not incorporated into, this prospectus supplement or the accompanying prospectus and should not be considered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880"/>
          </w:cols>
          <w:pgMar w:left="320" w:top="459"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8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4340" w:type="dxa"/>
            <w:vAlign w:val="bottom"/>
          </w:tcPr>
          <w:p>
            <w:pPr>
              <w:spacing w:after="0"/>
              <w:rPr>
                <w:sz w:val="20"/>
                <w:szCs w:val="20"/>
                <w:color w:val="auto"/>
              </w:rPr>
            </w:pPr>
          </w:p>
        </w:tc>
        <w:tc>
          <w:tcPr>
            <w:tcW w:w="2600" w:type="dxa"/>
            <w:vAlign w:val="bottom"/>
            <w:gridSpan w:val="2"/>
          </w:tcPr>
          <w:p>
            <w:pPr>
              <w:ind w:left="320"/>
              <w:spacing w:after="0"/>
              <w:rPr>
                <w:sz w:val="20"/>
                <w:szCs w:val="20"/>
                <w:color w:val="auto"/>
              </w:rPr>
            </w:pPr>
            <w:r>
              <w:rPr>
                <w:rFonts w:ascii="Arial" w:cs="Arial" w:eastAsia="Arial" w:hAnsi="Arial"/>
                <w:sz w:val="18"/>
                <w:szCs w:val="18"/>
                <w:b w:val="1"/>
                <w:bCs w:val="1"/>
                <w:color w:val="auto"/>
              </w:rPr>
              <w:t>THE OFFERING</w:t>
            </w:r>
          </w:p>
        </w:tc>
        <w:tc>
          <w:tcPr>
            <w:tcW w:w="3700" w:type="dxa"/>
            <w:vAlign w:val="bottom"/>
          </w:tcPr>
          <w:p>
            <w:pPr>
              <w:spacing w:after="0"/>
              <w:rPr>
                <w:sz w:val="20"/>
                <w:szCs w:val="20"/>
                <w:color w:val="auto"/>
              </w:rPr>
            </w:pPr>
          </w:p>
        </w:tc>
      </w:tr>
      <w:tr>
        <w:trPr>
          <w:trHeight w:val="567"/>
        </w:trPr>
        <w:tc>
          <w:tcPr>
            <w:tcW w:w="434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142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8"/>
                <w:szCs w:val="18"/>
                <w:color w:val="auto"/>
              </w:rPr>
              <w:t>shares</w:t>
            </w:r>
          </w:p>
        </w:tc>
        <w:tc>
          <w:tcPr>
            <w:tcW w:w="3700" w:type="dxa"/>
            <w:vAlign w:val="bottom"/>
          </w:tcPr>
          <w:p>
            <w:pPr>
              <w:spacing w:after="0"/>
              <w:rPr>
                <w:sz w:val="24"/>
                <w:szCs w:val="24"/>
                <w:color w:val="auto"/>
              </w:rPr>
            </w:pPr>
          </w:p>
        </w:tc>
      </w:tr>
      <w:tr>
        <w:trPr>
          <w:trHeight w:val="445"/>
        </w:trPr>
        <w:tc>
          <w:tcPr>
            <w:tcW w:w="434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6300" w:type="dxa"/>
            <w:vAlign w:val="bottom"/>
            <w:gridSpan w:val="3"/>
          </w:tcPr>
          <w:p>
            <w:pPr>
              <w:ind w:left="860"/>
              <w:spacing w:after="0"/>
              <w:rPr>
                <w:sz w:val="20"/>
                <w:szCs w:val="20"/>
                <w:color w:val="auto"/>
              </w:rPr>
            </w:pPr>
            <w:r>
              <w:rPr>
                <w:rFonts w:ascii="Arial" w:cs="Arial" w:eastAsia="Arial" w:hAnsi="Arial"/>
                <w:sz w:val="18"/>
                <w:szCs w:val="18"/>
                <w:color w:val="auto"/>
                <w:w w:val="99"/>
              </w:rPr>
              <w:t>We have granted the underwriters an option exercisable for a period</w:t>
            </w:r>
          </w:p>
        </w:tc>
      </w:tr>
      <w:tr>
        <w:trPr>
          <w:trHeight w:val="203"/>
        </w:trPr>
        <w:tc>
          <w:tcPr>
            <w:tcW w:w="4340" w:type="dxa"/>
            <w:vAlign w:val="bottom"/>
          </w:tcPr>
          <w:p>
            <w:pPr>
              <w:spacing w:after="0"/>
              <w:rPr>
                <w:sz w:val="17"/>
                <w:szCs w:val="17"/>
                <w:color w:val="auto"/>
              </w:rPr>
            </w:pPr>
          </w:p>
        </w:tc>
        <w:tc>
          <w:tcPr>
            <w:tcW w:w="630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of 30 days after the date of this prospectus supplement to purchase</w:t>
            </w:r>
          </w:p>
        </w:tc>
      </w:tr>
      <w:tr>
        <w:trPr>
          <w:trHeight w:val="217"/>
        </w:trPr>
        <w:tc>
          <w:tcPr>
            <w:tcW w:w="4340" w:type="dxa"/>
            <w:vAlign w:val="bottom"/>
          </w:tcPr>
          <w:p>
            <w:pPr>
              <w:spacing w:after="0"/>
              <w:rPr>
                <w:sz w:val="18"/>
                <w:szCs w:val="18"/>
                <w:color w:val="auto"/>
              </w:rPr>
            </w:pPr>
          </w:p>
        </w:tc>
        <w:tc>
          <w:tcPr>
            <w:tcW w:w="1420" w:type="dxa"/>
            <w:vAlign w:val="bottom"/>
          </w:tcPr>
          <w:p>
            <w:pPr>
              <w:ind w:left="860"/>
              <w:spacing w:after="0"/>
              <w:rPr>
                <w:sz w:val="20"/>
                <w:szCs w:val="20"/>
                <w:color w:val="auto"/>
              </w:rPr>
            </w:pPr>
            <w:r>
              <w:rPr>
                <w:rFonts w:ascii="Arial" w:cs="Arial" w:eastAsia="Arial" w:hAnsi="Arial"/>
                <w:sz w:val="18"/>
                <w:szCs w:val="18"/>
                <w:color w:val="auto"/>
              </w:rPr>
              <w:t>up to</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additional shares of our common stock.</w:t>
            </w:r>
          </w:p>
        </w:tc>
      </w:tr>
      <w:tr>
        <w:trPr>
          <w:trHeight w:val="431"/>
        </w:trPr>
        <w:tc>
          <w:tcPr>
            <w:tcW w:w="4340" w:type="dxa"/>
            <w:vAlign w:val="bottom"/>
          </w:tcPr>
          <w:p>
            <w:pPr>
              <w:spacing w:after="0"/>
              <w:rPr>
                <w:sz w:val="20"/>
                <w:szCs w:val="20"/>
                <w:color w:val="auto"/>
              </w:rPr>
            </w:pPr>
            <w:r>
              <w:rPr>
                <w:rFonts w:ascii="Arial" w:cs="Arial" w:eastAsia="Arial" w:hAnsi="Arial"/>
                <w:sz w:val="18"/>
                <w:szCs w:val="18"/>
                <w:color w:val="auto"/>
              </w:rPr>
              <w:t>Common stock to be outstanding after this offering</w:t>
            </w:r>
          </w:p>
        </w:tc>
        <w:tc>
          <w:tcPr>
            <w:tcW w:w="142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8"/>
                <w:szCs w:val="18"/>
                <w:color w:val="auto"/>
              </w:rPr>
              <w:t>shares (or</w:t>
            </w:r>
          </w:p>
        </w:tc>
        <w:tc>
          <w:tcPr>
            <w:tcW w:w="3700" w:type="dxa"/>
            <w:vAlign w:val="bottom"/>
          </w:tcPr>
          <w:p>
            <w:pPr>
              <w:ind w:left="320"/>
              <w:spacing w:after="0"/>
              <w:rPr>
                <w:sz w:val="20"/>
                <w:szCs w:val="20"/>
                <w:color w:val="auto"/>
              </w:rPr>
            </w:pPr>
            <w:r>
              <w:rPr>
                <w:rFonts w:ascii="Arial" w:cs="Arial" w:eastAsia="Arial" w:hAnsi="Arial"/>
                <w:sz w:val="18"/>
                <w:szCs w:val="18"/>
                <w:color w:val="auto"/>
              </w:rPr>
              <w:t>shares if the underwriters exercise in full</w:t>
            </w:r>
          </w:p>
        </w:tc>
      </w:tr>
      <w:tr>
        <w:trPr>
          <w:trHeight w:val="203"/>
        </w:trPr>
        <w:tc>
          <w:tcPr>
            <w:tcW w:w="4340" w:type="dxa"/>
            <w:vAlign w:val="bottom"/>
          </w:tcPr>
          <w:p>
            <w:pPr>
              <w:spacing w:after="0"/>
              <w:rPr>
                <w:sz w:val="17"/>
                <w:szCs w:val="17"/>
                <w:color w:val="auto"/>
              </w:rPr>
            </w:pPr>
          </w:p>
        </w:tc>
        <w:tc>
          <w:tcPr>
            <w:tcW w:w="630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their option to purchase additional shares of our common stock in</w:t>
            </w:r>
          </w:p>
        </w:tc>
      </w:tr>
      <w:tr>
        <w:trPr>
          <w:trHeight w:val="217"/>
        </w:trPr>
        <w:tc>
          <w:tcPr>
            <w:tcW w:w="4340" w:type="dxa"/>
            <w:vAlign w:val="bottom"/>
          </w:tcPr>
          <w:p>
            <w:pPr>
              <w:spacing w:after="0"/>
              <w:rPr>
                <w:sz w:val="18"/>
                <w:szCs w:val="18"/>
                <w:color w:val="auto"/>
              </w:rPr>
            </w:pPr>
          </w:p>
        </w:tc>
        <w:tc>
          <w:tcPr>
            <w:tcW w:w="1420" w:type="dxa"/>
            <w:vAlign w:val="bottom"/>
          </w:tcPr>
          <w:p>
            <w:pPr>
              <w:ind w:left="860"/>
              <w:spacing w:after="0"/>
              <w:rPr>
                <w:sz w:val="20"/>
                <w:szCs w:val="20"/>
                <w:color w:val="auto"/>
              </w:rPr>
            </w:pPr>
            <w:r>
              <w:rPr>
                <w:rFonts w:ascii="Arial" w:cs="Arial" w:eastAsia="Arial" w:hAnsi="Arial"/>
                <w:sz w:val="18"/>
                <w:szCs w:val="18"/>
                <w:color w:val="auto"/>
              </w:rPr>
              <w:t>full)</w:t>
            </w:r>
          </w:p>
        </w:tc>
        <w:tc>
          <w:tcPr>
            <w:tcW w:w="118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431"/>
        </w:trPr>
        <w:tc>
          <w:tcPr>
            <w:tcW w:w="4340" w:type="dxa"/>
            <w:vAlign w:val="bottom"/>
          </w:tcPr>
          <w:p>
            <w:pPr>
              <w:spacing w:after="0"/>
              <w:rPr>
                <w:sz w:val="20"/>
                <w:szCs w:val="20"/>
                <w:color w:val="auto"/>
              </w:rPr>
            </w:pPr>
            <w:r>
              <w:rPr>
                <w:rFonts w:ascii="Arial" w:cs="Arial" w:eastAsia="Arial" w:hAnsi="Arial"/>
                <w:sz w:val="18"/>
                <w:szCs w:val="18"/>
                <w:color w:val="auto"/>
              </w:rPr>
              <w:t>Use of proceeds</w:t>
            </w:r>
          </w:p>
        </w:tc>
        <w:tc>
          <w:tcPr>
            <w:tcW w:w="6300" w:type="dxa"/>
            <w:vAlign w:val="bottom"/>
            <w:gridSpan w:val="3"/>
          </w:tcPr>
          <w:p>
            <w:pPr>
              <w:ind w:left="860"/>
              <w:spacing w:after="0"/>
              <w:rPr>
                <w:sz w:val="20"/>
                <w:szCs w:val="20"/>
                <w:color w:val="auto"/>
              </w:rPr>
            </w:pPr>
            <w:r>
              <w:rPr>
                <w:rFonts w:ascii="Arial" w:cs="Arial" w:eastAsia="Arial" w:hAnsi="Arial"/>
                <w:sz w:val="18"/>
                <w:szCs w:val="18"/>
                <w:color w:val="auto"/>
                <w:w w:val="99"/>
              </w:rPr>
              <w:t>We currently intend to use the net proceeds from this offering for the</w:t>
            </w:r>
          </w:p>
        </w:tc>
      </w:tr>
      <w:tr>
        <w:trPr>
          <w:trHeight w:val="203"/>
        </w:trPr>
        <w:tc>
          <w:tcPr>
            <w:tcW w:w="4340" w:type="dxa"/>
            <w:vAlign w:val="bottom"/>
          </w:tcPr>
          <w:p>
            <w:pPr>
              <w:spacing w:after="0"/>
              <w:rPr>
                <w:sz w:val="17"/>
                <w:szCs w:val="17"/>
                <w:color w:val="auto"/>
              </w:rPr>
            </w:pPr>
          </w:p>
        </w:tc>
        <w:tc>
          <w:tcPr>
            <w:tcW w:w="630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development of Multi-omics capabilities, including build out of our</w:t>
            </w:r>
          </w:p>
        </w:tc>
      </w:tr>
      <w:tr>
        <w:trPr>
          <w:trHeight w:val="203"/>
        </w:trPr>
        <w:tc>
          <w:tcPr>
            <w:tcW w:w="4340" w:type="dxa"/>
            <w:vAlign w:val="bottom"/>
          </w:tcPr>
          <w:p>
            <w:pPr>
              <w:spacing w:after="0"/>
              <w:rPr>
                <w:sz w:val="17"/>
                <w:szCs w:val="17"/>
                <w:color w:val="auto"/>
              </w:rPr>
            </w:pPr>
          </w:p>
        </w:tc>
        <w:tc>
          <w:tcPr>
            <w:tcW w:w="630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clinical laboratory, advancement of our product pipeline, including to</w:t>
            </w:r>
          </w:p>
        </w:tc>
      </w:tr>
      <w:tr>
        <w:trPr>
          <w:trHeight w:val="203"/>
        </w:trPr>
        <w:tc>
          <w:tcPr>
            <w:tcW w:w="4340" w:type="dxa"/>
            <w:vAlign w:val="bottom"/>
          </w:tcPr>
          <w:p>
            <w:pPr>
              <w:spacing w:after="0"/>
              <w:rPr>
                <w:sz w:val="17"/>
                <w:szCs w:val="17"/>
                <w:color w:val="auto"/>
              </w:rPr>
            </w:pPr>
          </w:p>
        </w:tc>
        <w:tc>
          <w:tcPr>
            <w:tcW w:w="630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support development of tests for fibromyalgia, RA, thrombosis and</w:t>
            </w:r>
          </w:p>
        </w:tc>
      </w:tr>
      <w:tr>
        <w:trPr>
          <w:trHeight w:val="203"/>
        </w:trPr>
        <w:tc>
          <w:tcPr>
            <w:tcW w:w="4340" w:type="dxa"/>
            <w:vAlign w:val="bottom"/>
          </w:tcPr>
          <w:p>
            <w:pPr>
              <w:spacing w:after="0"/>
              <w:rPr>
                <w:sz w:val="17"/>
                <w:szCs w:val="17"/>
                <w:color w:val="auto"/>
              </w:rPr>
            </w:pPr>
          </w:p>
        </w:tc>
        <w:tc>
          <w:tcPr>
            <w:tcW w:w="630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lupus nephritis, enhancement of intellectual property protection for</w:t>
            </w:r>
          </w:p>
        </w:tc>
      </w:tr>
      <w:tr>
        <w:trPr>
          <w:trHeight w:val="203"/>
        </w:trPr>
        <w:tc>
          <w:tcPr>
            <w:tcW w:w="4340" w:type="dxa"/>
            <w:vAlign w:val="bottom"/>
          </w:tcPr>
          <w:p>
            <w:pPr>
              <w:spacing w:after="0"/>
              <w:rPr>
                <w:sz w:val="17"/>
                <w:szCs w:val="17"/>
                <w:color w:val="auto"/>
              </w:rPr>
            </w:pPr>
          </w:p>
        </w:tc>
        <w:tc>
          <w:tcPr>
            <w:tcW w:w="630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our technologies, and for working capital and other general</w:t>
            </w:r>
          </w:p>
        </w:tc>
      </w:tr>
      <w:tr>
        <w:trPr>
          <w:trHeight w:val="203"/>
        </w:trPr>
        <w:tc>
          <w:tcPr>
            <w:tcW w:w="4340" w:type="dxa"/>
            <w:vAlign w:val="bottom"/>
          </w:tcPr>
          <w:p>
            <w:pPr>
              <w:spacing w:after="0"/>
              <w:rPr>
                <w:sz w:val="17"/>
                <w:szCs w:val="17"/>
                <w:color w:val="auto"/>
              </w:rPr>
            </w:pPr>
          </w:p>
        </w:tc>
        <w:tc>
          <w:tcPr>
            <w:tcW w:w="630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corporate purposes. We may also use a portion of the net proceeds</w:t>
            </w:r>
          </w:p>
        </w:tc>
      </w:tr>
      <w:tr>
        <w:trPr>
          <w:trHeight w:val="203"/>
        </w:trPr>
        <w:tc>
          <w:tcPr>
            <w:tcW w:w="4340" w:type="dxa"/>
            <w:vAlign w:val="bottom"/>
          </w:tcPr>
          <w:p>
            <w:pPr>
              <w:spacing w:after="0"/>
              <w:rPr>
                <w:sz w:val="17"/>
                <w:szCs w:val="17"/>
                <w:color w:val="auto"/>
              </w:rPr>
            </w:pPr>
          </w:p>
        </w:tc>
        <w:tc>
          <w:tcPr>
            <w:tcW w:w="630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to in-license, acquire, or invest in complementary businesses,</w:t>
            </w:r>
          </w:p>
        </w:tc>
      </w:tr>
      <w:tr>
        <w:trPr>
          <w:trHeight w:val="203"/>
        </w:trPr>
        <w:tc>
          <w:tcPr>
            <w:tcW w:w="4340" w:type="dxa"/>
            <w:vAlign w:val="bottom"/>
          </w:tcPr>
          <w:p>
            <w:pPr>
              <w:spacing w:after="0"/>
              <w:rPr>
                <w:sz w:val="17"/>
                <w:szCs w:val="17"/>
                <w:color w:val="auto"/>
              </w:rPr>
            </w:pPr>
          </w:p>
        </w:tc>
        <w:tc>
          <w:tcPr>
            <w:tcW w:w="630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technologies, products or assets; however, we have no current</w:t>
            </w:r>
          </w:p>
        </w:tc>
      </w:tr>
      <w:tr>
        <w:trPr>
          <w:trHeight w:val="217"/>
        </w:trPr>
        <w:tc>
          <w:tcPr>
            <w:tcW w:w="4340" w:type="dxa"/>
            <w:vAlign w:val="bottom"/>
          </w:tcPr>
          <w:p>
            <w:pPr>
              <w:spacing w:after="0"/>
              <w:rPr>
                <w:sz w:val="18"/>
                <w:szCs w:val="18"/>
                <w:color w:val="auto"/>
              </w:rPr>
            </w:pPr>
          </w:p>
        </w:tc>
        <w:tc>
          <w:tcPr>
            <w:tcW w:w="6300" w:type="dxa"/>
            <w:vAlign w:val="bottom"/>
            <w:gridSpan w:val="3"/>
          </w:tcPr>
          <w:p>
            <w:pPr>
              <w:ind w:left="860"/>
              <w:spacing w:after="0"/>
              <w:rPr>
                <w:sz w:val="20"/>
                <w:szCs w:val="20"/>
                <w:color w:val="auto"/>
              </w:rPr>
            </w:pPr>
            <w:r>
              <w:rPr>
                <w:rFonts w:ascii="Arial" w:cs="Arial" w:eastAsia="Arial" w:hAnsi="Arial"/>
                <w:sz w:val="18"/>
                <w:szCs w:val="18"/>
                <w:color w:val="auto"/>
              </w:rPr>
              <w:t>commitments or obligations to do so. See “Use of Proceeds.”</w:t>
            </w:r>
          </w:p>
        </w:tc>
      </w:tr>
      <w:tr>
        <w:trPr>
          <w:trHeight w:val="431"/>
        </w:trPr>
        <w:tc>
          <w:tcPr>
            <w:tcW w:w="4340" w:type="dxa"/>
            <w:vAlign w:val="bottom"/>
          </w:tcPr>
          <w:p>
            <w:pPr>
              <w:spacing w:after="0"/>
              <w:rPr>
                <w:sz w:val="20"/>
                <w:szCs w:val="20"/>
                <w:color w:val="auto"/>
              </w:rPr>
            </w:pPr>
            <w:r>
              <w:rPr>
                <w:rFonts w:ascii="Arial" w:cs="Arial" w:eastAsia="Arial" w:hAnsi="Arial"/>
                <w:sz w:val="18"/>
                <w:szCs w:val="18"/>
                <w:color w:val="auto"/>
              </w:rPr>
              <w:t>Risk factors</w:t>
            </w:r>
          </w:p>
        </w:tc>
        <w:tc>
          <w:tcPr>
            <w:tcW w:w="6300" w:type="dxa"/>
            <w:vAlign w:val="bottom"/>
            <w:gridSpan w:val="3"/>
          </w:tcPr>
          <w:p>
            <w:pPr>
              <w:ind w:left="860"/>
              <w:spacing w:after="0"/>
              <w:rPr>
                <w:sz w:val="20"/>
                <w:szCs w:val="20"/>
                <w:color w:val="auto"/>
              </w:rPr>
            </w:pPr>
            <w:r>
              <w:rPr>
                <w:rFonts w:ascii="Arial" w:cs="Arial" w:eastAsia="Arial" w:hAnsi="Arial"/>
                <w:sz w:val="18"/>
                <w:szCs w:val="18"/>
                <w:color w:val="auto"/>
              </w:rPr>
              <w:t>You should read the “Risk Factors” section of this prospectus</w:t>
            </w:r>
          </w:p>
        </w:tc>
      </w:tr>
      <w:tr>
        <w:trPr>
          <w:trHeight w:val="203"/>
        </w:trPr>
        <w:tc>
          <w:tcPr>
            <w:tcW w:w="4340" w:type="dxa"/>
            <w:vAlign w:val="bottom"/>
          </w:tcPr>
          <w:p>
            <w:pPr>
              <w:spacing w:after="0"/>
              <w:rPr>
                <w:sz w:val="17"/>
                <w:szCs w:val="17"/>
                <w:color w:val="auto"/>
              </w:rPr>
            </w:pPr>
          </w:p>
        </w:tc>
        <w:tc>
          <w:tcPr>
            <w:tcW w:w="630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supplement and in the documents incorporated by reference in this</w:t>
            </w:r>
          </w:p>
        </w:tc>
      </w:tr>
      <w:tr>
        <w:trPr>
          <w:trHeight w:val="203"/>
        </w:trPr>
        <w:tc>
          <w:tcPr>
            <w:tcW w:w="4340" w:type="dxa"/>
            <w:vAlign w:val="bottom"/>
          </w:tcPr>
          <w:p>
            <w:pPr>
              <w:spacing w:after="0"/>
              <w:rPr>
                <w:sz w:val="17"/>
                <w:szCs w:val="17"/>
                <w:color w:val="auto"/>
              </w:rPr>
            </w:pPr>
          </w:p>
        </w:tc>
        <w:tc>
          <w:tcPr>
            <w:tcW w:w="6300" w:type="dxa"/>
            <w:vAlign w:val="bottom"/>
            <w:gridSpan w:val="3"/>
          </w:tcPr>
          <w:p>
            <w:pPr>
              <w:ind w:left="860"/>
              <w:spacing w:after="0" w:line="202" w:lineRule="exact"/>
              <w:rPr>
                <w:sz w:val="20"/>
                <w:szCs w:val="20"/>
                <w:color w:val="auto"/>
              </w:rPr>
            </w:pPr>
            <w:r>
              <w:rPr>
                <w:rFonts w:ascii="Arial" w:cs="Arial" w:eastAsia="Arial" w:hAnsi="Arial"/>
                <w:sz w:val="18"/>
                <w:szCs w:val="18"/>
                <w:color w:val="auto"/>
                <w:w w:val="99"/>
              </w:rPr>
              <w:t>prospectus supplement for a discussion of factors to consider before</w:t>
            </w:r>
          </w:p>
        </w:tc>
      </w:tr>
      <w:tr>
        <w:trPr>
          <w:trHeight w:val="217"/>
        </w:trPr>
        <w:tc>
          <w:tcPr>
            <w:tcW w:w="4340" w:type="dxa"/>
            <w:vAlign w:val="bottom"/>
          </w:tcPr>
          <w:p>
            <w:pPr>
              <w:spacing w:after="0"/>
              <w:rPr>
                <w:sz w:val="18"/>
                <w:szCs w:val="18"/>
                <w:color w:val="auto"/>
              </w:rPr>
            </w:pPr>
          </w:p>
        </w:tc>
        <w:tc>
          <w:tcPr>
            <w:tcW w:w="6300" w:type="dxa"/>
            <w:vAlign w:val="bottom"/>
            <w:gridSpan w:val="3"/>
          </w:tcPr>
          <w:p>
            <w:pPr>
              <w:ind w:left="860"/>
              <w:spacing w:after="0"/>
              <w:rPr>
                <w:sz w:val="20"/>
                <w:szCs w:val="20"/>
                <w:color w:val="auto"/>
              </w:rPr>
            </w:pPr>
            <w:r>
              <w:rPr>
                <w:rFonts w:ascii="Arial" w:cs="Arial" w:eastAsia="Arial" w:hAnsi="Arial"/>
                <w:sz w:val="18"/>
                <w:szCs w:val="18"/>
                <w:color w:val="auto"/>
              </w:rPr>
              <w:t>deciding to invest in our common stock.</w:t>
            </w:r>
          </w:p>
        </w:tc>
      </w:tr>
      <w:tr>
        <w:trPr>
          <w:trHeight w:val="445"/>
        </w:trPr>
        <w:tc>
          <w:tcPr>
            <w:tcW w:w="4340" w:type="dxa"/>
            <w:vAlign w:val="bottom"/>
          </w:tcPr>
          <w:p>
            <w:pPr>
              <w:spacing w:after="0"/>
              <w:rPr>
                <w:sz w:val="20"/>
                <w:szCs w:val="20"/>
                <w:color w:val="auto"/>
              </w:rPr>
            </w:pPr>
            <w:r>
              <w:rPr>
                <w:rFonts w:ascii="Arial" w:cs="Arial" w:eastAsia="Arial" w:hAnsi="Arial"/>
                <w:sz w:val="18"/>
                <w:szCs w:val="18"/>
                <w:color w:val="auto"/>
              </w:rPr>
              <w:t>Nasdaq Global Market symbol</w:t>
            </w:r>
          </w:p>
        </w:tc>
        <w:tc>
          <w:tcPr>
            <w:tcW w:w="1420" w:type="dxa"/>
            <w:vAlign w:val="bottom"/>
          </w:tcPr>
          <w:p>
            <w:pPr>
              <w:ind w:left="860"/>
              <w:spacing w:after="0"/>
              <w:rPr>
                <w:sz w:val="20"/>
                <w:szCs w:val="20"/>
                <w:color w:val="auto"/>
              </w:rPr>
            </w:pPr>
            <w:r>
              <w:rPr>
                <w:rFonts w:ascii="Arial" w:cs="Arial" w:eastAsia="Arial" w:hAnsi="Arial"/>
                <w:sz w:val="18"/>
                <w:szCs w:val="18"/>
                <w:color w:val="auto"/>
              </w:rPr>
              <w:t>“XGN”</w:t>
            </w:r>
          </w:p>
        </w:tc>
        <w:tc>
          <w:tcPr>
            <w:tcW w:w="1180" w:type="dxa"/>
            <w:vAlign w:val="bottom"/>
          </w:tcPr>
          <w:p>
            <w:pPr>
              <w:spacing w:after="0"/>
              <w:rPr>
                <w:sz w:val="24"/>
                <w:szCs w:val="24"/>
                <w:color w:val="auto"/>
              </w:rPr>
            </w:pPr>
          </w:p>
        </w:tc>
        <w:tc>
          <w:tcPr>
            <w:tcW w:w="3700" w:type="dxa"/>
            <w:vAlign w:val="bottom"/>
          </w:tcPr>
          <w:p>
            <w:pPr>
              <w:spacing w:after="0"/>
              <w:rPr>
                <w:sz w:val="24"/>
                <w:szCs w:val="24"/>
                <w:color w:val="auto"/>
              </w:rPr>
            </w:pPr>
          </w:p>
        </w:tc>
      </w:tr>
    </w:tbl>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number of shares of common stock to be outstanding after this offering is based on 12,652,308 shares outstanding as of</w:t>
      </w:r>
    </w:p>
    <w:p>
      <w:pPr>
        <w:ind w:left="300"/>
        <w:spacing w:after="0"/>
        <w:rPr>
          <w:sz w:val="20"/>
          <w:szCs w:val="20"/>
          <w:color w:val="auto"/>
        </w:rPr>
      </w:pPr>
      <w:r>
        <w:rPr>
          <w:rFonts w:ascii="Arial" w:cs="Arial" w:eastAsia="Arial" w:hAnsi="Arial"/>
          <w:sz w:val="18"/>
          <w:szCs w:val="18"/>
          <w:color w:val="auto"/>
        </w:rPr>
        <w:t>December 31, 2020, and excludes:</w:t>
      </w:r>
    </w:p>
    <w:p>
      <w:pPr>
        <w:spacing w:after="0" w:line="239" w:lineRule="exact"/>
        <w:rPr>
          <w:sz w:val="20"/>
          <w:szCs w:val="20"/>
          <w:color w:val="auto"/>
        </w:rPr>
      </w:pPr>
    </w:p>
    <w:p>
      <w:pPr>
        <w:ind w:left="1120" w:right="500" w:hanging="407"/>
        <w:spacing w:after="0" w:line="218" w:lineRule="auto"/>
        <w:tabs>
          <w:tab w:leader="none" w:pos="112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1,975,761 shares of common stock issuable upon the exercise of stock options outstanding as of December 31, 2020 under our equity incentive plans, with a weighted average exercise price of $11.81 per share;</w:t>
      </w:r>
    </w:p>
    <w:p>
      <w:pPr>
        <w:spacing w:after="0" w:line="27" w:lineRule="exact"/>
        <w:rPr>
          <w:rFonts w:ascii="MS PGothic" w:cs="MS PGothic" w:eastAsia="MS PGothic" w:hAnsi="MS PGothic"/>
          <w:sz w:val="25"/>
          <w:szCs w:val="25"/>
          <w:color w:val="auto"/>
          <w:vertAlign w:val="superscript"/>
        </w:rPr>
      </w:pPr>
    </w:p>
    <w:p>
      <w:pPr>
        <w:ind w:left="1120" w:right="440" w:hanging="407"/>
        <w:spacing w:after="0" w:line="218" w:lineRule="auto"/>
        <w:tabs>
          <w:tab w:leader="none" w:pos="112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426,827 shares of common stock issuable upon the exercise of warrants outstanding as of December 31, 2020, with a weighted-average exercise price of $4.90 per share;</w:t>
      </w:r>
    </w:p>
    <w:p>
      <w:pPr>
        <w:spacing w:after="0" w:line="27" w:lineRule="exact"/>
        <w:rPr>
          <w:rFonts w:ascii="MS PGothic" w:cs="MS PGothic" w:eastAsia="MS PGothic" w:hAnsi="MS PGothic"/>
          <w:sz w:val="25"/>
          <w:szCs w:val="25"/>
          <w:color w:val="auto"/>
          <w:vertAlign w:val="superscript"/>
        </w:rPr>
      </w:pPr>
    </w:p>
    <w:p>
      <w:pPr>
        <w:ind w:left="1120" w:right="100" w:hanging="407"/>
        <w:spacing w:after="0" w:line="218" w:lineRule="auto"/>
        <w:tabs>
          <w:tab w:leader="none" w:pos="112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185,000 shares of common stock reserved for issuance upon the vesting of outstanding restricted stock units granted after December 31, 2020;</w:t>
      </w:r>
    </w:p>
    <w:p>
      <w:pPr>
        <w:spacing w:after="0" w:line="27" w:lineRule="exact"/>
        <w:rPr>
          <w:rFonts w:ascii="MS PGothic" w:cs="MS PGothic" w:eastAsia="MS PGothic" w:hAnsi="MS PGothic"/>
          <w:sz w:val="25"/>
          <w:szCs w:val="25"/>
          <w:color w:val="auto"/>
          <w:vertAlign w:val="superscript"/>
        </w:rPr>
      </w:pPr>
    </w:p>
    <w:p>
      <w:pPr>
        <w:ind w:left="1120" w:right="120" w:hanging="407"/>
        <w:spacing w:after="0" w:line="218" w:lineRule="auto"/>
        <w:tabs>
          <w:tab w:leader="none" w:pos="112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1,139,323 shares of common stock reserved for future issuance under our 2019 Incentive Award Plan as of December 31, 2020;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38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93853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right="820" w:hanging="407"/>
        <w:spacing w:after="0" w:line="218"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233,961 shares of common stock reserved for future issuance under our 2019 Employee Stock Purchase Plan as of December 31, 2020.</w:t>
      </w:r>
    </w:p>
    <w:p>
      <w:pPr>
        <w:spacing w:after="0" w:line="19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Except as otherwise indicated, all information in this prospectus supplement assumes no exercise of outstanding options and no</w:t>
      </w:r>
    </w:p>
    <w:tbl>
      <w:tblPr>
        <w:tblLayout w:type="fixed"/>
        <w:tblInd w:w="120" w:type="dxa"/>
        <w:tblCellMar>
          <w:top w:w="0" w:type="dxa"/>
          <w:left w:w="0" w:type="dxa"/>
          <w:bottom w:w="0" w:type="dxa"/>
          <w:right w:w="0" w:type="dxa"/>
        </w:tblCellMar>
      </w:tblPr>
      <w:tr>
        <w:trPr>
          <w:trHeight w:val="217"/>
        </w:trPr>
        <w:tc>
          <w:tcPr>
            <w:tcW w:w="6400" w:type="dxa"/>
            <w:vAlign w:val="bottom"/>
          </w:tcPr>
          <w:p>
            <w:pPr>
              <w:ind w:left="180"/>
              <w:spacing w:after="0"/>
              <w:rPr>
                <w:sz w:val="20"/>
                <w:szCs w:val="20"/>
                <w:color w:val="auto"/>
              </w:rPr>
            </w:pPr>
            <w:r>
              <w:rPr>
                <w:rFonts w:ascii="Arial" w:cs="Arial" w:eastAsia="Arial" w:hAnsi="Arial"/>
                <w:sz w:val="18"/>
                <w:szCs w:val="18"/>
                <w:color w:val="auto"/>
              </w:rPr>
              <w:t>exercise by the underwriters of their option to purchase up to an additional</w:t>
            </w:r>
          </w:p>
        </w:tc>
        <w:tc>
          <w:tcPr>
            <w:tcW w:w="4620" w:type="dxa"/>
            <w:vAlign w:val="bottom"/>
          </w:tcPr>
          <w:p>
            <w:pPr>
              <w:ind w:left="320"/>
              <w:spacing w:after="0"/>
              <w:rPr>
                <w:sz w:val="20"/>
                <w:szCs w:val="20"/>
                <w:color w:val="auto"/>
              </w:rPr>
            </w:pPr>
            <w:r>
              <w:rPr>
                <w:rFonts w:ascii="Arial" w:cs="Arial" w:eastAsia="Arial" w:hAnsi="Arial"/>
                <w:sz w:val="18"/>
                <w:szCs w:val="18"/>
                <w:color w:val="auto"/>
              </w:rPr>
              <w:t>shares of our common stock.</w:t>
            </w:r>
          </w:p>
        </w:tc>
      </w:tr>
      <w:tr>
        <w:trPr>
          <w:trHeight w:val="226"/>
        </w:trPr>
        <w:tc>
          <w:tcPr>
            <w:tcW w:w="640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r>
      <w:tr>
        <w:trPr>
          <w:trHeight w:val="604"/>
        </w:trPr>
        <w:tc>
          <w:tcPr>
            <w:tcW w:w="6400" w:type="dxa"/>
            <w:vAlign w:val="bottom"/>
          </w:tcPr>
          <w:p>
            <w:pPr>
              <w:ind w:left="5360"/>
              <w:spacing w:after="0"/>
              <w:rPr>
                <w:sz w:val="20"/>
                <w:szCs w:val="20"/>
                <w:color w:val="auto"/>
              </w:rPr>
            </w:pPr>
            <w:r>
              <w:rPr>
                <w:rFonts w:ascii="Arial" w:cs="Arial" w:eastAsia="Arial" w:hAnsi="Arial"/>
                <w:sz w:val="18"/>
                <w:szCs w:val="18"/>
                <w:color w:val="auto"/>
              </w:rPr>
              <w:t>S-4</w:t>
            </w:r>
          </w:p>
        </w:tc>
        <w:tc>
          <w:tcPr>
            <w:tcW w:w="46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i w:val="1"/>
          <w:iCs w:val="1"/>
          <w:color w:val="auto"/>
        </w:rPr>
        <w:t>You should consider carefully the risks described below and discussed under the section captioned “Risk Factors” contained in our Annual Report on Form 10-K for the year ended December 31, 2020 as updated by our subsequent filings under the Securities Exchange Act of 1934, as amended, or the Exchange Act, which are incorporated by reference in this prospectus supplement and the accompanying prospectus in their entirety, together with other information in this prospectus supplement, the accompanying prospectus and the information and documents incorporated by reference in this prospectus supplement and the accompanying prospectus,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This Offering</w:t>
      </w:r>
    </w:p>
    <w:p>
      <w:pPr>
        <w:spacing w:after="0" w:line="212"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b w:val="1"/>
          <w:bCs w:val="1"/>
          <w:i w:val="1"/>
          <w:iCs w:val="1"/>
          <w:color w:val="auto"/>
        </w:rPr>
        <w:t>If you purchase shares of our common stock sold in this offering, you will experience immediate and substantial dilution in the net tangible book value of your shares. In addition, we may issue additional equity or convertible debt securities in the future, which may result in additional dilution to investors.</w:t>
      </w:r>
    </w:p>
    <w:p>
      <w:pPr>
        <w:spacing w:after="0" w:line="56" w:lineRule="exact"/>
        <w:rPr>
          <w:sz w:val="20"/>
          <w:szCs w:val="20"/>
          <w:color w:val="auto"/>
        </w:rPr>
      </w:pPr>
    </w:p>
    <w:p>
      <w:pPr>
        <w:ind w:left="120" w:right="180" w:firstLine="440"/>
        <w:spacing w:after="0" w:line="234" w:lineRule="auto"/>
        <w:rPr>
          <w:sz w:val="20"/>
          <w:szCs w:val="20"/>
          <w:color w:val="auto"/>
        </w:rPr>
      </w:pPr>
      <w:r>
        <w:rPr>
          <w:rFonts w:ascii="Arial" w:cs="Arial" w:eastAsia="Arial" w:hAnsi="Arial"/>
          <w:sz w:val="18"/>
          <w:szCs w:val="18"/>
          <w:color w:val="auto"/>
        </w:rPr>
        <w:t>The offering price per share of common stock in this offering is considerably more than the net tangible book value per share of our outstanding common stock. As a result, investors purchasing shares of common stock in this offering will pay a price per share that</w:t>
      </w:r>
    </w:p>
    <w:p>
      <w:pPr>
        <w:spacing w:after="0" w:line="1" w:lineRule="exact"/>
        <w:rPr>
          <w:sz w:val="20"/>
          <w:szCs w:val="20"/>
          <w:color w:val="auto"/>
        </w:rPr>
      </w:pPr>
    </w:p>
    <w:p>
      <w:pPr>
        <w:ind w:left="120" w:right="260"/>
        <w:spacing w:after="0" w:line="234" w:lineRule="auto"/>
        <w:rPr>
          <w:sz w:val="20"/>
          <w:szCs w:val="20"/>
          <w:color w:val="auto"/>
        </w:rPr>
      </w:pPr>
      <w:r>
        <w:rPr>
          <w:rFonts w:ascii="Arial" w:cs="Arial" w:eastAsia="Arial" w:hAnsi="Arial"/>
          <w:sz w:val="18"/>
          <w:szCs w:val="18"/>
          <w:color w:val="auto"/>
        </w:rPr>
        <w:t>substantially exceeds the value of our tangible assets after subtracting liabilities. Based upon the public offering price of $ per share, new investors will incur immediate dilution of $ per share based on the net tangible book value as of December 31, 2020.</w:t>
      </w:r>
    </w:p>
    <w:p>
      <w:pPr>
        <w:spacing w:after="0" w:line="1" w:lineRule="exact"/>
        <w:rPr>
          <w:sz w:val="20"/>
          <w:szCs w:val="20"/>
          <w:color w:val="auto"/>
        </w:rPr>
      </w:pPr>
    </w:p>
    <w:p>
      <w:pPr>
        <w:ind w:left="120" w:right="200"/>
        <w:spacing w:after="0" w:line="257" w:lineRule="auto"/>
        <w:rPr>
          <w:sz w:val="20"/>
          <w:szCs w:val="20"/>
          <w:color w:val="auto"/>
        </w:rPr>
      </w:pPr>
      <w:r>
        <w:rPr>
          <w:rFonts w:ascii="Arial" w:cs="Arial" w:eastAsia="Arial" w:hAnsi="Arial"/>
          <w:sz w:val="17"/>
          <w:szCs w:val="17"/>
          <w:color w:val="auto"/>
        </w:rPr>
        <w:t>For a more detailed discussion of the foregoing, see the section entitled “Dilution” below. To the extent outstanding stock options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167"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27"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for the development of Multi-omics capabilities, including build out of our clinical laboratory, advancement of our product pipeline, including to support development of tests for fibromyalgia, RA, thrombosis and lupus nephritis, enhancement of intellectual property protection for our technologies, and for working capital and other general corporate purposes. We may also use a portion of the net proceeds to in-license, acquire, or invest in complementary businesses, technologies, products or assets; however, we have no current commitments or obligations to do so.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42"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This prospectus supplement and the accompanying prospectus, including the documents incorporated by reference herein and therein, and any free writing prospectus that we have authorized for use in connection with this offering contain forward-looking statements within the meaning of Section 21E of the Exchange Act. All statements other than statements of historical facts contained in this prospectus supplement, the accompanying prospectus and the documents incorporated by reference herein are forward-looking statements, including statements regarding our future results of operations and financial position, business strategy, the impact of the COVID-19 pandemic, current and future product offerings, reimbursement and coverage, our ability to implement an integrated testing with therapeutics strategy, the expected benefits from our partnership or promotion arrangements with third parties, research and development costs, timing and likelihood of success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prospectus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21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supplement, the accompanying prospectus and the documents incorporated by reference 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supplement and are subject to a number of risks, uncertainties and assumptions, which we discuss in greater detail in the documents incorporated by reference herein, including under the heading “Risk Factors.”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 -looking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supplement, the accompanying prospectus or the documents incorporated by reference herein, whether as a result of any new information, future events, changed circumstances or otherwise. For all forward-looking statements, we claim the protection of the safe harbor for forward-looking statements contained in the Private Securities Litigation Reform Act of 1995.</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534"/>
        </w:trPr>
        <w:tc>
          <w:tcPr>
            <w:tcW w:w="1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80" w:type="dxa"/>
            <w:vAlign w:val="bottom"/>
            <w:gridSpan w:val="2"/>
          </w:tcPr>
          <w:p>
            <w:pPr>
              <w:ind w:left="560"/>
              <w:spacing w:after="0"/>
              <w:rPr>
                <w:sz w:val="20"/>
                <w:szCs w:val="20"/>
                <w:color w:val="auto"/>
              </w:rPr>
            </w:pPr>
            <w:r>
              <w:rPr>
                <w:rFonts w:ascii="Arial" w:cs="Arial" w:eastAsia="Arial" w:hAnsi="Arial"/>
                <w:sz w:val="18"/>
                <w:szCs w:val="18"/>
                <w:b w:val="1"/>
                <w:bCs w:val="1"/>
                <w:color w:val="auto"/>
              </w:rPr>
              <w:t>USE OF PROCEEDS</w:t>
            </w:r>
          </w:p>
        </w:tc>
        <w:tc>
          <w:tcPr>
            <w:tcW w:w="2540" w:type="dxa"/>
            <w:vAlign w:val="bottom"/>
          </w:tcPr>
          <w:p>
            <w:pPr>
              <w:spacing w:after="0"/>
              <w:rPr>
                <w:sz w:val="24"/>
                <w:szCs w:val="24"/>
                <w:color w:val="auto"/>
              </w:rPr>
            </w:pPr>
          </w:p>
        </w:tc>
      </w:tr>
      <w:tr>
        <w:trPr>
          <w:trHeight w:val="512"/>
        </w:trPr>
        <w:tc>
          <w:tcPr>
            <w:tcW w:w="6020" w:type="dxa"/>
            <w:vAlign w:val="bottom"/>
            <w:gridSpan w:val="3"/>
          </w:tcPr>
          <w:p>
            <w:pPr>
              <w:ind w:left="560"/>
              <w:spacing w:after="0"/>
              <w:rPr>
                <w:sz w:val="20"/>
                <w:szCs w:val="20"/>
                <w:color w:val="auto"/>
              </w:rPr>
            </w:pPr>
            <w:r>
              <w:rPr>
                <w:rFonts w:ascii="Arial" w:cs="Arial" w:eastAsia="Arial" w:hAnsi="Arial"/>
                <w:sz w:val="18"/>
                <w:szCs w:val="18"/>
                <w:color w:val="auto"/>
              </w:rPr>
              <w:t>We estimate that we will receive net proceeds of approximately $</w:t>
            </w:r>
          </w:p>
        </w:tc>
        <w:tc>
          <w:tcPr>
            <w:tcW w:w="2460" w:type="dxa"/>
            <w:vAlign w:val="bottom"/>
          </w:tcPr>
          <w:p>
            <w:pPr>
              <w:ind w:left="300"/>
              <w:spacing w:after="0"/>
              <w:rPr>
                <w:sz w:val="20"/>
                <w:szCs w:val="20"/>
                <w:color w:val="auto"/>
              </w:rPr>
            </w:pPr>
            <w:r>
              <w:rPr>
                <w:rFonts w:ascii="Arial" w:cs="Arial" w:eastAsia="Arial" w:hAnsi="Arial"/>
                <w:sz w:val="18"/>
                <w:szCs w:val="18"/>
                <w:color w:val="auto"/>
              </w:rPr>
              <w:t>million from the sale of</w:t>
            </w:r>
          </w:p>
        </w:tc>
        <w:tc>
          <w:tcPr>
            <w:tcW w:w="2540" w:type="dxa"/>
            <w:vAlign w:val="bottom"/>
          </w:tcPr>
          <w:p>
            <w:pPr>
              <w:ind w:left="340"/>
              <w:spacing w:after="0"/>
              <w:rPr>
                <w:sz w:val="20"/>
                <w:szCs w:val="20"/>
                <w:color w:val="auto"/>
              </w:rPr>
            </w:pPr>
            <w:r>
              <w:rPr>
                <w:rFonts w:ascii="Arial" w:cs="Arial" w:eastAsia="Arial" w:hAnsi="Arial"/>
                <w:sz w:val="18"/>
                <w:szCs w:val="18"/>
                <w:color w:val="auto"/>
              </w:rPr>
              <w:t>shares of common stock</w:t>
            </w:r>
          </w:p>
        </w:tc>
      </w:tr>
      <w:tr>
        <w:trPr>
          <w:trHeight w:val="203"/>
        </w:trPr>
        <w:tc>
          <w:tcPr>
            <w:tcW w:w="42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offered by us in this offering, or approximately $</w:t>
            </w:r>
          </w:p>
        </w:tc>
        <w:tc>
          <w:tcPr>
            <w:tcW w:w="682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million if the underwriters exercise in full their option to purchase up to an</w:t>
            </w:r>
          </w:p>
        </w:tc>
      </w:tr>
      <w:tr>
        <w:trPr>
          <w:trHeight w:val="203"/>
        </w:trPr>
        <w:tc>
          <w:tcPr>
            <w:tcW w:w="1360" w:type="dxa"/>
            <w:vAlign w:val="bottom"/>
          </w:tcPr>
          <w:p>
            <w:pPr>
              <w:ind w:left="120"/>
              <w:spacing w:after="0" w:line="202" w:lineRule="exact"/>
              <w:rPr>
                <w:sz w:val="20"/>
                <w:szCs w:val="20"/>
                <w:color w:val="auto"/>
              </w:rPr>
            </w:pPr>
            <w:r>
              <w:rPr>
                <w:rFonts w:ascii="Arial" w:cs="Arial" w:eastAsia="Arial" w:hAnsi="Arial"/>
                <w:sz w:val="18"/>
                <w:szCs w:val="18"/>
                <w:color w:val="auto"/>
              </w:rPr>
              <w:t>additional</w:t>
            </w:r>
          </w:p>
        </w:tc>
        <w:tc>
          <w:tcPr>
            <w:tcW w:w="9660" w:type="dxa"/>
            <w:vAlign w:val="bottom"/>
            <w:gridSpan w:val="4"/>
          </w:tcPr>
          <w:p>
            <w:pPr>
              <w:ind w:left="180"/>
              <w:spacing w:after="0" w:line="202" w:lineRule="exact"/>
              <w:rPr>
                <w:sz w:val="20"/>
                <w:szCs w:val="20"/>
                <w:color w:val="auto"/>
              </w:rPr>
            </w:pPr>
            <w:r>
              <w:rPr>
                <w:rFonts w:ascii="Arial" w:cs="Arial" w:eastAsia="Arial" w:hAnsi="Arial"/>
                <w:sz w:val="18"/>
                <w:szCs w:val="18"/>
                <w:color w:val="auto"/>
                <w:w w:val="99"/>
              </w:rPr>
              <w:t>shares of common stock, after deducting the estimated underwriting discounts and commissions and estimated offering</w:t>
            </w:r>
          </w:p>
        </w:tc>
      </w:tr>
      <w:tr>
        <w:trPr>
          <w:trHeight w:val="217"/>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expenses payable by us.</w:t>
            </w:r>
          </w:p>
        </w:tc>
        <w:tc>
          <w:tcPr>
            <w:tcW w:w="18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40" w:type="dxa"/>
            <w:vAlign w:val="bottom"/>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80" w:firstLine="440"/>
        <w:spacing w:after="0" w:line="238" w:lineRule="auto"/>
        <w:rPr>
          <w:sz w:val="20"/>
          <w:szCs w:val="20"/>
          <w:color w:val="auto"/>
        </w:rPr>
      </w:pPr>
      <w:r>
        <w:rPr>
          <w:rFonts w:ascii="Arial" w:cs="Arial" w:eastAsia="Arial" w:hAnsi="Arial"/>
          <w:sz w:val="18"/>
          <w:szCs w:val="18"/>
          <w:color w:val="auto"/>
        </w:rPr>
        <w:t>We currently intend to use the net proceeds of this offering for the development of Multi-omics capabilities, including build out of our clinical laboratory, advancement of our product pipeline, including to support development of tests for fibromyalgia, RA, thrombosis and lupus nephritis, enhancement of intellectual property protection for our technologies, and for working capital and other general corporate purposes.</w:t>
      </w:r>
    </w:p>
    <w:p>
      <w:pPr>
        <w:spacing w:after="0" w:line="20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We may also use a portion of the net proceeds to in-license, acquire, or invest in complementary businesses, technologies, products or assets. However, we have no current commitments or obligations to do so.</w:t>
      </w:r>
    </w:p>
    <w:p>
      <w:pPr>
        <w:spacing w:after="0" w:line="197"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amounts and timing of our actual expenditures will depend on numerous factors, including the factors described under “Risk Factors” in this prospectus supplement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80"/>
          </w:cols>
          <w:pgMar w:left="320" w:top="446"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342" w:lineRule="exact"/>
        <w:rPr>
          <w:sz w:val="20"/>
          <w:szCs w:val="20"/>
          <w:color w:val="auto"/>
        </w:rPr>
      </w:pPr>
    </w:p>
    <w:p>
      <w:pPr>
        <w:ind w:left="120" w:right="140" w:firstLine="440"/>
        <w:spacing w:after="0" w:line="248" w:lineRule="auto"/>
        <w:rPr>
          <w:sz w:val="20"/>
          <w:szCs w:val="20"/>
          <w:color w:val="auto"/>
        </w:rPr>
      </w:pPr>
      <w:r>
        <w:rPr>
          <w:rFonts w:ascii="Arial" w:cs="Arial" w:eastAsia="Arial" w:hAnsi="Arial"/>
          <w:sz w:val="17"/>
          <w:szCs w:val="17"/>
          <w:color w:val="auto"/>
        </w:rPr>
        <w:t>If you invest in our common stock in this offering, your interest will be diluted to the extent of the difference between the public offering price per share and the net tangible book value per share of our common stock after this offering. As of December 31, 2020, our net tangible book value was $36.3 million, or $2.87 per share, based on 12,652,308 shares of our common stock outstanding as of December 31, 2020. Our net tangible book value per share represents the amount of our total tangible assets reduced by the amount of our total liabilities, divided by the total number of shares of our common stock outstanding as of December 31, 2020. After giving effect to</w:t>
      </w:r>
    </w:p>
    <w:p>
      <w:pPr>
        <w:spacing w:after="0" w:line="3" w:lineRule="exact"/>
        <w:rPr>
          <w:sz w:val="20"/>
          <w:szCs w:val="20"/>
          <w:color w:val="auto"/>
        </w:rPr>
      </w:pPr>
    </w:p>
    <w:p>
      <w:pPr>
        <w:jc w:val="both"/>
        <w:ind w:left="120" w:right="80"/>
        <w:spacing w:after="0" w:line="234" w:lineRule="auto"/>
        <w:rPr>
          <w:sz w:val="20"/>
          <w:szCs w:val="20"/>
          <w:color w:val="auto"/>
        </w:rPr>
      </w:pPr>
      <w:r>
        <w:rPr>
          <w:rFonts w:ascii="Arial" w:cs="Arial" w:eastAsia="Arial" w:hAnsi="Arial"/>
          <w:sz w:val="18"/>
          <w:szCs w:val="18"/>
          <w:color w:val="auto"/>
        </w:rPr>
        <w:t>our sale in this offering of shares of common stock at the public offering price of $ per share, after deducting the estimated underwriting discounts and commissions and estimated offering expenses payable by us, our net tangible book value as of December 31,</w:t>
      </w:r>
    </w:p>
    <w:tbl>
      <w:tblPr>
        <w:tblLayout w:type="fixed"/>
        <w:tblInd w:w="120" w:type="dxa"/>
        <w:tblCellMar>
          <w:top w:w="0" w:type="dxa"/>
          <w:left w:w="0" w:type="dxa"/>
          <w:bottom w:w="0" w:type="dxa"/>
          <w:right w:w="0" w:type="dxa"/>
        </w:tblCellMar>
      </w:tblPr>
      <w:tr>
        <w:trPr>
          <w:trHeight w:val="204"/>
        </w:trPr>
        <w:tc>
          <w:tcPr>
            <w:tcW w:w="2260" w:type="dxa"/>
            <w:vAlign w:val="bottom"/>
            <w:gridSpan w:val="3"/>
          </w:tcPr>
          <w:p>
            <w:pPr>
              <w:spacing w:after="0" w:line="204" w:lineRule="exact"/>
              <w:rPr>
                <w:sz w:val="20"/>
                <w:szCs w:val="20"/>
                <w:color w:val="auto"/>
              </w:rPr>
            </w:pPr>
            <w:r>
              <w:rPr>
                <w:rFonts w:ascii="Arial" w:cs="Arial" w:eastAsia="Arial" w:hAnsi="Arial"/>
                <w:sz w:val="18"/>
                <w:szCs w:val="18"/>
                <w:color w:val="auto"/>
              </w:rPr>
              <w:t>2020 would have been $</w:t>
            </w:r>
          </w:p>
        </w:tc>
        <w:tc>
          <w:tcPr>
            <w:tcW w:w="1540" w:type="dxa"/>
            <w:vAlign w:val="bottom"/>
          </w:tcPr>
          <w:p>
            <w:pPr>
              <w:ind w:left="300"/>
              <w:spacing w:after="0" w:line="204" w:lineRule="exact"/>
              <w:rPr>
                <w:sz w:val="20"/>
                <w:szCs w:val="20"/>
                <w:color w:val="auto"/>
              </w:rPr>
            </w:pPr>
            <w:r>
              <w:rPr>
                <w:rFonts w:ascii="Arial" w:cs="Arial" w:eastAsia="Arial" w:hAnsi="Arial"/>
                <w:sz w:val="18"/>
                <w:szCs w:val="18"/>
                <w:color w:val="auto"/>
              </w:rPr>
              <w:t>million, or $</w:t>
            </w:r>
          </w:p>
        </w:tc>
        <w:tc>
          <w:tcPr>
            <w:tcW w:w="6880" w:type="dxa"/>
            <w:vAlign w:val="bottom"/>
            <w:gridSpan w:val="6"/>
          </w:tcPr>
          <w:p>
            <w:pPr>
              <w:ind w:left="320"/>
              <w:spacing w:after="0" w:line="204" w:lineRule="exact"/>
              <w:rPr>
                <w:sz w:val="20"/>
                <w:szCs w:val="20"/>
                <w:color w:val="auto"/>
              </w:rPr>
            </w:pPr>
            <w:r>
              <w:rPr>
                <w:rFonts w:ascii="Arial" w:cs="Arial" w:eastAsia="Arial" w:hAnsi="Arial"/>
                <w:sz w:val="18"/>
                <w:szCs w:val="18"/>
                <w:color w:val="auto"/>
              </w:rPr>
              <w:t>per share. This represents an immediate increase in net tangible book value of</w:t>
            </w:r>
          </w:p>
        </w:tc>
        <w:tc>
          <w:tcPr>
            <w:tcW w:w="0" w:type="dxa"/>
            <w:vAlign w:val="bottom"/>
          </w:tcPr>
          <w:p>
            <w:pPr>
              <w:spacing w:after="0"/>
              <w:rPr>
                <w:sz w:val="1"/>
                <w:szCs w:val="1"/>
                <w:color w:val="auto"/>
              </w:rPr>
            </w:pPr>
          </w:p>
        </w:tc>
      </w:tr>
      <w:tr>
        <w:trPr>
          <w:trHeight w:val="203"/>
        </w:trPr>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1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per share to our existing stockholders and immediate dilution of $</w:t>
            </w:r>
          </w:p>
        </w:tc>
        <w:tc>
          <w:tcPr>
            <w:tcW w:w="4220" w:type="dxa"/>
            <w:vAlign w:val="bottom"/>
            <w:gridSpan w:val="5"/>
          </w:tcPr>
          <w:p>
            <w:pPr>
              <w:ind w:left="120"/>
              <w:spacing w:after="0" w:line="202" w:lineRule="exact"/>
              <w:rPr>
                <w:sz w:val="20"/>
                <w:szCs w:val="20"/>
                <w:color w:val="auto"/>
              </w:rPr>
            </w:pPr>
            <w:r>
              <w:rPr>
                <w:rFonts w:ascii="Arial" w:cs="Arial" w:eastAsia="Arial" w:hAnsi="Arial"/>
                <w:sz w:val="18"/>
                <w:szCs w:val="18"/>
                <w:color w:val="auto"/>
                <w:w w:val="99"/>
              </w:rPr>
              <w:t>per share to new investors purchasing our common</w:t>
            </w:r>
          </w:p>
        </w:tc>
        <w:tc>
          <w:tcPr>
            <w:tcW w:w="0" w:type="dxa"/>
            <w:vAlign w:val="bottom"/>
          </w:tcPr>
          <w:p>
            <w:pPr>
              <w:spacing w:after="0"/>
              <w:rPr>
                <w:sz w:val="1"/>
                <w:szCs w:val="1"/>
                <w:color w:val="auto"/>
              </w:rPr>
            </w:pPr>
          </w:p>
        </w:tc>
      </w:tr>
      <w:tr>
        <w:trPr>
          <w:trHeight w:val="217"/>
        </w:trPr>
        <w:tc>
          <w:tcPr>
            <w:tcW w:w="6460" w:type="dxa"/>
            <w:vAlign w:val="bottom"/>
            <w:gridSpan w:val="5"/>
          </w:tcPr>
          <w:p>
            <w:pPr>
              <w:spacing w:after="0"/>
              <w:rPr>
                <w:sz w:val="20"/>
                <w:szCs w:val="20"/>
                <w:color w:val="auto"/>
              </w:rPr>
            </w:pPr>
            <w:r>
              <w:rPr>
                <w:rFonts w:ascii="Arial" w:cs="Arial" w:eastAsia="Arial" w:hAnsi="Arial"/>
                <w:sz w:val="18"/>
                <w:szCs w:val="18"/>
                <w:color w:val="auto"/>
              </w:rPr>
              <w:t>stock in this offering. The following table illustrates this per share dilution.</w:t>
            </w:r>
          </w:p>
        </w:tc>
        <w:tc>
          <w:tcPr>
            <w:tcW w:w="2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20" w:type="dxa"/>
            <w:vAlign w:val="bottom"/>
            <w:vMerge w:val="restart"/>
          </w:tcPr>
          <w:p>
            <w:pPr>
              <w:spacing w:after="0"/>
              <w:rPr>
                <w:sz w:val="19"/>
                <w:szCs w:val="19"/>
                <w:color w:val="auto"/>
              </w:rPr>
            </w:pPr>
          </w:p>
        </w:tc>
        <w:tc>
          <w:tcPr>
            <w:tcW w:w="3460" w:type="dxa"/>
            <w:vAlign w:val="bottom"/>
            <w:gridSpan w:val="2"/>
          </w:tcPr>
          <w:p>
            <w:pPr>
              <w:spacing w:after="0"/>
              <w:rPr>
                <w:sz w:val="19"/>
                <w:szCs w:val="19"/>
                <w:color w:val="auto"/>
              </w:rPr>
            </w:pPr>
          </w:p>
        </w:tc>
        <w:tc>
          <w:tcPr>
            <w:tcW w:w="26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3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 per share</w:t>
            </w:r>
          </w:p>
        </w:tc>
        <w:tc>
          <w:tcPr>
            <w:tcW w:w="2660" w:type="dxa"/>
            <w:vAlign w:val="bottom"/>
            <w:shd w:val="clear" w:color="auto" w:fill="CCEEFF"/>
          </w:tcPr>
          <w:p>
            <w:pPr>
              <w:spacing w:after="0"/>
              <w:rPr>
                <w:sz w:val="17"/>
                <w:szCs w:val="17"/>
                <w:color w:val="auto"/>
              </w:rPr>
            </w:pPr>
          </w:p>
        </w:tc>
        <w:tc>
          <w:tcPr>
            <w:tcW w:w="4180" w:type="dxa"/>
            <w:vAlign w:val="bottom"/>
            <w:gridSpan w:val="4"/>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2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Net tangible book value per share at December 31, 2020</w:t>
            </w:r>
          </w:p>
        </w:tc>
        <w:tc>
          <w:tcPr>
            <w:tcW w:w="3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$2.87</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60" w:type="dxa"/>
            <w:vAlign w:val="bottom"/>
            <w:gridSpan w:val="4"/>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per share attributable to investors purchasing shares in this offering</w:t>
            </w: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9700" w:type="dxa"/>
            <w:vAlign w:val="bottom"/>
            <w:gridSpan w:val="7"/>
          </w:tcPr>
          <w:p>
            <w:pPr>
              <w:ind w:left="100"/>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7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investors purchasing our common stock in this offering</w:t>
            </w:r>
          </w:p>
        </w:tc>
        <w:tc>
          <w:tcPr>
            <w:tcW w:w="4180" w:type="dxa"/>
            <w:vAlign w:val="bottom"/>
            <w:gridSpan w:val="4"/>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If the underwriters exercise in full their option to purchase up to an additional shares of our common stock at the public offering price of $ per share, after deducting the estimated underwriting discounts and commissions and estimated offering expenses payable by us, our as adjusted net tangible book value after this offering would be $ per share, representing an immediate increase in net tangible book value of $ per share to our existing stockholders and immediate dilution of $ per share to new investors purchasing common stock in this offering.</w:t>
      </w:r>
    </w:p>
    <w:p>
      <w:pPr>
        <w:spacing w:after="0" w:line="202"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The foregoing tables and calculations (other than net tangible book value calculations) are based on 12,652,308 shares outstanding as of December 31, 2020, and excludes:</w:t>
      </w:r>
    </w:p>
    <w:p>
      <w:pPr>
        <w:spacing w:after="0" w:line="224" w:lineRule="exact"/>
        <w:rPr>
          <w:sz w:val="20"/>
          <w:szCs w:val="20"/>
          <w:color w:val="auto"/>
        </w:rPr>
      </w:pPr>
    </w:p>
    <w:p>
      <w:pPr>
        <w:ind w:left="980" w:hanging="432"/>
        <w:spacing w:after="0" w:line="218"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1,975,761 shares of common stock issuable upon the exercise of stock options outstanding as of December 31, 2020 under our equity incentive plans, with a weighted average exercise price of $11.81 per share;</w:t>
      </w:r>
    </w:p>
    <w:p>
      <w:pPr>
        <w:spacing w:after="0" w:line="27" w:lineRule="exact"/>
        <w:rPr>
          <w:rFonts w:ascii="MS PGothic" w:cs="MS PGothic" w:eastAsia="MS PGothic" w:hAnsi="MS PGothic"/>
          <w:sz w:val="25"/>
          <w:szCs w:val="25"/>
          <w:color w:val="auto"/>
          <w:vertAlign w:val="superscript"/>
        </w:rPr>
      </w:pPr>
    </w:p>
    <w:p>
      <w:pPr>
        <w:ind w:left="980" w:right="420" w:hanging="432"/>
        <w:spacing w:after="0" w:line="218"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185,000 shares of common stock reserved for issuance upon the vesting of outstanding restricted stock units granted after December 31, 2020;</w:t>
      </w:r>
    </w:p>
    <w:p>
      <w:pPr>
        <w:spacing w:after="0" w:line="27" w:lineRule="exact"/>
        <w:rPr>
          <w:rFonts w:ascii="MS PGothic" w:cs="MS PGothic" w:eastAsia="MS PGothic" w:hAnsi="MS PGothic"/>
          <w:sz w:val="25"/>
          <w:szCs w:val="25"/>
          <w:color w:val="auto"/>
          <w:vertAlign w:val="superscript"/>
        </w:rPr>
      </w:pPr>
    </w:p>
    <w:p>
      <w:pPr>
        <w:ind w:left="980" w:right="760" w:hanging="432"/>
        <w:spacing w:after="0" w:line="218"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426,827 shares of common stock issuable upon the exercise of warrants outstanding as of December 31, 2020, with a weighted-average exercise price of $4.90 per share;</w:t>
      </w:r>
    </w:p>
    <w:p>
      <w:pPr>
        <w:spacing w:after="0" w:line="27"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1,139,323 shares of common stock reserved for future issuance under our 2019 Incentive Award Plan as of December 31, 2020; and</w:t>
      </w:r>
    </w:p>
    <w:p>
      <w:pPr>
        <w:spacing w:after="0" w:line="27" w:lineRule="exact"/>
        <w:rPr>
          <w:rFonts w:ascii="MS PGothic" w:cs="MS PGothic" w:eastAsia="MS PGothic" w:hAnsi="MS PGothic"/>
          <w:sz w:val="25"/>
          <w:szCs w:val="25"/>
          <w:color w:val="auto"/>
          <w:vertAlign w:val="superscript"/>
        </w:rPr>
      </w:pPr>
    </w:p>
    <w:p>
      <w:pPr>
        <w:ind w:left="980" w:right="940" w:hanging="432"/>
        <w:spacing w:after="0" w:line="218"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233,961 shares of common stock reserved for future issuance under our 2019 Employee Stock Purchase Plan as of December 31, 2020.</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To the extent that outstanding options are exercised,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34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and the underwriters for the offering named below have entered into an underwriting agreement with respect to the common stock being offered. Subject to the terms and conditions of the underwriting agreement, each underwriter has severally agreed to purchase from us the number of shares of our common stock set forth opposite its name below. Cowen and Company, LLC, William Blair &amp; Company, L.L.C. and Cantor Fitzgerald &amp; Co. are the representatives of the underwriters.</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2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w:t>
            </w:r>
          </w:p>
        </w:tc>
        <w:tc>
          <w:tcPr>
            <w:tcW w:w="5100" w:type="dxa"/>
            <w:vAlign w:val="bottom"/>
          </w:tcPr>
          <w:p>
            <w:pPr>
              <w:jc w:val="center"/>
              <w:ind w:left="430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4"/>
        </w:trPr>
        <w:tc>
          <w:tcPr>
            <w:tcW w:w="5200" w:type="dxa"/>
            <w:vAlign w:val="bottom"/>
            <w:vMerge w:val="continue"/>
          </w:tcPr>
          <w:p>
            <w:pPr>
              <w:spacing w:after="0"/>
              <w:rPr>
                <w:sz w:val="15"/>
                <w:szCs w:val="15"/>
                <w:color w:val="auto"/>
              </w:rPr>
            </w:pPr>
          </w:p>
        </w:tc>
        <w:tc>
          <w:tcPr>
            <w:tcW w:w="5100" w:type="dxa"/>
            <w:vAlign w:val="bottom"/>
          </w:tcPr>
          <w:p>
            <w:pPr>
              <w:jc w:val="center"/>
              <w:ind w:left="430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ind w:left="44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-130175</wp:posOffset>
            </wp:positionV>
            <wp:extent cx="657479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7479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William Blair &amp; Company, L.L.C.</w:t>
      </w:r>
    </w:p>
    <w:p>
      <w:pPr>
        <w:ind w:left="440"/>
        <w:spacing w:after="0" w:line="234" w:lineRule="auto"/>
        <w:rPr>
          <w:sz w:val="20"/>
          <w:szCs w:val="20"/>
          <w:color w:val="auto"/>
        </w:rPr>
      </w:pPr>
      <w:r>
        <w:rPr>
          <w:rFonts w:ascii="Arial" w:cs="Arial" w:eastAsia="Arial" w:hAnsi="Arial"/>
          <w:sz w:val="18"/>
          <w:szCs w:val="18"/>
          <w:color w:val="auto"/>
        </w:rPr>
        <w:t>Cantor Fitzgerald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-127000</wp:posOffset>
            </wp:positionV>
            <wp:extent cx="657479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74790" cy="128905"/>
                    </a:xfrm>
                    <a:prstGeom prst="rect">
                      <a:avLst/>
                    </a:prstGeom>
                    <a:noFill/>
                  </pic:spPr>
                </pic:pic>
              </a:graphicData>
            </a:graphic>
          </wp:anchor>
        </w:drawing>
      </w:r>
    </w:p>
    <w:p>
      <w:pPr>
        <w:ind w:left="440"/>
        <w:spacing w:after="0" w:line="235" w:lineRule="auto"/>
        <w:rPr>
          <w:sz w:val="20"/>
          <w:szCs w:val="20"/>
          <w:color w:val="auto"/>
        </w:rPr>
      </w:pPr>
      <w:r>
        <w:rPr>
          <w:rFonts w:ascii="Arial" w:cs="Arial" w:eastAsia="Arial" w:hAnsi="Arial"/>
          <w:sz w:val="18"/>
          <w:szCs w:val="18"/>
          <w:color w:val="auto"/>
        </w:rPr>
        <w:t>Canaccord Genuity LLC.</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-130175</wp:posOffset>
            </wp:positionV>
            <wp:extent cx="657479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74790" cy="12890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126365</wp:posOffset>
            </wp:positionV>
            <wp:extent cx="4629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-130175</wp:posOffset>
            </wp:positionV>
            <wp:extent cx="657479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74790" cy="154305"/>
                    </a:xfrm>
                    <a:prstGeom prst="rect">
                      <a:avLst/>
                    </a:prstGeom>
                    <a:noFill/>
                  </pic:spPr>
                </pic:pic>
              </a:graphicData>
            </a:graphic>
          </wp:anchor>
        </w:drawing>
      </w:r>
    </w:p>
    <w:p>
      <w:pPr>
        <w:spacing w:after="0" w:line="24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other than those shares covered by the option to purchase additional shares described below. If an underwriter defaults, the underwriting agreement provides that the purchase commitments of the non-defaulting underwriters may be increased or the underwriting agreement may be terminated.</w:t>
      </w:r>
    </w:p>
    <w:p>
      <w:pPr>
        <w:spacing w:after="0" w:line="202"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Discounts and Commissions</w:t>
      </w:r>
    </w:p>
    <w:p>
      <w:pPr>
        <w:spacing w:after="0" w:line="99"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These amounts are shown assuming both no exercise and full exercise of the underwriters’ option to purchase additional shares.</w:t>
      </w:r>
    </w:p>
    <w:p>
      <w:pPr>
        <w:spacing w:after="0" w:line="197"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We estimate that the total expenses of the offering, excluding underwriting discount, will be approximately $250,000 and are payable by us. We have agreed to reimburse the underwriters for certain of their expenses in an amount up to $30,000.</w:t>
      </w:r>
    </w:p>
    <w:p>
      <w:pPr>
        <w:spacing w:after="0" w:line="9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Without</w:t>
            </w:r>
          </w:p>
        </w:tc>
        <w:tc>
          <w:tcPr>
            <w:tcW w:w="46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With</w:t>
            </w: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46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46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46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Additional</w:t>
            </w: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shares</w:t>
            </w:r>
          </w:p>
        </w:tc>
      </w:tr>
      <w:tr>
        <w:trPr>
          <w:trHeight w:val="175"/>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Per Share</w:t>
            </w:r>
          </w:p>
        </w:tc>
        <w:tc>
          <w:tcPr>
            <w:tcW w:w="4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460" w:type="dxa"/>
            <w:vAlign w:val="bottom"/>
          </w:tcPr>
          <w:p>
            <w:pPr>
              <w:spacing w:after="0"/>
              <w:rPr>
                <w:sz w:val="15"/>
                <w:szCs w:val="15"/>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2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2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9"/>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0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05"/>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2980" w:type="dxa"/>
            <w:vAlign w:val="bottom"/>
            <w:gridSpan w:val="2"/>
          </w:tcPr>
          <w:p>
            <w:pPr>
              <w:jc w:val="right"/>
              <w:ind w:right="599"/>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8"/>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5"/>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2980" w:type="dxa"/>
            <w:vAlign w:val="bottom"/>
            <w:gridSpan w:val="2"/>
            <w:shd w:val="clear" w:color="auto" w:fill="CCEEFF"/>
          </w:tcPr>
          <w:p>
            <w:pPr>
              <w:jc w:val="right"/>
              <w:ind w:right="599"/>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5"/>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The underwriters propose to offer the shares of common stock to the public at the public offering price set forth on the cover of this prospectus. The underwriters may offer the shares of common stock</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580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519"/>
        </w:trPr>
        <w:tc>
          <w:tcPr>
            <w:tcW w:w="7160" w:type="dxa"/>
            <w:vAlign w:val="bottom"/>
            <w:gridSpan w:val="2"/>
          </w:tcPr>
          <w:p>
            <w:pPr>
              <w:ind w:left="120"/>
              <w:spacing w:after="0"/>
              <w:rPr>
                <w:sz w:val="20"/>
                <w:szCs w:val="20"/>
                <w:color w:val="auto"/>
              </w:rPr>
            </w:pPr>
            <w:r>
              <w:rPr>
                <w:rFonts w:ascii="Arial" w:cs="Arial" w:eastAsia="Arial" w:hAnsi="Arial"/>
                <w:sz w:val="18"/>
                <w:szCs w:val="18"/>
                <w:color w:val="auto"/>
              </w:rPr>
              <w:t>to securities dealers at the public offering price less a concession not in excess of $</w:t>
            </w:r>
          </w:p>
        </w:tc>
        <w:tc>
          <w:tcPr>
            <w:tcW w:w="3860" w:type="dxa"/>
            <w:vAlign w:val="bottom"/>
          </w:tcPr>
          <w:p>
            <w:pPr>
              <w:ind w:left="380"/>
              <w:spacing w:after="0"/>
              <w:rPr>
                <w:sz w:val="20"/>
                <w:szCs w:val="20"/>
                <w:color w:val="auto"/>
              </w:rPr>
            </w:pPr>
            <w:r>
              <w:rPr>
                <w:rFonts w:ascii="Arial" w:cs="Arial" w:eastAsia="Arial" w:hAnsi="Arial"/>
                <w:sz w:val="18"/>
                <w:szCs w:val="18"/>
                <w:color w:val="auto"/>
                <w:w w:val="99"/>
              </w:rPr>
              <w:t>per share. If all of the shares are not sold at</w:t>
            </w:r>
          </w:p>
        </w:tc>
      </w:tr>
      <w:tr>
        <w:trPr>
          <w:trHeight w:val="217"/>
        </w:trPr>
        <w:tc>
          <w:tcPr>
            <w:tcW w:w="11020" w:type="dxa"/>
            <w:vAlign w:val="bottom"/>
            <w:gridSpan w:val="3"/>
          </w:tcPr>
          <w:p>
            <w:pPr>
              <w:ind w:left="120"/>
              <w:spacing w:after="0"/>
              <w:rPr>
                <w:sz w:val="20"/>
                <w:szCs w:val="20"/>
                <w:color w:val="auto"/>
              </w:rPr>
            </w:pPr>
            <w:r>
              <w:rPr>
                <w:rFonts w:ascii="Arial" w:cs="Arial" w:eastAsia="Arial" w:hAnsi="Arial"/>
                <w:sz w:val="18"/>
                <w:szCs w:val="18"/>
                <w:color w:val="auto"/>
              </w:rPr>
              <w:t>the public offering price, the underwriters may change the offering price and other selling terms.</w:t>
            </w:r>
          </w:p>
        </w:tc>
      </w:tr>
      <w:tr>
        <w:trPr>
          <w:trHeight w:val="418"/>
        </w:trPr>
        <w:tc>
          <w:tcPr>
            <w:tcW w:w="7160" w:type="dxa"/>
            <w:vAlign w:val="bottom"/>
            <w:gridSpan w:val="2"/>
          </w:tcPr>
          <w:p>
            <w:pPr>
              <w:ind w:left="120"/>
              <w:spacing w:after="0"/>
              <w:rPr>
                <w:sz w:val="20"/>
                <w:szCs w:val="20"/>
                <w:color w:val="auto"/>
              </w:rPr>
            </w:pPr>
            <w:r>
              <w:rPr>
                <w:rFonts w:ascii="Arial" w:cs="Arial" w:eastAsia="Arial" w:hAnsi="Arial"/>
                <w:sz w:val="18"/>
                <w:szCs w:val="18"/>
                <w:b w:val="1"/>
                <w:bCs w:val="1"/>
                <w:color w:val="auto"/>
              </w:rPr>
              <w:t>Option to Purchase Additional Shares</w:t>
            </w:r>
          </w:p>
        </w:tc>
        <w:tc>
          <w:tcPr>
            <w:tcW w:w="3860" w:type="dxa"/>
            <w:vAlign w:val="bottom"/>
          </w:tcPr>
          <w:p>
            <w:pPr>
              <w:spacing w:after="0"/>
              <w:rPr>
                <w:sz w:val="24"/>
                <w:szCs w:val="24"/>
                <w:color w:val="auto"/>
              </w:rPr>
            </w:pPr>
          </w:p>
        </w:tc>
      </w:tr>
      <w:tr>
        <w:trPr>
          <w:trHeight w:val="269"/>
        </w:trPr>
        <w:tc>
          <w:tcPr>
            <w:tcW w:w="7160" w:type="dxa"/>
            <w:vAlign w:val="bottom"/>
            <w:gridSpan w:val="2"/>
          </w:tcPr>
          <w:p>
            <w:pPr>
              <w:ind w:left="560"/>
              <w:spacing w:after="0"/>
              <w:rPr>
                <w:sz w:val="20"/>
                <w:szCs w:val="20"/>
                <w:color w:val="auto"/>
              </w:rPr>
            </w:pPr>
            <w:r>
              <w:rPr>
                <w:rFonts w:ascii="Arial" w:cs="Arial" w:eastAsia="Arial" w:hAnsi="Arial"/>
                <w:sz w:val="18"/>
                <w:szCs w:val="18"/>
                <w:color w:val="auto"/>
              </w:rPr>
              <w:t>We have granted to the underwriters an option to purchase up to an additional</w:t>
            </w:r>
          </w:p>
        </w:tc>
        <w:tc>
          <w:tcPr>
            <w:tcW w:w="3860" w:type="dxa"/>
            <w:vAlign w:val="bottom"/>
          </w:tcPr>
          <w:p>
            <w:pPr>
              <w:ind w:left="500"/>
              <w:spacing w:after="0"/>
              <w:rPr>
                <w:sz w:val="20"/>
                <w:szCs w:val="20"/>
                <w:color w:val="auto"/>
              </w:rPr>
            </w:pPr>
            <w:r>
              <w:rPr>
                <w:rFonts w:ascii="Arial" w:cs="Arial" w:eastAsia="Arial" w:hAnsi="Arial"/>
                <w:sz w:val="18"/>
                <w:szCs w:val="18"/>
                <w:color w:val="auto"/>
              </w:rPr>
              <w:t>shares of common stock at the public</w:t>
            </w:r>
          </w:p>
        </w:tc>
      </w:tr>
    </w:tbl>
    <w:p>
      <w:pPr>
        <w:ind w:left="12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offering price, less the underwriting discount. This option is exercisable for a period of 30 days. To the extent that the underwriters exercise this option, the underwriters will purchase additional shares from us in approximately the same proportion as shown in the table above.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Discretionary Accounts</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underwriters do not intend to confirm sales of the shares to any accounts over which they have discretionary authority.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Listing</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shares are listed on the Nasdaq Global Market under the symbol “XGN.”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 Short Positions</w:t>
      </w:r>
    </w:p>
    <w:p>
      <w:pPr>
        <w:spacing w:after="0" w:line="99"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purchases to cover positions created by short sales.</w:t>
      </w:r>
    </w:p>
    <w:p>
      <w:pPr>
        <w:spacing w:after="0" w:line="224" w:lineRule="exact"/>
        <w:rPr>
          <w:sz w:val="20"/>
          <w:szCs w:val="20"/>
          <w:color w:val="auto"/>
        </w:rPr>
      </w:pPr>
    </w:p>
    <w:p>
      <w:pPr>
        <w:ind w:left="980" w:right="80" w:hanging="432"/>
        <w:spacing w:after="0" w:line="223"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28" w:lineRule="exact"/>
        <w:rPr>
          <w:rFonts w:ascii="MS PGothic" w:cs="MS PGothic" w:eastAsia="MS PGothic" w:hAnsi="MS PGothic"/>
          <w:sz w:val="25"/>
          <w:szCs w:val="25"/>
          <w:color w:val="auto"/>
          <w:vertAlign w:val="superscript"/>
        </w:rPr>
      </w:pPr>
    </w:p>
    <w:p>
      <w:pPr>
        <w:ind w:left="980" w:hanging="432"/>
        <w:spacing w:after="0" w:line="242" w:lineRule="auto"/>
        <w:tabs>
          <w:tab w:leader="none" w:pos="980" w:val="left"/>
        </w:tabs>
        <w:numPr>
          <w:ilvl w:val="0"/>
          <w:numId w:val="5"/>
        </w:numPr>
        <w:rPr>
          <w:rFonts w:ascii="MS PGothic" w:cs="MS PGothic" w:eastAsia="MS PGothic" w:hAnsi="MS PGothic"/>
          <w:sz w:val="24"/>
          <w:szCs w:val="24"/>
          <w:color w:val="auto"/>
          <w:vertAlign w:val="superscript"/>
        </w:rPr>
      </w:pPr>
      <w:r>
        <w:rPr>
          <w:rFonts w:ascii="Arial" w:cs="Arial" w:eastAsia="Arial" w:hAnsi="Arial"/>
          <w:sz w:val="17"/>
          <w:szCs w:val="17"/>
          <w:color w:val="auto"/>
        </w:rPr>
        <w:t>Overallotment transactions involve sales by the underwriters of shares of common stock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option to purchase additional shares. In a naked short position, the number of shares involved is greater than the number of shares in the option to purchase additional shares. The underwriters may close out any short position by exercising their option to purchase additional shares and/or purchasing shares in the open market.</w:t>
      </w:r>
    </w:p>
    <w:p>
      <w:pPr>
        <w:spacing w:after="0" w:line="25" w:lineRule="exact"/>
        <w:rPr>
          <w:rFonts w:ascii="MS PGothic" w:cs="MS PGothic" w:eastAsia="MS PGothic" w:hAnsi="MS PGothic"/>
          <w:sz w:val="24"/>
          <w:szCs w:val="24"/>
          <w:color w:val="auto"/>
          <w:vertAlign w:val="superscript"/>
        </w:rPr>
      </w:pPr>
    </w:p>
    <w:p>
      <w:pPr>
        <w:ind w:left="980" w:right="80" w:hanging="432"/>
        <w:spacing w:after="0" w:line="23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option to purchase additional shares. If the underwriters sell more shares than could be covered by exercise of the option to purchase additional shares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29" w:lineRule="exact"/>
        <w:rPr>
          <w:rFonts w:ascii="MS PGothic" w:cs="MS PGothic" w:eastAsia="MS PGothic" w:hAnsi="MS PGothic"/>
          <w:sz w:val="25"/>
          <w:szCs w:val="25"/>
          <w:color w:val="auto"/>
          <w:vertAlign w:val="superscript"/>
        </w:rPr>
      </w:pPr>
    </w:p>
    <w:p>
      <w:pPr>
        <w:ind w:left="980" w:right="120" w:hanging="432"/>
        <w:spacing w:after="0" w:line="223"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Penalty bids permit the representatives to reclaim a selling concession from a syndicate member when the common stock originally sold by that syndicate member is purchased in stabilizing or syndicate covering transactions to cover syndicate short positions.</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4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Global Market, in the over-the-counter market or otherwise and, if commenced, may be discontinued at any time.</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New York Stock Exchange, in the over-the-counter market or otherwise.</w:t>
      </w:r>
    </w:p>
    <w:p>
      <w:pPr>
        <w:spacing w:after="0" w:line="20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99"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Market Making</w:t>
      </w:r>
    </w:p>
    <w:p>
      <w:pPr>
        <w:spacing w:after="0" w:line="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connection with this offering, underwriters and selling group members may engage in passive market making transactions in our common stock on the Nasdaq Global Market in accordance with Rule 103 of Regulation M under the Exchange Act during a period before the commencement of offers or 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Lock-Up Agreements</w:t>
      </w:r>
    </w:p>
    <w:p>
      <w:pPr>
        <w:spacing w:after="0" w:line="8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Pursuant to certain “lock-up” agreements, we and our executive officers, directors and certain of our securityholders affiliated with our directors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consequence of ownership of, directly or indirectly, or make any demand or request or exercise any right with respect to the registration of, or file with the SEC a registration statement under the Securities Act relating to, any common stock or securities convertible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into or exchangeable or exercisable for any common stock without the prior written consent of Cowen and Company, LLC, William Blair &amp; Company, L.L.C. and Cantor Fitzgerald &amp; Co., for a period of 90 days after the date of the pricing of the offering.</w:t>
      </w:r>
    </w:p>
    <w:p>
      <w:pPr>
        <w:spacing w:after="0" w:line="19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 The lock-up provision will not restrict broker-dealers from engaging in market making and similar activities conducted in the ordinary course of their business.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99"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8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shares may be offered to the public in that Member State at any time:</w:t>
      </w:r>
    </w:p>
    <w:p>
      <w:pPr>
        <w:spacing w:after="0" w:line="202" w:lineRule="exact"/>
        <w:rPr>
          <w:sz w:val="20"/>
          <w:szCs w:val="20"/>
          <w:color w:val="auto"/>
        </w:rPr>
      </w:pPr>
    </w:p>
    <w:p>
      <w:pPr>
        <w:ind w:left="920" w:hanging="3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the Prospectus Regulation;</w:t>
      </w:r>
    </w:p>
    <w:p>
      <w:pPr>
        <w:spacing w:after="0" w:line="211" w:lineRule="exact"/>
        <w:rPr>
          <w:rFonts w:ascii="Arial" w:cs="Arial" w:eastAsia="Arial" w:hAnsi="Arial"/>
          <w:sz w:val="18"/>
          <w:szCs w:val="18"/>
          <w:color w:val="auto"/>
        </w:rPr>
      </w:pPr>
    </w:p>
    <w:p>
      <w:pPr>
        <w:ind w:left="120" w:right="100" w:firstLine="436"/>
        <w:spacing w:after="0" w:line="246" w:lineRule="auto"/>
        <w:tabs>
          <w:tab w:leader="none" w:pos="9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the Prospectus Regulation), subject to obtaining the prior consent of the representatives for any such offer; or</w:t>
      </w:r>
    </w:p>
    <w:p>
      <w:pPr>
        <w:spacing w:after="0" w:line="196" w:lineRule="exact"/>
        <w:rPr>
          <w:rFonts w:ascii="Arial" w:cs="Arial" w:eastAsia="Arial" w:hAnsi="Arial"/>
          <w:sz w:val="18"/>
          <w:szCs w:val="18"/>
          <w:color w:val="auto"/>
        </w:rPr>
      </w:pPr>
    </w:p>
    <w:p>
      <w:pPr>
        <w:ind w:left="940" w:hanging="3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5"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Financial Conduct Authority, except that the shares may be offered to the public in the United Kingdom at any time:</w:t>
      </w:r>
    </w:p>
    <w:p>
      <w:pPr>
        <w:spacing w:after="0" w:line="212" w:lineRule="exact"/>
        <w:rPr>
          <w:sz w:val="20"/>
          <w:szCs w:val="20"/>
          <w:color w:val="auto"/>
        </w:rPr>
      </w:pPr>
    </w:p>
    <w:p>
      <w:pPr>
        <w:ind w:left="980" w:hanging="4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211" w:lineRule="exact"/>
        <w:rPr>
          <w:rFonts w:ascii="Arial" w:cs="Arial" w:eastAsia="Arial" w:hAnsi="Arial"/>
          <w:sz w:val="18"/>
          <w:szCs w:val="18"/>
          <w:color w:val="auto"/>
        </w:rPr>
      </w:pPr>
    </w:p>
    <w:p>
      <w:pPr>
        <w:ind w:left="120" w:right="560" w:firstLine="436"/>
        <w:spacing w:after="0" w:line="24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96" w:lineRule="exact"/>
        <w:rPr>
          <w:rFonts w:ascii="Arial" w:cs="Arial" w:eastAsia="Arial" w:hAnsi="Arial"/>
          <w:sz w:val="18"/>
          <w:szCs w:val="18"/>
          <w:color w:val="auto"/>
        </w:rPr>
      </w:pPr>
    </w:p>
    <w:p>
      <w:pPr>
        <w:ind w:left="980" w:hanging="4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12"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9" w:lineRule="exact"/>
        <w:rPr>
          <w:sz w:val="20"/>
          <w:szCs w:val="20"/>
          <w:color w:val="auto"/>
        </w:rPr>
      </w:pPr>
    </w:p>
    <w:p>
      <w:pPr>
        <w:ind w:left="120" w:right="480" w:firstLine="440"/>
        <w:spacing w:after="0" w:line="246" w:lineRule="auto"/>
        <w:rPr>
          <w:sz w:val="20"/>
          <w:szCs w:val="20"/>
          <w:color w:val="auto"/>
        </w:rPr>
      </w:pPr>
      <w:r>
        <w:rPr>
          <w:rFonts w:ascii="Arial" w:cs="Arial" w:eastAsia="Arial" w:hAnsi="Arial"/>
          <w:sz w:val="18"/>
          <w:szCs w:val="18"/>
          <w:color w:val="auto"/>
        </w:rPr>
        <w:t>The shares will not be offered, directly or indirectly, to the public in Switzerland and this prospectus does not constitute a public offering prospectus as that term is understood pursuant to article 652a or 1156 of the Swiss Federal Code of Obligations.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5"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This prospectus has not been prepared in the context of a public offering of financial securities in France within the meaning of Article L.411-1 of the French Code Monétaire et Financier and Title I of Book II of the Reglement Général of the Autorité des marchés financiers, or the AMF, and therefore has not been and will not be filed with the AMF for prior approval or submitted for clearance to the AMF. Consequently, the shares of our common stock may not be, directly or indirectly, offered or sold to the public in France and offers and sales of the shares of our common stock may only be made in France to qualified investors (investisseurs qualifiés) acting for their own, as defined in and in accordance with Articles L.411-2 and D.411-1 to D.411-4, D.734-1, D.744-1, D.754-1 and D.764-1 of the French Code Monétaire et Financier. Neither this prospectus nor any other offering material may be released, issued or distributed to the public in France or used in connection with any offer for subscription on sale of the shares of our common stock to the public in France. The subsequent direct or indirect retransfer of the shares of our common stock to the public in France may only be made in compliance with Articles L.411-1, L.411-2, L.412-1 and L.621-8 through L.621-8-3 of the French Code Monétaire et Financier..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Each person who is in possession of this prospectus is aware of the fact that no German securities prospectus (wertpapierprospekt) within the meaning of the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(ôffertliches angebot) within the meaning of the act with respect to any of the shares of our common stock otherwise than in accordance with the act and all other applicable legal and regulatory requirements.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Netherlands</w:t>
      </w:r>
    </w:p>
    <w:p>
      <w:pPr>
        <w:spacing w:after="0" w:line="99"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offering of the shares of our common stock is not a public offering in The Netherlands. The shares of our common stock may not be offered or sold to individuals or legal entities in The Netherlands unless (i) a prospectus relating to the offer is available to the public, which has been approved by the Dutch Authority for the Financial Markets (Autoriteit Financiële Markten) or by the competent supervisory authority of another state that is a member of the European Union or party to the Agreement on the European Economic Area, as amended or (ii) an exception or exemption applies to the offer pursuant to Article 5:3 of The Netherlands Financial Supervision Act (Wet op het financieel toezicht) or Article 53 paragraph 2 or 3 of the Exemption Regulation of the Financial Supervision Act, for instance due to the offer targeting exclusively “qualified investors” (gekwalificeerde beleggers) within the meaning of Article 1:1 of The Netherlands Financial Supervision Act.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99"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205" w:lineRule="exact"/>
        <w:rPr>
          <w:sz w:val="20"/>
          <w:szCs w:val="20"/>
          <w:color w:val="auto"/>
        </w:rPr>
      </w:pPr>
    </w:p>
    <w:p>
      <w:pPr>
        <w:ind w:left="120" w:right="160" w:firstLine="436"/>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36"/>
        <w:spacing w:after="0" w:line="24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96" w:lineRule="exact"/>
        <w:rPr>
          <w:rFonts w:ascii="Arial" w:cs="Arial" w:eastAsia="Arial" w:hAnsi="Arial"/>
          <w:sz w:val="18"/>
          <w:szCs w:val="18"/>
          <w:color w:val="auto"/>
        </w:rPr>
      </w:pPr>
    </w:p>
    <w:p>
      <w:pPr>
        <w:ind w:left="980" w:hanging="4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12" w:lineRule="exact"/>
        <w:rPr>
          <w:sz w:val="20"/>
          <w:szCs w:val="20"/>
          <w:color w:val="auto"/>
        </w:rPr>
      </w:pPr>
    </w:p>
    <w:p>
      <w:pPr>
        <w:ind w:left="120" w:right="260" w:firstLine="436"/>
        <w:spacing w:after="0" w:line="24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96" w:lineRule="exact"/>
        <w:rPr>
          <w:rFonts w:ascii="Arial" w:cs="Arial" w:eastAsia="Arial" w:hAnsi="Arial"/>
          <w:sz w:val="18"/>
          <w:szCs w:val="18"/>
          <w:color w:val="auto"/>
        </w:rPr>
      </w:pPr>
    </w:p>
    <w:p>
      <w:pPr>
        <w:ind w:left="120" w:right="160" w:firstLine="436"/>
        <w:spacing w:after="0" w:line="24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97"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shares pursuant to an offer made under Section 275 of the SFA except:</w:t>
      </w:r>
    </w:p>
    <w:p>
      <w:pPr>
        <w:spacing w:after="0" w:line="203" w:lineRule="exact"/>
        <w:rPr>
          <w:sz w:val="20"/>
          <w:szCs w:val="20"/>
          <w:color w:val="auto"/>
        </w:rPr>
      </w:pPr>
    </w:p>
    <w:p>
      <w:pPr>
        <w:ind w:left="120" w:right="800" w:firstLine="436"/>
        <w:spacing w:after="0" w:line="246" w:lineRule="auto"/>
        <w:tabs>
          <w:tab w:leader="none" w:pos="7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6" w:lineRule="exact"/>
        <w:rPr>
          <w:rFonts w:ascii="Arial" w:cs="Arial" w:eastAsia="Arial" w:hAnsi="Arial"/>
          <w:sz w:val="18"/>
          <w:szCs w:val="18"/>
          <w:color w:val="auto"/>
        </w:rPr>
      </w:pPr>
    </w:p>
    <w:p>
      <w:pPr>
        <w:ind w:left="800" w:hanging="24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11" w:lineRule="exact"/>
        <w:rPr>
          <w:rFonts w:ascii="Arial" w:cs="Arial" w:eastAsia="Arial" w:hAnsi="Arial"/>
          <w:sz w:val="18"/>
          <w:szCs w:val="18"/>
          <w:color w:val="auto"/>
        </w:rPr>
      </w:pPr>
    </w:p>
    <w:p>
      <w:pPr>
        <w:ind w:left="840" w:hanging="284"/>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11" w:lineRule="exact"/>
        <w:rPr>
          <w:rFonts w:ascii="Arial" w:cs="Arial" w:eastAsia="Arial" w:hAnsi="Arial"/>
          <w:sz w:val="18"/>
          <w:szCs w:val="18"/>
          <w:color w:val="auto"/>
        </w:rPr>
      </w:pPr>
    </w:p>
    <w:p>
      <w:pPr>
        <w:ind w:left="860" w:hanging="30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11" w:lineRule="exact"/>
        <w:rPr>
          <w:rFonts w:ascii="Arial" w:cs="Arial" w:eastAsia="Arial" w:hAnsi="Arial"/>
          <w:sz w:val="18"/>
          <w:szCs w:val="18"/>
          <w:color w:val="auto"/>
        </w:rPr>
      </w:pPr>
    </w:p>
    <w:p>
      <w:pPr>
        <w:ind w:left="120" w:right="80" w:firstLine="436"/>
        <w:spacing w:after="0" w:line="246"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9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99"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20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0780"/>
          </w:cols>
          <w:pgMar w:left="320" w:top="459" w:right="7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The validity of the issuance of the securities offered hereby will be passed upon by our counsel, Latham &amp; Watkins LLP, San Diego, California. The underwriters are being represented in connection with this offering by Mintz, Levin, Cohn, Ferris, Glovsky and Popeo, P.C., Boston, Massachusetts.</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jc w:val="both"/>
        <w:ind w:left="120" w:right="780" w:firstLine="440"/>
        <w:spacing w:after="0" w:line="261" w:lineRule="auto"/>
        <w:rPr>
          <w:sz w:val="20"/>
          <w:szCs w:val="20"/>
          <w:color w:val="auto"/>
        </w:rPr>
      </w:pPr>
      <w:r>
        <w:rPr>
          <w:rFonts w:ascii="Arial" w:cs="Arial" w:eastAsia="Arial" w:hAnsi="Arial"/>
          <w:sz w:val="17"/>
          <w:szCs w:val="17"/>
          <w:color w:val="auto"/>
        </w:rPr>
        <w:t>The financial statements as of December 31, 2020 and 2019 and for the years then ended incorporated by reference in this prospectus supplement have been so incorporated in reliance on the report of BDO USA, LLP, an independent registered public accounting firm, incorporated herein by reference, given on the authority of said firm as experts in auditing and accounting.</w:t>
      </w:r>
    </w:p>
    <w:p>
      <w:pPr>
        <w:spacing w:after="0" w:line="27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WHERE YOU CAN FIND MORE INFORMATION; INFORMATION INCORPORATED BY REFERENCE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99"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have filed with the SEC a registration statement on Form S-3 under the Securities Act, of which this prospectus supplement forms a part. The rules and regulations of the SEC allow us to omit from this prospectus supplement and the accompanying prospectus certain information included in the registration statement. For further information about us and the securities we are offering under this prospectus supplement,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203"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203" w:lineRule="exact"/>
        <w:rPr>
          <w:sz w:val="20"/>
          <w:szCs w:val="20"/>
          <w:color w:val="auto"/>
        </w:rPr>
      </w:pPr>
    </w:p>
    <w:p>
      <w:pPr>
        <w:ind w:left="120" w:right="500" w:firstLine="440"/>
        <w:spacing w:after="0"/>
        <w:rPr>
          <w:sz w:val="20"/>
          <w:szCs w:val="20"/>
          <w:color w:val="auto"/>
        </w:rPr>
      </w:pPr>
      <w:r>
        <w:rPr>
          <w:rFonts w:ascii="Arial" w:cs="Arial" w:eastAsia="Arial" w:hAnsi="Arial"/>
          <w:sz w:val="18"/>
          <w:szCs w:val="18"/>
          <w:color w:val="auto"/>
        </w:rPr>
        <w:t>Our website address is www.exagen.com. The information on, or accessible through, our website is not part of, and is not incorporated into, this prospectus supplement or the accompanying prospectus and should not be considered part of this prospectus supplement or the accompanying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by Reference</w:t>
      </w:r>
    </w:p>
    <w:p>
      <w:pPr>
        <w:spacing w:after="0" w:line="8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a previously filed document incorporated by reference will be deemed to be modified or superseded for purposes of this prospectus supplement and the accompanying prospectus to the extent that a statement contained in this prospectus supplement or the accompanying prospectus modifies or replaces that statement.</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Exchange Act between the date of this prospectus supplement and the termination of the offering of the securities described in this prospectus supplement. We are not, however, incorporating by reference any documents or portions thereof,</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spacing w:after="0" w:line="203"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This prospectus supplement and the accompanying prospectus incorporate by reference the documents set forth below that have previously been filed with the SEC:</w:t>
      </w:r>
    </w:p>
    <w:p>
      <w:pPr>
        <w:spacing w:after="0" w:line="188" w:lineRule="exact"/>
        <w:rPr>
          <w:sz w:val="20"/>
          <w:szCs w:val="20"/>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16, 2021;</w:t>
      </w:r>
    </w:p>
    <w:p>
      <w:pPr>
        <w:spacing w:after="0" w:line="26" w:lineRule="exact"/>
        <w:rPr>
          <w:rFonts w:ascii="Arial" w:cs="Arial" w:eastAsia="Arial" w:hAnsi="Arial"/>
          <w:sz w:val="18"/>
          <w:szCs w:val="18"/>
          <w:color w:val="auto"/>
        </w:rPr>
      </w:pPr>
    </w:p>
    <w:p>
      <w:pPr>
        <w:ind w:left="980" w:right="480" w:hanging="432"/>
        <w:spacing w:after="0" w:line="21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47">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filed with the SEC on April 29, 2020; and</w:t>
      </w:r>
    </w:p>
    <w:p>
      <w:pPr>
        <w:spacing w:after="0" w:line="27" w:lineRule="exact"/>
        <w:rPr>
          <w:rFonts w:ascii="Arial" w:cs="Arial" w:eastAsia="Arial" w:hAnsi="Arial"/>
          <w:sz w:val="18"/>
          <w:szCs w:val="18"/>
          <w:color w:val="auto"/>
        </w:rPr>
      </w:pPr>
    </w:p>
    <w:p>
      <w:pPr>
        <w:ind w:left="980" w:hanging="432"/>
        <w:spacing w:after="0" w:line="21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48">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September 13, 2019 and any amendment or report filed with the SEC for the purpose of updating the description.</w:t>
      </w:r>
    </w:p>
    <w:p>
      <w:pPr>
        <w:spacing w:after="0" w:line="203" w:lineRule="exact"/>
        <w:rPr>
          <w:rFonts w:ascii="MS PGothic" w:cs="MS PGothic" w:eastAsia="MS PGothic" w:hAnsi="MS PGothic"/>
          <w:sz w:val="25"/>
          <w:szCs w:val="25"/>
          <w:color w:val="auto"/>
          <w:vertAlign w:val="superscript"/>
        </w:rPr>
      </w:pPr>
    </w:p>
    <w:p>
      <w:pPr>
        <w:ind w:left="120" w:right="160" w:firstLine="440"/>
        <w:spacing w:after="0" w:line="238"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including, but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w:t>
      </w:r>
    </w:p>
    <w:p>
      <w:pPr>
        <w:spacing w:after="0" w:line="205" w:lineRule="exact"/>
        <w:rPr>
          <w:rFonts w:ascii="MS PGothic" w:cs="MS PGothic" w:eastAsia="MS PGothic" w:hAnsi="MS PGothic"/>
          <w:sz w:val="25"/>
          <w:szCs w:val="25"/>
          <w:color w:val="auto"/>
          <w:vertAlign w:val="superscript"/>
        </w:rPr>
      </w:pPr>
    </w:p>
    <w:p>
      <w:pPr>
        <w:ind w:left="120" w:right="480" w:firstLine="440"/>
        <w:spacing w:after="0"/>
        <w:rPr>
          <w:sz w:val="20"/>
          <w:szCs w:val="20"/>
          <w:color w:val="auto"/>
        </w:rPr>
      </w:pPr>
      <w:r>
        <w:rPr>
          <w:rFonts w:ascii="Arial" w:cs="Arial" w:eastAsia="Arial" w:hAnsi="Arial"/>
          <w:sz w:val="18"/>
          <w:szCs w:val="18"/>
          <w:color w:val="auto"/>
        </w:rPr>
        <w:t>You may request a free copy of any of the documents incorporated by reference in this prospectus supplement and the accompanying prospectus (other than exhibits, unless they are specifically incorporated by reference in the documents) by writing or telephoning us at the following address:</w:t>
      </w:r>
    </w:p>
    <w:p>
      <w:pPr>
        <w:spacing w:after="0" w:line="198" w:lineRule="exact"/>
        <w:rPr>
          <w:rFonts w:ascii="MS PGothic" w:cs="MS PGothic" w:eastAsia="MS PGothic" w:hAnsi="MS PGothic"/>
          <w:sz w:val="25"/>
          <w:szCs w:val="25"/>
          <w:color w:val="auto"/>
          <w:vertAlign w:val="superscript"/>
        </w:rPr>
      </w:pPr>
    </w:p>
    <w:p>
      <w:pPr>
        <w:jc w:val="center"/>
        <w:ind w:right="-139"/>
        <w:spacing w:after="0"/>
        <w:rPr>
          <w:sz w:val="20"/>
          <w:szCs w:val="20"/>
          <w:color w:val="auto"/>
        </w:rPr>
      </w:pPr>
      <w:r>
        <w:rPr>
          <w:rFonts w:ascii="Arial" w:cs="Arial" w:eastAsia="Arial" w:hAnsi="Arial"/>
          <w:sz w:val="18"/>
          <w:szCs w:val="18"/>
          <w:color w:val="auto"/>
        </w:rPr>
        <w:t>Exagen Inc.</w:t>
      </w:r>
    </w:p>
    <w:p>
      <w:pPr>
        <w:jc w:val="center"/>
        <w:ind w:right="-139"/>
        <w:spacing w:after="0" w:line="234" w:lineRule="auto"/>
        <w:rPr>
          <w:sz w:val="20"/>
          <w:szCs w:val="20"/>
          <w:color w:val="auto"/>
        </w:rPr>
      </w:pPr>
      <w:r>
        <w:rPr>
          <w:rFonts w:ascii="Arial" w:cs="Arial" w:eastAsia="Arial" w:hAnsi="Arial"/>
          <w:sz w:val="18"/>
          <w:szCs w:val="18"/>
          <w:color w:val="auto"/>
        </w:rPr>
        <w:t>Attention: Corporate Secretary</w:t>
      </w:r>
    </w:p>
    <w:p>
      <w:pPr>
        <w:jc w:val="center"/>
        <w:ind w:right="-139"/>
        <w:spacing w:after="0" w:line="235" w:lineRule="auto"/>
        <w:rPr>
          <w:sz w:val="20"/>
          <w:szCs w:val="20"/>
          <w:color w:val="auto"/>
        </w:rPr>
      </w:pPr>
      <w:r>
        <w:rPr>
          <w:rFonts w:ascii="Arial" w:cs="Arial" w:eastAsia="Arial" w:hAnsi="Arial"/>
          <w:sz w:val="18"/>
          <w:szCs w:val="18"/>
          <w:color w:val="auto"/>
        </w:rPr>
        <w:t>1261 Liberty Way</w:t>
      </w:r>
    </w:p>
    <w:p>
      <w:pPr>
        <w:jc w:val="center"/>
        <w:ind w:right="-139"/>
        <w:spacing w:after="0" w:line="235" w:lineRule="auto"/>
        <w:rPr>
          <w:sz w:val="20"/>
          <w:szCs w:val="20"/>
          <w:color w:val="auto"/>
        </w:rPr>
      </w:pPr>
      <w:r>
        <w:rPr>
          <w:rFonts w:ascii="Arial" w:cs="Arial" w:eastAsia="Arial" w:hAnsi="Arial"/>
          <w:sz w:val="18"/>
          <w:szCs w:val="18"/>
          <w:color w:val="auto"/>
        </w:rPr>
        <w:t>Vista, California 92081</w:t>
      </w:r>
    </w:p>
    <w:p>
      <w:pPr>
        <w:ind w:left="5440" w:right="4860" w:hanging="431"/>
        <w:spacing w:after="0" w:line="457" w:lineRule="auto"/>
        <w:tabs>
          <w:tab w:leader="none" w:pos="5485" w:val="left"/>
        </w:tabs>
        <w:numPr>
          <w:ilvl w:val="0"/>
          <w:numId w:val="13"/>
        </w:numPr>
        <w:rPr>
          <w:rFonts w:ascii="Arial" w:cs="Arial" w:eastAsia="Arial" w:hAnsi="Arial"/>
          <w:sz w:val="17"/>
          <w:szCs w:val="17"/>
          <w:color w:val="auto"/>
        </w:rPr>
      </w:pPr>
      <w:r>
        <w:rPr>
          <w:rFonts w:ascii="Arial" w:cs="Arial" w:eastAsia="Arial" w:hAnsi="Arial"/>
          <w:sz w:val="17"/>
          <w:szCs w:val="17"/>
          <w:color w:val="auto"/>
        </w:rPr>
        <w:t>560-1501 S-18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171450</wp:posOffset>
            </wp:positionV>
            <wp:extent cx="1937385" cy="7118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93738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$150,000,000</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276860</wp:posOffset>
            </wp:positionV>
            <wp:extent cx="1474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may offer and sell up to $150.0 million in the aggregate of the securities identified above from time to time in one or more offerings. This prospectus provides you with a general description of the securities.</w:t>
      </w:r>
    </w:p>
    <w:p>
      <w:pPr>
        <w:spacing w:after="0" w:line="22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w:t>
      </w:r>
    </w:p>
    <w:p>
      <w:pPr>
        <w:spacing w:after="0" w:line="24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right="240" w:firstLine="4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THE “</w:t>
      </w:r>
      <w:hyperlink w:anchor="page2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4 OF THIS PROSPECTUS AND ANY SIMILAR SECTION CONTAINED IN THE APPLICABLE PROSPECTUS SUPPLEMENT CONCERNING FACTORS YOU SHOULD CONSIDER BEFORE INVESTING IN OUR SECURITIES.</w:t>
      </w:r>
    </w:p>
    <w:p>
      <w:pPr>
        <w:spacing w:after="0" w:line="24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“XGN.” On November 9, 2020, the last reported sale price of our common stock on The Nasdaq Global Select Market was $15.55 per share.</w:t>
      </w:r>
    </w:p>
    <w:p>
      <w:pPr>
        <w:spacing w:after="0" w:line="220"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date of this prospectus is November 19, 2020.</w:t>
      </w:r>
    </w:p>
    <w:p>
      <w:pPr>
        <w:sectPr>
          <w:pgSz w:w="11900" w:h="16838" w:orient="portrait"/>
          <w:cols w:equalWidth="0" w:num="1">
            <w:col w:w="11060"/>
          </w:cols>
          <w:pgMar w:left="32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6"/>
            <w:vMerge w:val="restart"/>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ABOUT THIS PROSPECTUS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0660" w:type="dxa"/>
            <w:vAlign w:val="bottom"/>
            <w:gridSpan w:val="1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72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WHERE YOU CAN FIND MORE INFORMATION; INCORPORATION BY REFERENCE</w:t>
              </w:r>
            </w:hyperlink>
          </w:p>
        </w:tc>
        <w:tc>
          <w:tcPr>
            <w:tcW w:w="39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128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THE COMPANY</w:t>
              </w:r>
            </w:hyperlink>
          </w:p>
        </w:tc>
        <w:tc>
          <w:tcPr>
            <w:tcW w:w="9380" w:type="dxa"/>
            <w:vAlign w:val="bottom"/>
            <w:gridSpan w:val="13"/>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1066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8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CAUTIONARY NOTE REGARDING FORWARD-LOOKING STATEMENTS</w:t>
              </w:r>
            </w:hyperlink>
          </w:p>
        </w:tc>
        <w:tc>
          <w:tcPr>
            <w:tcW w:w="4880" w:type="dxa"/>
            <w:vAlign w:val="bottom"/>
            <w:gridSpan w:val="2"/>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1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USE OF PROCEEDS</w:t>
              </w:r>
            </w:hyperlink>
          </w:p>
        </w:tc>
        <w:tc>
          <w:tcPr>
            <w:tcW w:w="9060" w:type="dxa"/>
            <w:vAlign w:val="bottom"/>
            <w:gridSpan w:val="10"/>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158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DIVIDEND POLICY</w:t>
              </w:r>
            </w:hyperlink>
          </w:p>
        </w:tc>
        <w:tc>
          <w:tcPr>
            <w:tcW w:w="9080" w:type="dxa"/>
            <w:vAlign w:val="bottom"/>
            <w:gridSpan w:val="11"/>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1066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DESCRIPTION OF CAPITAL STOCK</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2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DESCRIPTION OF DEBT SECURITIES</w:t>
              </w:r>
            </w:hyperlink>
          </w:p>
        </w:tc>
        <w:tc>
          <w:tcPr>
            <w:tcW w:w="7640" w:type="dxa"/>
            <w:vAlign w:val="bottom"/>
            <w:gridSpan w:val="3"/>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DESCRIPTION OF WARRANTS</w:t>
              </w:r>
            </w:hyperlink>
          </w:p>
        </w:tc>
        <w:tc>
          <w:tcPr>
            <w:tcW w:w="8180" w:type="dxa"/>
            <w:vAlign w:val="bottom"/>
            <w:gridSpan w:val="5"/>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202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DESCRIPTION OF UNITS</w:t>
              </w:r>
            </w:hyperlink>
          </w:p>
        </w:tc>
        <w:tc>
          <w:tcPr>
            <w:tcW w:w="8640" w:type="dxa"/>
            <w:vAlign w:val="bottom"/>
            <w:gridSpan w:val="8"/>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3"/>
        </w:trPr>
        <w:tc>
          <w:tcPr>
            <w:tcW w:w="180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48">
              <w:r>
                <w:rPr>
                  <w:rFonts w:ascii="Arial" w:cs="Arial" w:eastAsia="Arial" w:hAnsi="Arial"/>
                  <w:sz w:val="18"/>
                  <w:szCs w:val="18"/>
                  <w:color w:val="0000EE"/>
                  <w:w w:val="96"/>
                </w:rPr>
                <w:t>GLOBAL SECURITIES</w:t>
              </w:r>
            </w:hyperlink>
          </w:p>
        </w:tc>
        <w:tc>
          <w:tcPr>
            <w:tcW w:w="8860" w:type="dxa"/>
            <w:vAlign w:val="bottom"/>
            <w:gridSpan w:val="9"/>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10660" w:type="dxa"/>
            <w:vAlign w:val="bottom"/>
            <w:gridSpan w:val="1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3"/>
        </w:trPr>
        <w:tc>
          <w:tcPr>
            <w:tcW w:w="14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6"/>
              </w:rPr>
            </w:pPr>
            <w:hyperlink w:anchor="page54">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5"/>
          </w:tcPr>
          <w:p>
            <w:pPr>
              <w:spacing w:after="0"/>
              <w:rPr>
                <w:sz w:val="22"/>
                <w:szCs w:val="22"/>
                <w:color w:val="auto"/>
              </w:rPr>
            </w:pPr>
          </w:p>
        </w:tc>
        <w:tc>
          <w:tcPr>
            <w:tcW w:w="8620" w:type="dxa"/>
            <w:vAlign w:val="bottom"/>
            <w:gridSpan w:val="7"/>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3"/>
        </w:trPr>
        <w:tc>
          <w:tcPr>
            <w:tcW w:w="10660" w:type="dxa"/>
            <w:vAlign w:val="bottom"/>
            <w:gridSpan w:val="1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$150.0 million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6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When we refer to “Exagen,” “we,” “our,” “us” and the “Company” in this prospectus, we mean Exagen Inc., unless otherwise specified. When we refer to “you,” we mean the holders of the applicable series of securities.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We use our trademarks in this prospectus as well as trademarks, tradenames and service marks that are the property of other organizations. Solely for convenience, certain trademarks and tradenames referred to in this prospectus appear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4"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Our website address is www.exagen.com. The information on our website, however, is not, and should not be deemed to be, a part of this prospectus.</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 This prospectus and any accompanying prospectus supplement incorporate by reference the documents set forth below that have previously been filed with the SEC:</w:t>
      </w:r>
    </w:p>
    <w:p>
      <w:pPr>
        <w:spacing w:after="0" w:line="100"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March 25, 2020;</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4"/>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periods ended March 31, 2020, June 30, 2020 and September 30, 2020, filed with the SEC on </w:t>
      </w:r>
      <w:hyperlink r:id="rId57">
        <w:r>
          <w:rPr>
            <w:rFonts w:ascii="Arial" w:cs="Arial" w:eastAsia="Arial" w:hAnsi="Arial"/>
            <w:sz w:val="18"/>
            <w:szCs w:val="18"/>
            <w:u w:val="single" w:color="auto"/>
            <w:color w:val="0000EE"/>
          </w:rPr>
          <w:t>May 11,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8">
        <w:r>
          <w:rPr>
            <w:rFonts w:ascii="Arial" w:cs="Arial" w:eastAsia="Arial" w:hAnsi="Arial"/>
            <w:sz w:val="18"/>
            <w:szCs w:val="18"/>
            <w:u w:val="single" w:color="auto"/>
            <w:color w:val="0000EE"/>
          </w:rPr>
          <w:t xml:space="preserve">July 28, 2020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9">
        <w:r>
          <w:rPr>
            <w:rFonts w:ascii="Arial" w:cs="Arial" w:eastAsia="Arial" w:hAnsi="Arial"/>
            <w:sz w:val="18"/>
            <w:szCs w:val="18"/>
            <w:u w:val="single" w:color="auto"/>
            <w:color w:val="0000EE"/>
          </w:rPr>
          <w:t>November 10,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right="3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47">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extent incorporated by reference into our Annual Report on Form 10-K), filed with the SEC on April 29, 2020;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60">
        <w:r>
          <w:rPr>
            <w:rFonts w:ascii="Arial" w:cs="Arial" w:eastAsia="Arial" w:hAnsi="Arial"/>
            <w:sz w:val="17"/>
            <w:szCs w:val="17"/>
            <w:u w:val="single" w:color="auto"/>
            <w:color w:val="0000EE"/>
          </w:rPr>
          <w:t>March 18, 2020</w:t>
        </w:r>
      </w:hyperlink>
      <w:r>
        <w:rPr>
          <w:rFonts w:ascii="Arial" w:cs="Arial" w:eastAsia="Arial" w:hAnsi="Arial"/>
          <w:sz w:val="17"/>
          <w:szCs w:val="17"/>
          <w:color w:val="auto"/>
        </w:rPr>
        <w:t xml:space="preserve">, </w:t>
      </w:r>
      <w:hyperlink r:id="rId61">
        <w:r>
          <w:rPr>
            <w:rFonts w:ascii="Arial" w:cs="Arial" w:eastAsia="Arial" w:hAnsi="Arial"/>
            <w:sz w:val="17"/>
            <w:szCs w:val="17"/>
            <w:u w:val="single" w:color="auto"/>
            <w:color w:val="0000EE"/>
          </w:rPr>
          <w:t>June 19, 2020</w:t>
        </w:r>
      </w:hyperlink>
      <w:r>
        <w:rPr>
          <w:rFonts w:ascii="Arial" w:cs="Arial" w:eastAsia="Arial" w:hAnsi="Arial"/>
          <w:sz w:val="17"/>
          <w:szCs w:val="17"/>
          <w:color w:val="auto"/>
        </w:rPr>
        <w:t xml:space="preserve">, </w:t>
      </w:r>
      <w:hyperlink r:id="rId62">
        <w:r>
          <w:rPr>
            <w:rFonts w:ascii="Arial" w:cs="Arial" w:eastAsia="Arial" w:hAnsi="Arial"/>
            <w:sz w:val="17"/>
            <w:szCs w:val="17"/>
            <w:u w:val="single" w:color="auto"/>
            <w:color w:val="0000EE"/>
          </w:rPr>
          <w:t>June 29,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63">
        <w:r>
          <w:rPr>
            <w:rFonts w:ascii="Arial" w:cs="Arial" w:eastAsia="Arial" w:hAnsi="Arial"/>
            <w:sz w:val="17"/>
            <w:szCs w:val="17"/>
            <w:u w:val="single" w:color="auto"/>
            <w:color w:val="0000EE"/>
          </w:rPr>
          <w:t>September 23, 2020</w:t>
        </w:r>
      </w:hyperlink>
      <w:r>
        <w:rPr>
          <w:rFonts w:ascii="Arial" w:cs="Arial" w:eastAsia="Arial" w:hAnsi="Arial"/>
          <w:sz w:val="17"/>
          <w:szCs w:val="17"/>
          <w:color w:val="auto"/>
        </w:rPr>
        <w:t>; and</w:t>
      </w:r>
    </w:p>
    <w:p>
      <w:pPr>
        <w:spacing w:after="0" w:line="169"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4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September 13, 2019, including any amendments or reports filed for the purposes of updating this description.</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Exagen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1261 Liberty Way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Vista, California 92081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(760) 560-1501</w:t>
      </w:r>
    </w:p>
    <w:p>
      <w:pPr>
        <w:spacing w:after="0" w:line="21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4"/>
          <w:szCs w:val="14"/>
          <w:color w:val="auto"/>
        </w:rPr>
        <w:t>®</w:t>
      </w:r>
      <w:r>
        <w:rPr>
          <w:rFonts w:ascii="Arial" w:cs="Arial" w:eastAsia="Arial" w:hAnsi="Arial"/>
          <w:sz w:val="17"/>
          <w:szCs w:val="17"/>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systemic lupus erythematosus, or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18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Vista, California 92081. Our telephone number is (760) 560-1501.</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w:t>
      </w:r>
    </w:p>
    <w:p>
      <w:pPr>
        <w:ind w:left="120"/>
        <w:spacing w:after="0" w:line="253" w:lineRule="auto"/>
        <w:rPr>
          <w:sz w:val="20"/>
          <w:szCs w:val="20"/>
          <w:color w:val="auto"/>
        </w:rPr>
      </w:pPr>
      <w:r>
        <w:rPr>
          <w:rFonts w:ascii="Arial" w:cs="Arial" w:eastAsia="Arial" w:hAnsi="Arial"/>
          <w:sz w:val="18"/>
          <w:szCs w:val="18"/>
          <w:color w:val="auto"/>
        </w:rPr>
        <w:t>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such securities. The occurrence of any of these risks might cause you to lose all or part of your investment in the offered securities.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59"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within the meaning of Section 21E of the Exchange Act. All statements other than statements of historical facts contained in this prospectus and the documents incorporated by reference herein, including statements regarding our future results of operations and financial position, business strategy, current and future product offerings, reimbursement and coverage, our ability to implement an integrated testing with therapeutics strategy, the expected benefits from our partnership or promotion arrangements with third parties, research and development costs, timing and likelihood of success,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7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and the documents incorporated by reference 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which we discuss in greater detail in the documents incorporated by reference herein, including under the heading “Risk Factors” and elsewhere in this prospectus.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or the documents incorporated by reference herein, whether as a result of any new information, future events, changed circumstances or otherwise. For all forward-looking statements, we claim the protection of the safe harbor for forward-looking statements contained in the Private Securities Litigation Reform Act of 1995.</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loan and security agreement with Innovatus Life Science Lending Fund I, LP.</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following description summarizes some of the terms of capital stock. Because it is only a summary, it does not contain all the information that may be important to you and is subject to and qualified in its entirety by reference to our amended and restated certificate of incorporation (the “certificate of incorporation”) and amended and restated bylaws (the “bylaws”), which are filed as exhibits to our most recent Annual Report on Form 10-K and are incorporated by reference herein. We encourage you to read our certificate of incorporation and our bylaws for additional information.</w:t>
      </w:r>
    </w:p>
    <w:p>
      <w:pPr>
        <w:spacing w:after="0" w:line="15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$0.001 par value per share, and 10,000,000 shares of preferred stock, $0.001 par value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As of September 30, 2020, there were 12,652,113 shares of our common stock outstanding and held of record by 50 stockholders.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w:t>
      </w:r>
    </w:p>
    <w:p>
      <w:pPr>
        <w:spacing w:after="0" w:line="16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As of September 30, 2020, there were no shares of our preferred stock outstanding. Under the terms of our amended and restated certificate of incorporation, our board of directors has the authority, without further action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by our stockholders, to issue up to 10,000,000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Prior to the issuance of shares of each series, the board of directors is required by the General Corporation Law of the State of Delaware, or the DGCL, and our amended and restated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w:t>
      </w:r>
    </w:p>
    <w:p>
      <w:pPr>
        <w:spacing w:after="0" w:line="17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All shares of preferred stock offered by this prospectus will, when issued, be fully paid and nonassessable and will not have any preemptive or similar rights.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describe in a prospectus supplement relating to the class or series of preferred stock being offered the following terms:</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and stated value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of shares of the preferred stock offered, the liquidation preference per share and the offering price of the preferred stock;</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dividend rate(s), period(s) or payment date(s) or method(s) of calculation applicable to the preferred stock;</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dividends are cumulative or non-cumulative and, if cumulative, the date from which dividends on the preferred stock will accumulate;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provisions for a sinking fund, if any, for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 for redemption, if applicable,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preferred stock will be convertible into common stock, including the conversion price or manner of calculation and conversion period;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the liquidation, dissolution or winding up of our affairs;</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preferred stock.</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Unless we specify otherwise in the applicable prospectus supplement, the preferred stock will rank, relating to dividends and upon our liquidation, dissolution or winding up:</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senior to all classes or series of our common stock and to all of our equity securities ranking junior to the preferred stock;</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 parity with all of our equity securities the terms of which specifically provide that the equity securities rank on a parity with the preferred stock;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junior to all of our equity securities the terms of which specifically provide that the equity securities rank senior to the preferred stock.</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of September 30, 2020, 426,827 shares of our common stock were issuable upon exercise of outstanding warrants to purchase common stock with a weighted average exercise price of $4.90 per share.</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Each of the above warrants has a net exercise provision under which the holder may, in lieu of payment of the exercise price in cash, surrender the warrant and receive a net amount of shares of our common stock based on the fair market value of our common stock at the time of the net exercise of the warrant after deduction of the aggregate exercise price. These warrants also contain provisions for the adjustment of the exercise price and the aggregate number of shares issuable upon the exercise of the warrants in the event of stock dividends, stock splits, reorganizations and reclassifications and consolidations.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As of September 30, 2020, holders of 6,042,679 shares of our common stock, are entitled to the following rights with respect to the registration of such shares for public resale under the Securities Act, pursuant to an investor rights agreement by and among us and certain of our stockholders.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Demand Registration Rights</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i w:val="1"/>
          <w:iCs w:val="1"/>
          <w:color w:val="auto"/>
        </w:rPr>
        <w:t xml:space="preserve">Form S-1. </w:t>
      </w:r>
      <w:r>
        <w:rPr>
          <w:rFonts w:ascii="Arial" w:cs="Arial" w:eastAsia="Arial" w:hAnsi="Arial"/>
          <w:sz w:val="18"/>
          <w:szCs w:val="18"/>
          <w:color w:val="auto"/>
        </w:rPr>
        <w:t>If at any time holders of at least 50% of the registrable securities request in writing that we effect a registration with respect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an offering, we may be required to register their shares. We are obligated to effect at most two registrations for the holders of registrable securities in response to these demand registration rights, subject to certain exceptions.</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i w:val="1"/>
          <w:iCs w:val="1"/>
          <w:color w:val="auto"/>
        </w:rPr>
        <w:t>Form S-</w:t>
      </w:r>
      <w:r>
        <w:rPr>
          <w:rFonts w:ascii="Arial" w:cs="Arial" w:eastAsia="Arial" w:hAnsi="Arial"/>
          <w:sz w:val="17"/>
          <w:szCs w:val="17"/>
          <w:color w:val="auto"/>
        </w:rPr>
        <w:t>3. If at any time, a holder of registrable securities requests in writing that we register their shares for public resale on Form S-3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price to the public of the offering is $1.0 million or more, we will be required to provide notice to all holders of registrable securities and to use our best efforts to effect such registration; provided, however, that we will not be required to effect such a registration if, within the preceding 12 months, we have already effected two registrations on Form S-3 for the holders of registrable securities.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In each of the above registrations,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Piggyback Registration Rights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at any time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 of Registration Rights</w:t>
      </w:r>
    </w:p>
    <w:p>
      <w:pPr>
        <w:spacing w:after="0" w:line="11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registration rights terminate upon the earlier of September 20, 2022, or for any particular holder with registration rights, at such time following this offering when such holder holds less than one percent of our outstanding common stock and may immediately sell all of such shares pursuant to Rule 144 under the Securities Act in a 90-day period.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Undesignated Preferred Stock</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Meetings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Elimination of Stockholder Action by Written Consent</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eliminate the right of stockholders to act by written consent without a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Staggered Board</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Removal of Directors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Stockholders Not Entitled to Cumulative Voting</w:t>
      </w:r>
    </w:p>
    <w:p>
      <w:pPr>
        <w:spacing w:after="0" w:line="11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Delaware Anti-Takeover Statute</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Choice of Forum</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form, the Court of Chancery of the State of Delaware will be the sole and exclusive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forum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In any case, stockholders will not be deemed to have waived our compliance with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and amended and restated bylaws also provide that any person or entity purchasing or otherwise acquiring any interest in shares of our capital stock will be deemed to have notice of and to have consented to this choice of forum provision.</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of Charter Provisions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spacing w:after="0" w:line="16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8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54"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or dates on which the principal on a particular series of debt securities is payable;</w:t>
      </w:r>
    </w:p>
    <w:p>
      <w:pPr>
        <w:spacing w:after="0" w:line="13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debt securities of such series may be surrendered for registration of transfer or exchange, and where notices and demands to us in respect of the debt securities may be delivered;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75"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of a particular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jc w:val="both"/>
        <w:ind w:left="1080" w:right="86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4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and premium and interest on, the debt securities will be made;</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and premium, if any, and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153"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9"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(DTC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the section entitled “Global Securities” for more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will set forth in the applicable prospectus supplement any restrictive covenants applicable to any issue of debt securities. (Article IV)</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76" w:lineRule="exact"/>
        <w:rPr>
          <w:sz w:val="20"/>
          <w:szCs w:val="20"/>
          <w:color w:val="auto"/>
        </w:rPr>
      </w:pPr>
    </w:p>
    <w:p>
      <w:pPr>
        <w:ind w:left="1080" w:right="24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Exagen) is a corporation organized and validly existing under the laws of any U.S. domestic jurisdiction and expressly assumes our obligations on the debt securities and under the indenture;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Notwithstanding the above, any of our subsidiaries may consolidate with, merge into or transfer all or part of its properties to us. (Section 5.1)</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payment of principal of any debt security of that series at its maturity;</w:t>
      </w:r>
    </w:p>
    <w:p>
      <w:pPr>
        <w:spacing w:after="0" w:line="130" w:lineRule="exact"/>
        <w:rPr>
          <w:rFonts w:ascii="Arial" w:cs="Arial" w:eastAsia="Arial" w:hAnsi="Arial"/>
          <w:sz w:val="18"/>
          <w:szCs w:val="18"/>
          <w:color w:val="auto"/>
        </w:rPr>
      </w:pPr>
    </w:p>
    <w:p>
      <w:pPr>
        <w:ind w:left="1080" w:hanging="424"/>
        <w:spacing w:after="0" w:line="30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Exagen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Exagen; or</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 (Section 6.8)</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80" w:right="7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70"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80" w:hanging="424"/>
        <w:spacing w:after="0" w:line="286"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waive a Default or Event of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1080" w:right="32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The indenture provides that, unless otherwise provided by the terms of the applicable series of debt securities, we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17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w:t>
      </w:r>
    </w:p>
    <w:p>
      <w:pPr>
        <w:spacing w:after="0" w:line="17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upon compliance with certain conditions:</w:t>
      </w:r>
    </w:p>
    <w:p>
      <w:pPr>
        <w:spacing w:after="0" w:line="76" w:lineRule="exact"/>
        <w:rPr>
          <w:sz w:val="20"/>
          <w:szCs w:val="20"/>
          <w:color w:val="auto"/>
        </w:rPr>
      </w:pPr>
    </w:p>
    <w:p>
      <w:pPr>
        <w:ind w:left="1080" w:right="60" w:hanging="424"/>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spacing w:after="0" w:line="29"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1080" w:right="80" w:hanging="424"/>
        <w:spacing w:after="0" w:line="273"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Arial" w:cs="Arial" w:eastAsia="Arial" w:hAnsi="Arial"/>
          <w:sz w:val="17"/>
          <w:szCs w:val="17"/>
          <w:color w:val="auto"/>
        </w:rPr>
      </w:pPr>
    </w:p>
    <w:p>
      <w:pPr>
        <w:ind w:left="1080" w:right="18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amounts and in the same manner and at the same times as would have been the case if the deposit and related covenant defeasance had not occurred. (Section 8.4)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9"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142" w:lineRule="exact"/>
        <w:rPr>
          <w:sz w:val="20"/>
          <w:szCs w:val="20"/>
          <w:color w:val="auto"/>
        </w:rPr>
      </w:pPr>
    </w:p>
    <w:p>
      <w:pPr>
        <w:ind w:left="1080" w:right="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common stock will be separately transferable;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federal income tax consequences applicable to the warrants;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equity warrants will not be entitled to:</w:t>
      </w:r>
    </w:p>
    <w:p>
      <w:pPr>
        <w:spacing w:after="0" w:line="13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receive notice as stockholders with respect to any meeting of stockholders for the election of our directors or any other matter;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exercise any rights as stockholders of Exagen.</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5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320" w:top="459" w:right="5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320" w:top="459" w:right="5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64"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DTC may discontinue providing its services as securities depositary with respect to the securities at any time by giving reasonable notice to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such circumstances, in the event that a successor depositary is not obtained, securities certificates are required to be printed and delivered.</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76" w:lineRule="exact"/>
        <w:rPr>
          <w:sz w:val="20"/>
          <w:szCs w:val="20"/>
          <w:color w:val="auto"/>
        </w:rPr>
      </w:pPr>
    </w:p>
    <w:p>
      <w:pPr>
        <w:ind w:left="1080" w:right="220" w:hanging="424"/>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Euroclear and Clearstream</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9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6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4"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66"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Any common stock will be listed on The Nasdaq Global Select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320" w:top="459" w:right="5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23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320" w:top="459"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Latham &amp; Watkins LLP, San Diego, California, will pass upon certain legal matters relating to the issuance and sale of the securities offered hereby on behalf of Exagen Inc.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financial statements as of December 31, 2019 and 2018 and for the years then ended incorporated by reference in this Prospectus have been so incorporated in reliance on the report of BDO USA, LLP, an independent registered public accounting firm, incorporated herein by reference, given on the authority of said firm as experts in auditing and accounting.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805180</wp:posOffset>
            </wp:positionV>
            <wp:extent cx="1937385" cy="7118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93738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668655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408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i w:val="1"/>
                <w:iCs w:val="1"/>
                <w:color w:val="auto"/>
              </w:rPr>
              <w:t>Joint Book-running Managers</w:t>
            </w:r>
          </w:p>
        </w:tc>
        <w:tc>
          <w:tcPr>
            <w:tcW w:w="4080" w:type="dxa"/>
            <w:vAlign w:val="bottom"/>
          </w:tcPr>
          <w:p>
            <w:pPr>
              <w:spacing w:after="0"/>
              <w:rPr>
                <w:sz w:val="20"/>
                <w:szCs w:val="20"/>
                <w:color w:val="auto"/>
              </w:rPr>
            </w:pPr>
          </w:p>
        </w:tc>
      </w:tr>
      <w:tr>
        <w:trPr>
          <w:trHeight w:val="572"/>
        </w:trPr>
        <w:tc>
          <w:tcPr>
            <w:tcW w:w="4080" w:type="dxa"/>
            <w:vAlign w:val="bottom"/>
          </w:tcPr>
          <w:p>
            <w:pPr>
              <w:spacing w:after="0"/>
              <w:rPr>
                <w:sz w:val="20"/>
                <w:szCs w:val="20"/>
                <w:color w:val="auto"/>
              </w:rPr>
            </w:pPr>
            <w:r>
              <w:rPr>
                <w:rFonts w:ascii="Arial" w:cs="Arial" w:eastAsia="Arial" w:hAnsi="Arial"/>
                <w:sz w:val="29"/>
                <w:szCs w:val="29"/>
                <w:b w:val="1"/>
                <w:bCs w:val="1"/>
                <w:color w:val="auto"/>
              </w:rPr>
              <w:t>Cowen</w:t>
            </w:r>
          </w:p>
        </w:tc>
        <w:tc>
          <w:tcPr>
            <w:tcW w:w="2860" w:type="dxa"/>
            <w:vAlign w:val="bottom"/>
          </w:tcPr>
          <w:p>
            <w:pPr>
              <w:ind w:left="740"/>
              <w:spacing w:after="0"/>
              <w:rPr>
                <w:sz w:val="20"/>
                <w:szCs w:val="20"/>
                <w:color w:val="auto"/>
              </w:rPr>
            </w:pPr>
            <w:r>
              <w:rPr>
                <w:rFonts w:ascii="Arial" w:cs="Arial" w:eastAsia="Arial" w:hAnsi="Arial"/>
                <w:sz w:val="29"/>
                <w:szCs w:val="29"/>
                <w:b w:val="1"/>
                <w:bCs w:val="1"/>
                <w:color w:val="auto"/>
              </w:rPr>
              <w:t>William Blair</w:t>
            </w:r>
          </w:p>
        </w:tc>
        <w:tc>
          <w:tcPr>
            <w:tcW w:w="4080" w:type="dxa"/>
            <w:vAlign w:val="bottom"/>
          </w:tcPr>
          <w:p>
            <w:pPr>
              <w:ind w:left="3140"/>
              <w:spacing w:after="0"/>
              <w:rPr>
                <w:sz w:val="20"/>
                <w:szCs w:val="20"/>
                <w:color w:val="auto"/>
              </w:rPr>
            </w:pPr>
            <w:r>
              <w:rPr>
                <w:rFonts w:ascii="Arial" w:cs="Arial" w:eastAsia="Arial" w:hAnsi="Arial"/>
                <w:sz w:val="29"/>
                <w:szCs w:val="29"/>
                <w:b w:val="1"/>
                <w:bCs w:val="1"/>
                <w:color w:val="auto"/>
                <w:w w:val="98"/>
              </w:rPr>
              <w:t>Cantor</w:t>
            </w:r>
          </w:p>
        </w:tc>
      </w:tr>
      <w:tr>
        <w:trPr>
          <w:trHeight w:val="346"/>
        </w:trPr>
        <w:tc>
          <w:tcPr>
            <w:tcW w:w="408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080" w:type="dxa"/>
            <w:vAlign w:val="bottom"/>
          </w:tcPr>
          <w:p>
            <w:pPr>
              <w:spacing w:after="0"/>
              <w:rPr>
                <w:sz w:val="24"/>
                <w:szCs w:val="24"/>
                <w:color w:val="auto"/>
              </w:rPr>
            </w:pPr>
          </w:p>
        </w:tc>
      </w:tr>
      <w:tr>
        <w:trPr>
          <w:trHeight w:val="426"/>
        </w:trPr>
        <w:tc>
          <w:tcPr>
            <w:tcW w:w="408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Book-running Manager</w:t>
            </w:r>
          </w:p>
        </w:tc>
        <w:tc>
          <w:tcPr>
            <w:tcW w:w="4080" w:type="dxa"/>
            <w:vAlign w:val="bottom"/>
          </w:tcPr>
          <w:p>
            <w:pPr>
              <w:spacing w:after="0"/>
              <w:rPr>
                <w:sz w:val="24"/>
                <w:szCs w:val="24"/>
                <w:color w:val="auto"/>
              </w:rPr>
            </w:pPr>
          </w:p>
        </w:tc>
      </w:tr>
      <w:tr>
        <w:trPr>
          <w:trHeight w:val="515"/>
        </w:trPr>
        <w:tc>
          <w:tcPr>
            <w:tcW w:w="408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23"/>
                <w:szCs w:val="23"/>
                <w:b w:val="1"/>
                <w:bCs w:val="1"/>
                <w:color w:val="auto"/>
              </w:rPr>
              <w:t>Canaccord Genuity</w:t>
            </w:r>
          </w:p>
        </w:tc>
        <w:tc>
          <w:tcPr>
            <w:tcW w:w="4080" w:type="dxa"/>
            <w:vAlign w:val="bottom"/>
          </w:tcPr>
          <w:p>
            <w:pPr>
              <w:spacing w:after="0"/>
              <w:rPr>
                <w:sz w:val="24"/>
                <w:szCs w:val="24"/>
                <w:color w:val="auto"/>
              </w:rPr>
            </w:pPr>
          </w:p>
        </w:tc>
      </w:tr>
      <w:tr>
        <w:trPr>
          <w:trHeight w:val="348"/>
        </w:trPr>
        <w:tc>
          <w:tcPr>
            <w:tcW w:w="408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080" w:type="dxa"/>
            <w:vAlign w:val="bottom"/>
          </w:tcPr>
          <w:p>
            <w:pPr>
              <w:spacing w:after="0"/>
              <w:rPr>
                <w:sz w:val="24"/>
                <w:szCs w:val="24"/>
                <w:color w:val="auto"/>
              </w:rPr>
            </w:pPr>
          </w:p>
        </w:tc>
      </w:tr>
      <w:tr>
        <w:trPr>
          <w:trHeight w:val="425"/>
        </w:trPr>
        <w:tc>
          <w:tcPr>
            <w:tcW w:w="408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Lead Manager</w:t>
            </w:r>
          </w:p>
        </w:tc>
        <w:tc>
          <w:tcPr>
            <w:tcW w:w="4080" w:type="dxa"/>
            <w:vAlign w:val="bottom"/>
          </w:tcPr>
          <w:p>
            <w:pPr>
              <w:spacing w:after="0"/>
              <w:rPr>
                <w:sz w:val="24"/>
                <w:szCs w:val="24"/>
                <w:color w:val="auto"/>
              </w:rPr>
            </w:pPr>
          </w:p>
        </w:tc>
      </w:tr>
      <w:tr>
        <w:trPr>
          <w:trHeight w:val="515"/>
        </w:trPr>
        <w:tc>
          <w:tcPr>
            <w:tcW w:w="408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23"/>
                <w:szCs w:val="23"/>
                <w:b w:val="1"/>
                <w:bCs w:val="1"/>
                <w:color w:val="auto"/>
              </w:rPr>
              <w:t>BTIG</w:t>
            </w:r>
          </w:p>
        </w:tc>
        <w:tc>
          <w:tcPr>
            <w:tcW w:w="40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434975</wp:posOffset>
            </wp:positionV>
            <wp:extent cx="699516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upperLetter"/>
      <w:start w:val="1"/>
    </w:lvl>
  </w:abstractNum>
  <w:abstractNum w:abstractNumId="6">
    <w:nsid w:val="436C6125"/>
    <w:multiLevelType w:val="hybridMultilevel"/>
    <w:lvl w:ilvl="0">
      <w:lvlJc w:val="left"/>
      <w:lvlText w:val="%1."/>
      <w:numFmt w:val="upperLetter"/>
      <w:start w:val="1"/>
    </w:lvl>
  </w:abstractNum>
  <w:abstractNum w:abstractNumId="7">
    <w:nsid w:val="628C895D"/>
    <w:multiLevelType w:val="hybridMultilevel"/>
    <w:lvl w:ilvl="0">
      <w:lvlJc w:val="left"/>
      <w:lvlText w:val="%1."/>
      <w:numFmt w:val="upperLetter"/>
      <w:start w:val="1"/>
    </w:lvl>
  </w:abstractNum>
  <w:abstractNum w:abstractNumId="8">
    <w:nsid w:val="333AB105"/>
    <w:multiLevelType w:val="hybridMultilevel"/>
    <w:lvl w:ilvl="0">
      <w:lvlJc w:val="left"/>
      <w:lvlText w:val="%1."/>
      <w:numFmt w:val="upperLetter"/>
      <w:start w:val="2"/>
    </w:lvl>
  </w:abstractNum>
  <w:abstractNum w:abstractNumId="9">
    <w:nsid w:val="721DA317"/>
    <w:multiLevelType w:val="hybridMultilevel"/>
    <w:lvl w:ilvl="0">
      <w:lvlJc w:val="left"/>
      <w:lvlText w:val="%1."/>
      <w:numFmt w:val="upperLetter"/>
      <w:start w:val="1"/>
    </w:lvl>
  </w:abstractNum>
  <w:abstractNum w:abstractNumId="10">
    <w:nsid w:val="2443A858"/>
    <w:multiLevelType w:val="hybridMultilevel"/>
    <w:lvl w:ilvl="0">
      <w:lvlJc w:val="left"/>
      <w:lvlText w:val="(%1)"/>
      <w:numFmt w:val="lowerRoman"/>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760"/>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jpe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jpe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46" Type="http://schemas.openxmlformats.org/officeDocument/2006/relationships/hyperlink" Target="http://www.sec.gov/ix?doc=/Archives/edgar/data/1274737/000127473721000015/exdx-20201231.htm" TargetMode="External"/><Relationship Id="rId47" Type="http://schemas.openxmlformats.org/officeDocument/2006/relationships/hyperlink" Target="http://www.sec.gov/Archives/edgar/data/1274737/000127473720000031/a2020def14a.htm" TargetMode="External"/><Relationship Id="rId48" Type="http://schemas.openxmlformats.org/officeDocument/2006/relationships/hyperlink" Target="http://www.sec.gov/Archives/edgar/data/1274737/000119312519244881/d756255d8a12b.htm" TargetMode="External"/><Relationship Id="rId56" Type="http://schemas.openxmlformats.org/officeDocument/2006/relationships/hyperlink" Target="http://www.sec.gov/ix?doc=/Archives/edgar/data/1274737/000127473720000026/exdx-20191231.htm" TargetMode="External"/><Relationship Id="rId57" Type="http://schemas.openxmlformats.org/officeDocument/2006/relationships/hyperlink" Target="http://www.sec.gov/ix?doc=/Archives/edgar/data/1274737/000127473720000037/exdx-20200331.htm" TargetMode="External"/><Relationship Id="rId58" Type="http://schemas.openxmlformats.org/officeDocument/2006/relationships/hyperlink" Target="http://www.sec.gov/ix?doc=/Archives/edgar/data/1274737/000127473720000077/exdx-20200630.htm" TargetMode="External"/><Relationship Id="rId59" Type="http://schemas.openxmlformats.org/officeDocument/2006/relationships/hyperlink" Target="http://www.sec.gov/ix?doc=/Archives/edgar/data/1274737/000127473720000097/exdx-20200930.htm" TargetMode="External"/><Relationship Id="rId60" Type="http://schemas.openxmlformats.org/officeDocument/2006/relationships/hyperlink" Target="http://www.sec.gov/Archives/edgar/data/1274737/000127473720000016/xgn8-kxleaseagreementa.htm" TargetMode="External"/><Relationship Id="rId61" Type="http://schemas.openxmlformats.org/officeDocument/2006/relationships/hyperlink" Target="http://www.sec.gov/Archives/edgar/data/1274737/000127473720000040/xgn8-kxannualmeetingre.htm" TargetMode="External"/><Relationship Id="rId62" Type="http://schemas.openxmlformats.org/officeDocument/2006/relationships/hyperlink" Target="http://www.sec.gov/Archives/edgar/data/1274737/000127473720000043/xgn8-kxjanssenamendmen.htm" TargetMode="External"/><Relationship Id="rId63" Type="http://schemas.openxmlformats.org/officeDocument/2006/relationships/hyperlink" Target="http://www.sec.gov/Archives/edgar/data/1274737/000127473720000080/xgn8-kxdirectorappoi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2021-03-22T15:14:33Z</dcterms:created>
  <dcterms:modified xsi:type="dcterms:W3CDTF">2021-03-22T15:14:33Z</dcterms:modified>
</cp:coreProperties>
</file>