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40"/>
        <w:spacing w:after="0"/>
        <w:rPr>
          <w:sz w:val="20"/>
          <w:szCs w:val="20"/>
          <w:color w:val="auto"/>
        </w:rPr>
      </w:pPr>
      <w:r>
        <w:rPr>
          <w:rFonts w:ascii="Arial" w:cs="Arial" w:eastAsia="Arial" w:hAnsi="Arial"/>
          <w:sz w:val="18"/>
          <w:szCs w:val="18"/>
          <w:b w:val="1"/>
          <w:bCs w:val="1"/>
          <w:color w:val="auto"/>
        </w:rPr>
        <w:t>As filed with the Securities and Exchange Commission on November 10, 2020</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283210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210185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S-3</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UNDER</w:t>
      </w:r>
    </w:p>
    <w:p>
      <w:pPr>
        <w:spacing w:after="0" w:line="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210185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080"/>
        <w:spacing w:after="0"/>
        <w:rPr>
          <w:sz w:val="20"/>
          <w:szCs w:val="20"/>
          <w:color w:val="auto"/>
        </w:rPr>
      </w:pPr>
      <w:r>
        <w:rPr>
          <w:rFonts w:ascii="Arial" w:cs="Arial" w:eastAsia="Arial" w:hAnsi="Arial"/>
          <w:sz w:val="43"/>
          <w:szCs w:val="43"/>
          <w:b w:val="1"/>
          <w:bCs w:val="1"/>
          <w:color w:val="auto"/>
        </w:rPr>
        <w:t>EXAGEN INC.</w:t>
      </w:r>
    </w:p>
    <w:p>
      <w:pPr>
        <w:spacing w:after="0" w:line="71"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231775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2660" w:type="dxa"/>
            <w:vAlign w:val="bottom"/>
          </w:tcPr>
          <w:p>
            <w:pPr>
              <w:jc w:val="center"/>
              <w:ind w:right="722"/>
              <w:spacing w:after="0"/>
              <w:rPr>
                <w:sz w:val="20"/>
                <w:szCs w:val="20"/>
                <w:color w:val="auto"/>
              </w:rPr>
            </w:pPr>
            <w:r>
              <w:rPr>
                <w:rFonts w:ascii="Arial" w:cs="Arial" w:eastAsia="Arial" w:hAnsi="Arial"/>
                <w:sz w:val="18"/>
                <w:szCs w:val="18"/>
                <w:b w:val="1"/>
                <w:bCs w:val="1"/>
                <w:color w:val="auto"/>
                <w:w w:val="93"/>
              </w:rPr>
              <w:t>Delaware</w:t>
            </w:r>
          </w:p>
        </w:tc>
        <w:tc>
          <w:tcPr>
            <w:tcW w:w="354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8071</w:t>
            </w:r>
          </w:p>
        </w:tc>
        <w:tc>
          <w:tcPr>
            <w:tcW w:w="2040" w:type="dxa"/>
            <w:vAlign w:val="bottom"/>
          </w:tcPr>
          <w:p>
            <w:pPr>
              <w:jc w:val="center"/>
              <w:ind w:left="862"/>
              <w:spacing w:after="0"/>
              <w:rPr>
                <w:sz w:val="20"/>
                <w:szCs w:val="20"/>
                <w:color w:val="auto"/>
              </w:rPr>
            </w:pPr>
            <w:r>
              <w:rPr>
                <w:rFonts w:ascii="Arial" w:cs="Arial" w:eastAsia="Arial" w:hAnsi="Arial"/>
                <w:sz w:val="18"/>
                <w:szCs w:val="18"/>
                <w:b w:val="1"/>
                <w:bCs w:val="1"/>
                <w:color w:val="auto"/>
                <w:w w:val="89"/>
              </w:rPr>
              <w:t>20-0434866</w:t>
            </w:r>
          </w:p>
        </w:tc>
      </w:tr>
      <w:tr>
        <w:trPr>
          <w:trHeight w:val="193"/>
        </w:trPr>
        <w:tc>
          <w:tcPr>
            <w:tcW w:w="2660" w:type="dxa"/>
            <w:vAlign w:val="bottom"/>
          </w:tcPr>
          <w:p>
            <w:pPr>
              <w:jc w:val="center"/>
              <w:ind w:right="722"/>
              <w:spacing w:after="0"/>
              <w:rPr>
                <w:sz w:val="20"/>
                <w:szCs w:val="20"/>
                <w:color w:val="auto"/>
              </w:rPr>
            </w:pPr>
            <w:r>
              <w:rPr>
                <w:rFonts w:ascii="Arial" w:cs="Arial" w:eastAsia="Arial" w:hAnsi="Arial"/>
                <w:sz w:val="14"/>
                <w:szCs w:val="14"/>
                <w:b w:val="1"/>
                <w:bCs w:val="1"/>
                <w:color w:val="auto"/>
                <w:w w:val="92"/>
              </w:rPr>
              <w:t>(State or other jurisdiction of</w:t>
            </w:r>
          </w:p>
        </w:tc>
        <w:tc>
          <w:tcPr>
            <w:tcW w:w="35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(Primary Standard Industrial</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722"/>
              <w:spacing w:after="0"/>
              <w:rPr>
                <w:sz w:val="20"/>
                <w:szCs w:val="20"/>
                <w:color w:val="auto"/>
              </w:rPr>
            </w:pPr>
            <w:r>
              <w:rPr>
                <w:rFonts w:ascii="Arial" w:cs="Arial" w:eastAsia="Arial" w:hAnsi="Arial"/>
                <w:sz w:val="14"/>
                <w:szCs w:val="14"/>
                <w:b w:val="1"/>
                <w:bCs w:val="1"/>
                <w:color w:val="auto"/>
                <w:w w:val="93"/>
              </w:rPr>
              <w:t>incorporation or organization)</w:t>
            </w:r>
          </w:p>
        </w:tc>
        <w:tc>
          <w:tcPr>
            <w:tcW w:w="354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Classification Code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3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Vista, California 92081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 560-1501</w:t>
      </w:r>
    </w:p>
    <w:p>
      <w:pPr>
        <w:spacing w:after="0" w:line="54" w:lineRule="exact"/>
        <w:rPr>
          <w:sz w:val="24"/>
          <w:szCs w:val="24"/>
          <w:color w:val="auto"/>
        </w:rPr>
      </w:pPr>
    </w:p>
    <w:p>
      <w:pPr>
        <w:ind w:left="9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229235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Fortunato Ron Rocca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Exagen Inc.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1261 Liberty Way</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Vista, California 92081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 560-1501</w:t>
      </w:r>
    </w:p>
    <w:p>
      <w:pPr>
        <w:spacing w:after="0" w:line="67"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238125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140"/>
        <w:spacing w:after="0"/>
        <w:rPr>
          <w:sz w:val="20"/>
          <w:szCs w:val="20"/>
          <w:color w:val="auto"/>
        </w:rPr>
      </w:pPr>
      <w:r>
        <w:rPr>
          <w:rFonts w:ascii="Arial" w:cs="Arial" w:eastAsia="Arial" w:hAnsi="Arial"/>
          <w:sz w:val="18"/>
          <w:szCs w:val="18"/>
          <w:b w:val="1"/>
          <w:bCs w:val="1"/>
          <w:i w:val="1"/>
          <w:iCs w:val="1"/>
          <w:color w:val="auto"/>
        </w:rPr>
        <w:t>Copies to:</w:t>
      </w:r>
    </w:p>
    <w:p>
      <w:pPr>
        <w:spacing w:after="0" w:line="37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Matthew T. Bush</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Cheston J. Larson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Jeffrey T. Woodley</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12670 High Bluff Drive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(858) 523-5400</w:t>
      </w:r>
    </w:p>
    <w:p>
      <w:pPr>
        <w:sectPr>
          <w:pgSz w:w="11900" w:h="16838" w:orient="portrait"/>
          <w:cols w:equalWidth="0" w:num="1">
            <w:col w:w="10120"/>
          </w:cols>
          <w:pgMar w:left="1440" w:top="1120" w:right="339" w:bottom="144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23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ind w:right="80"/>
        <w:spacing w:after="0" w:line="282" w:lineRule="auto"/>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86" w:lineRule="exact"/>
        <w:rPr>
          <w:sz w:val="20"/>
          <w:szCs w:val="20"/>
          <w:color w:val="auto"/>
        </w:rPr>
      </w:pPr>
    </w:p>
    <w:p>
      <w:pPr>
        <w:ind w:right="320"/>
        <w:spacing w:after="0" w:line="29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on filing with the Commission pursuant to Rule 462(e) under the Securities Act, check the following box.</w:t>
      </w:r>
    </w:p>
    <w:p>
      <w:pPr>
        <w:spacing w:after="0" w:line="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w:t>
      </w:r>
    </w:p>
    <w:p>
      <w:pPr>
        <w:spacing w:after="0" w:line="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1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 registered/proposed maximum</w:t>
            </w:r>
          </w:p>
        </w:tc>
        <w:tc>
          <w:tcPr>
            <w:tcW w:w="2000" w:type="dxa"/>
            <w:vAlign w:val="bottom"/>
            <w:tcBorders>
              <w:top w:val="single" w:sz="8" w:color="auto"/>
            </w:tcBorders>
          </w:tcPr>
          <w:p>
            <w:pPr>
              <w:spacing w:after="0"/>
              <w:rPr>
                <w:sz w:val="20"/>
                <w:szCs w:val="20"/>
                <w:color w:val="auto"/>
              </w:rPr>
            </w:pPr>
          </w:p>
        </w:tc>
      </w:tr>
      <w:tr>
        <w:trPr>
          <w:trHeight w:val="216"/>
        </w:trPr>
        <w:tc>
          <w:tcPr>
            <w:tcW w:w="38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Title of Each Class of Securities To Be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 price per unit/proposed maximum</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Amount of Registration</w:t>
            </w:r>
          </w:p>
        </w:tc>
      </w:tr>
      <w:tr>
        <w:trPr>
          <w:trHeight w:val="234"/>
        </w:trPr>
        <w:tc>
          <w:tcPr>
            <w:tcW w:w="3800" w:type="dxa"/>
            <w:vAlign w:val="bottom"/>
            <w:tcBorders>
              <w:right w:val="single" w:sz="8" w:color="auto"/>
            </w:tcBorders>
          </w:tcPr>
          <w:p>
            <w:pPr>
              <w:ind w:left="1480"/>
              <w:spacing w:after="0"/>
              <w:rPr>
                <w:sz w:val="20"/>
                <w:szCs w:val="20"/>
                <w:color w:val="auto"/>
              </w:rPr>
            </w:pPr>
            <w:r>
              <w:rPr>
                <w:rFonts w:ascii="Arial" w:cs="Arial" w:eastAsia="Arial" w:hAnsi="Arial"/>
                <w:sz w:val="18"/>
                <w:szCs w:val="18"/>
                <w:b w:val="1"/>
                <w:bCs w:val="1"/>
                <w:color w:val="auto"/>
              </w:rPr>
              <w:t>Registered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offering price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Offering:</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Preferred Stock, $0.001 par value</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Debt Securities</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Warrants</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Units</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Total Primary Offering</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$150,000,000 (2)</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$16,365 (3)</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Secondary Offering:</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Common Stock</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6,042,679 (4)</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$91,123,600</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$9,942 (5)</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Registration Fee</w:t>
            </w:r>
          </w:p>
        </w:tc>
        <w:tc>
          <w:tcPr>
            <w:tcW w:w="160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$26,307</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jc w:val="both"/>
        <w:ind w:left="560" w:right="380" w:hanging="534"/>
        <w:spacing w:after="0" w:line="257"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76" w:lineRule="exact"/>
        <w:rPr>
          <w:rFonts w:ascii="Arial" w:cs="Arial" w:eastAsia="Arial" w:hAnsi="Arial"/>
          <w:sz w:val="14"/>
          <w:szCs w:val="14"/>
          <w:color w:val="auto"/>
        </w:rPr>
      </w:pPr>
    </w:p>
    <w:p>
      <w:pPr>
        <w:ind w:left="560" w:right="40" w:hanging="534"/>
        <w:spacing w:after="0" w:line="257"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$150,000,000.</w:t>
      </w:r>
    </w:p>
    <w:p>
      <w:pPr>
        <w:spacing w:after="0" w:line="76" w:lineRule="exact"/>
        <w:rPr>
          <w:rFonts w:ascii="Arial" w:cs="Arial" w:eastAsia="Arial" w:hAnsi="Arial"/>
          <w:sz w:val="14"/>
          <w:szCs w:val="14"/>
          <w:color w:val="auto"/>
        </w:rPr>
      </w:pPr>
    </w:p>
    <w:p>
      <w:pPr>
        <w:ind w:left="560" w:hanging="534"/>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has been calculated in accordance with Rule 457(o) under the Securities Act of 1933, as amended.</w:t>
      </w:r>
    </w:p>
    <w:p>
      <w:pPr>
        <w:spacing w:after="0" w:line="109" w:lineRule="exact"/>
        <w:rPr>
          <w:rFonts w:ascii="Arial" w:cs="Arial" w:eastAsia="Arial" w:hAnsi="Arial"/>
          <w:sz w:val="14"/>
          <w:szCs w:val="14"/>
          <w:color w:val="auto"/>
        </w:rPr>
      </w:pPr>
    </w:p>
    <w:p>
      <w:pPr>
        <w:ind w:left="560" w:right="200" w:hanging="534"/>
        <w:spacing w:after="0" w:line="273"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5,752,698 outstanding shares of common stock and 289,981 shares of common stock issuable upon the exercise of outstanding warrants with a weighted average exercise price of $1.84 per share.</w:t>
      </w:r>
    </w:p>
    <w:p>
      <w:pPr>
        <w:spacing w:after="0" w:line="65" w:lineRule="exact"/>
        <w:rPr>
          <w:rFonts w:ascii="Arial" w:cs="Arial" w:eastAsia="Arial" w:hAnsi="Arial"/>
          <w:sz w:val="14"/>
          <w:szCs w:val="14"/>
          <w:color w:val="auto"/>
        </w:rPr>
      </w:pPr>
    </w:p>
    <w:p>
      <w:pPr>
        <w:ind w:left="560" w:right="80" w:hanging="534"/>
        <w:spacing w:after="0" w:line="273"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With respect to the secondary offering, the registration fee has been calculated in accordance with Rule 457(c) under the Securities Act of 1933, as amended, based on the average high and low prices reported for the registrant's common stock on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285115</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193040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registration statement contains two prospectuses:</w:t>
      </w:r>
    </w:p>
    <w:p>
      <w:pPr>
        <w:spacing w:after="0" w:line="117" w:lineRule="exact"/>
        <w:rPr>
          <w:sz w:val="20"/>
          <w:szCs w:val="20"/>
          <w:color w:val="auto"/>
        </w:rPr>
      </w:pPr>
    </w:p>
    <w:p>
      <w:pPr>
        <w:ind w:left="660" w:right="3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$150.0 million in the aggregate of the securities identified above from time to time in one or more offerings;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secondary offering prospectus which covers the offer and sale by the selling stockholders of our common stock from time to time in one or more offerings.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 The secondary offering prospectus immediately follows the sales agreement prospectus. The 6,042,679 shares of common stock that may be offered and sold under the secondary offering prospectus is not included in the $150.0 million of securities that may be offered, issued and sold by us under the base prospectus.</w:t>
      </w:r>
    </w:p>
    <w:p>
      <w:pPr>
        <w:sectPr>
          <w:pgSz w:w="11900" w:h="16838" w:orient="portrait"/>
          <w:cols w:equalWidth="0" w:num="1">
            <w:col w:w="11180"/>
          </w:cols>
          <w:pgMar w:left="320" w:top="1012" w:right="39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8"/>
          <w:szCs w:val="18"/>
          <w:b w:val="1"/>
          <w:bCs w:val="1"/>
          <w:color w:val="EE272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E2724"/>
        </w:rPr>
        <w:t>Subject to Completion, dated November 10,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240030</wp:posOffset>
            </wp:positionV>
            <wp:extent cx="2863215" cy="1054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$150,000,000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9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23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firstLine="324"/>
        <w:spacing w:after="0" w:line="274"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w:t>
      </w:r>
      <w:hyperlink w:anchor="page10">
        <w:r>
          <w:rPr>
            <w:rFonts w:ascii="Arial" w:cs="Arial" w:eastAsia="Arial" w:hAnsi="Arial"/>
            <w:sz w:val="21"/>
            <w:szCs w:val="21"/>
            <w:b w:val="1"/>
            <w:bCs w:val="1"/>
            <w:u w:val="single" w:color="auto"/>
            <w:color w:val="0000FF"/>
          </w:rPr>
          <w:t>RISK FACTORS</w:t>
        </w:r>
      </w:hyperlink>
      <w:r>
        <w:rPr>
          <w:rFonts w:ascii="Arial" w:cs="Arial" w:eastAsia="Arial" w:hAnsi="Arial"/>
          <w:sz w:val="21"/>
          <w:szCs w:val="21"/>
          <w:b w:val="1"/>
          <w:bCs w:val="1"/>
          <w:color w:val="auto"/>
        </w:rPr>
        <w:t>" ON PAGE 4 OF THIS PROSPECTUS AND ANY SIMILAR SECTION CONTAINED IN THE APPLICABLE PROSPECTUS SUPPLEMENT CONCERNING FACTORS YOU SHOULD CONSIDER BEFORE INVESTING IN OUR SECURITIES.</w:t>
      </w:r>
    </w:p>
    <w:p>
      <w:pPr>
        <w:spacing w:after="0" w:line="5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"XGN." On November 9, 2020, the last reported sale price of our common stock on The Nasdaq Global Select Market was $15.55 per share.</w:t>
      </w:r>
    </w:p>
    <w:p>
      <w:pPr>
        <w:spacing w:after="0" w:line="58" w:lineRule="exact"/>
        <w:rPr>
          <w:sz w:val="20"/>
          <w:szCs w:val="20"/>
          <w:color w:val="auto"/>
        </w:rPr>
      </w:pPr>
    </w:p>
    <w:p>
      <w:pPr>
        <w:ind w:right="480" w:firstLine="324"/>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7098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tcPr>
          <w:p>
            <w:pPr>
              <w:ind w:left="48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270"/>
        </w:trPr>
        <w:tc>
          <w:tcPr>
            <w:tcW w:w="100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10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008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ABOUT THIS PROSPECTUS</w:t>
              </w:r>
            </w:hyperlink>
          </w:p>
        </w:tc>
        <w:tc>
          <w:tcPr>
            <w:tcW w:w="1140" w:type="dxa"/>
            <w:vAlign w:val="bottom"/>
          </w:tcPr>
          <w:p>
            <w:pPr>
              <w:jc w:val="cente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WHERE YOU CAN FIND MORE INFORMATION; INCORPORATION BY REFERENCE</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1</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THE COMPANY</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3</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4</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CAUTIONARY NOTE REGARDING FORWARD-LOOKING STATEMENTS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4</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USE OF PROCEEDS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5</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DIVIDEND POLICY</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5</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DESCRIPTION OF CAPITAL STOCK</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6</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DESCRIPTION OF DEBT SECURITIES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12</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DESCRIPTION OF WARRANTS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20</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DESCRIPTION OF UNITS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22</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GLOBAL SECURITIES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23</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PLAN OF DISTRIBUTION</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27</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MATTERS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29</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EXPERTS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29</w:t>
              </w:r>
            </w:hyperlink>
          </w:p>
        </w:tc>
      </w:tr>
    </w:tbl>
    <w:p>
      <w:pPr>
        <w:sectPr>
          <w:pgSz w:w="11900" w:h="16838" w:orient="portrait"/>
          <w:cols w:equalWidth="0" w:num="1">
            <w:col w:w="11220"/>
          </w:cols>
          <w:pgMar w:left="340" w:top="1440" w:right="339" w:bottom="1440" w:gutter="0" w:footer="0" w:header="0"/>
        </w:sectPr>
      </w:pPr>
    </w:p>
    <w:bookmarkStart w:id="6" w:name="page7"/>
    <w:bookmarkEnd w:id="6"/>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8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70"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use our trademarks in this prospectus as well as trademarks, tradenames and service marks that are the property of other organizations. Solely for convenience, certain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www.exagen.com. The information on our website, however, is not, and should not be deemed to be, a part of this prospectus.</w:t>
      </w:r>
    </w:p>
    <w:p>
      <w:pPr>
        <w:spacing w:after="0" w:line="24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Annual Report on Form 10-K for the year ended December 31, 2019, filed with the SEC on March 25, 2020;</w:t>
      </w:r>
    </w:p>
    <w:p>
      <w:pPr>
        <w:spacing w:after="0" w:line="188" w:lineRule="exact"/>
        <w:rPr>
          <w:rFonts w:ascii="Arial" w:cs="Arial" w:eastAsia="Arial" w:hAnsi="Arial"/>
          <w:sz w:val="22"/>
          <w:szCs w:val="22"/>
          <w:color w:val="auto"/>
        </w:rPr>
      </w:pPr>
    </w:p>
    <w:p>
      <w:pPr>
        <w:ind w:left="660" w:right="24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Quarterly Reports on Form 10-Q for the periods ended March 31, 2020, June 30, 2020 and September 30, 2020, filed with the SEC on May 11, 2020, July 28, 2020 and November 10, 2020, respectively;</w:t>
      </w:r>
    </w:p>
    <w:p>
      <w:pPr>
        <w:spacing w:after="0" w:line="189" w:lineRule="exact"/>
        <w:rPr>
          <w:rFonts w:ascii="Arial" w:cs="Arial" w:eastAsia="Arial" w:hAnsi="Arial"/>
          <w:sz w:val="22"/>
          <w:szCs w:val="22"/>
          <w:color w:val="auto"/>
        </w:rPr>
      </w:pPr>
    </w:p>
    <w:p>
      <w:pPr>
        <w:ind w:left="660" w:right="24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Definitive Proxy Statement on Schedule 14A (to the extent incorporated by reference into our Annual Report on Form 10-K), filed with the SEC on April 29, 2020;</w:t>
      </w:r>
    </w:p>
    <w:p>
      <w:pPr>
        <w:spacing w:after="0" w:line="17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Current Reports on Form 8-K, filed with the SEC on March 18, 2020, June 19, 2020, June 29, 2020 and September 23,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8" w:name="page9"/>
    <w:bookmarkEnd w:id="8"/>
    <w:p>
      <w:pPr>
        <w:spacing w:after="0" w:line="184" w:lineRule="exact"/>
        <w:rPr>
          <w:sz w:val="20"/>
          <w:szCs w:val="20"/>
          <w:color w:val="auto"/>
        </w:rPr>
      </w:pPr>
    </w:p>
    <w:p>
      <w:pPr>
        <w:ind w:left="660" w:right="18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description of our common stock contained in our registration statement on Form 8-A filed with the SEC on September 13, 2019, including any amendments or reports filed for the purposes of updating this description.</w:t>
      </w:r>
    </w:p>
    <w:p>
      <w:pPr>
        <w:spacing w:after="0" w:line="2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Vista, California 92081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(760) 560-1501</w:t>
      </w:r>
    </w:p>
    <w:p>
      <w:pPr>
        <w:spacing w:after="0" w:line="2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1440" w:right="439" w:bottom="1440" w:gutter="0" w:footer="0" w:header="0"/>
        </w:sectPr>
      </w:pPr>
    </w:p>
    <w:bookmarkStart w:id="9" w:name="page10"/>
    <w:bookmarkEnd w:id="9"/>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9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21E of the Exchange Act. All statements other than statements of historical facts contained in this prospectus and the documents incorporated by reference herein,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with Innovatus Life Science Lending Fund I,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1440" w:right="4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(the "bylaws"), which are filed as exhibits to our most recent Annual Report on Form 10-K and are incorporated by reference herein. We encourage you to read our certificate of incorporation and our bylaws for additional information.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and 10,000,000 shares of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of September 30, 2020, there were 12,652,113 shares of our common stock outstanding and held of record by 50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16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September 30, 2020, there were no shares of our preferred stock outstanding. Under the terms of our amended and restated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Prior to the issuance of shares of each series, the board of directors is required by the General Corporation Law of the State of Delaware, or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a prospectus supplement relating to the class or series of preferred stock being offered the following terms:</w:t>
      </w:r>
    </w:p>
    <w:p>
      <w:pPr>
        <w:spacing w:after="0" w:line="18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title and stated value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shares of the preferred stock offered, the liquidation preference per share and the offering price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dividend rate(s), period(s) or payment date(s) or method(s) of calculation applicable to the preferred stock;</w:t>
      </w:r>
    </w:p>
    <w:p>
      <w:pPr>
        <w:spacing w:after="0" w:line="18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whether dividends are cumulative or non-cumulative and, if cumulative, the date from which dividends on the preferred stock will accumulate;</w:t>
      </w:r>
    </w:p>
    <w:p>
      <w:pPr>
        <w:spacing w:after="0" w:line="177" w:lineRule="exact"/>
        <w:rPr>
          <w:rFonts w:ascii="Arial" w:cs="Arial" w:eastAsia="Arial" w:hAnsi="Arial"/>
          <w:sz w:val="19"/>
          <w:szCs w:val="19"/>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procedures for any auction and remarketing, if any, for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provisions for a sinking fund, if any, for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provision for redemption, if applicable, of the preferred stock;</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listing of the preferred stock on any securities exchange;</w:t>
      </w:r>
    </w:p>
    <w:p>
      <w:pPr>
        <w:spacing w:after="0" w:line="188"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voting rights, if any, of the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88" w:lineRule="exact"/>
        <w:rPr>
          <w:rFonts w:ascii="Arial" w:cs="Arial" w:eastAsia="Arial" w:hAnsi="Arial"/>
          <w:sz w:val="22"/>
          <w:szCs w:val="22"/>
          <w:color w:val="auto"/>
        </w:rPr>
      </w:pPr>
    </w:p>
    <w:p>
      <w:pPr>
        <w:ind w:left="660" w:right="24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189"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any other specific terms, preferences, rights, limitations or restrictions of the preferred stock.</w:t>
      </w:r>
    </w:p>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relating to dividends and upon our liquidation, dissolution or winding up:</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88"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September 30, 2020, 426,827 shares of our common stock were issuable upon exercise of outstanding warrants to purchase common stock with a weighted average exercise price of $4.90 per share.</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September 30, 2020, holders of 6,042,679 shares of our common stock, are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holders of at least 50% of the registrable securities request in writing that we effect a registration with respect to their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offering, we may be required to register their shares. We are obligated to effect at most two registrations for the holders of registrable securities in response to these demand registration rights,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a holder of registrable securities requests in writing that we register their shares for public resale on Form S-3 and the price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187"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Registration Rights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registration rights terminate upon the earlier of September 20, 2022,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impede the success of any attempt to change control of us. These and other provisions may have the effect of deferring hostile takeovers or delaying changes in control or management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Meetings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Staggered Board</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and amended and restated bylaws also provide that any person or entity purchasing or otherwise acquiring any interest in shares of our capital stock will be deemed to have notice of and to have consented to this choice of forum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Provisions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1440" w:right="419" w:bottom="1440" w:gutter="0" w:footer="0" w:header="0"/>
        </w:sectPr>
      </w:pPr>
    </w:p>
    <w:bookmarkStart w:id="18" w:name="page19"/>
    <w:bookmarkEnd w:id="18"/>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6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9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on a particular series of debt securities is payable;</w:t>
      </w:r>
    </w:p>
    <w:p>
      <w:pPr>
        <w:spacing w:after="0" w:line="171"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3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we may redeem the debt securities;</w:t>
      </w:r>
    </w:p>
    <w:p>
      <w:pPr>
        <w:spacing w:after="0" w:line="182" w:lineRule="exact"/>
        <w:rPr>
          <w:rFonts w:ascii="Arial" w:cs="Arial" w:eastAsia="Arial" w:hAnsi="Arial"/>
          <w:sz w:val="17"/>
          <w:szCs w:val="17"/>
          <w:color w:val="auto"/>
        </w:rPr>
      </w:pPr>
    </w:p>
    <w:p>
      <w:pPr>
        <w:jc w:val="both"/>
        <w:ind w:left="328" w:right="100" w:hanging="328"/>
        <w:spacing w:after="0" w:line="286" w:lineRule="auto"/>
        <w:tabs>
          <w:tab w:leader="none" w:pos="323"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11" w:lineRule="exact"/>
        <w:rPr>
          <w:rFonts w:ascii="Arial" w:cs="Arial" w:eastAsia="Arial" w:hAnsi="Arial"/>
          <w:sz w:val="17"/>
          <w:szCs w:val="17"/>
          <w:color w:val="auto"/>
        </w:rPr>
      </w:pPr>
    </w:p>
    <w:p>
      <w:pPr>
        <w:ind w:left="328" w:right="48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71"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16" w:lineRule="exact"/>
        <w:rPr>
          <w:rFonts w:ascii="Arial" w:cs="Arial" w:eastAsia="Arial" w:hAnsi="Arial"/>
          <w:sz w:val="18"/>
          <w:szCs w:val="18"/>
          <w:color w:val="auto"/>
        </w:rPr>
      </w:pPr>
    </w:p>
    <w:p>
      <w:pPr>
        <w:ind w:left="328" w:right="12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116" w:lineRule="exact"/>
        <w:rPr>
          <w:rFonts w:ascii="Arial" w:cs="Arial" w:eastAsia="Arial" w:hAnsi="Arial"/>
          <w:sz w:val="18"/>
          <w:szCs w:val="18"/>
          <w:color w:val="auto"/>
        </w:rPr>
      </w:pPr>
    </w:p>
    <w:p>
      <w:pPr>
        <w:jc w:val="both"/>
        <w:ind w:left="328" w:right="140" w:hanging="328"/>
        <w:spacing w:after="0" w:line="342"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9" w:lineRule="exact"/>
        <w:rPr>
          <w:rFonts w:ascii="Arial" w:cs="Arial" w:eastAsia="Arial" w:hAnsi="Arial"/>
          <w:sz w:val="16"/>
          <w:szCs w:val="16"/>
          <w:color w:val="auto"/>
        </w:rPr>
      </w:pPr>
    </w:p>
    <w:p>
      <w:pPr>
        <w:jc w:val="both"/>
        <w:ind w:left="328" w:right="180" w:hanging="328"/>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71" w:lineRule="exact"/>
        <w:rPr>
          <w:rFonts w:ascii="Arial" w:cs="Arial" w:eastAsia="Arial" w:hAnsi="Arial"/>
          <w:sz w:val="18"/>
          <w:szCs w:val="18"/>
          <w:color w:val="auto"/>
        </w:rPr>
      </w:pPr>
    </w:p>
    <w:p>
      <w:pPr>
        <w:ind w:left="328" w:right="280" w:hanging="328"/>
        <w:spacing w:after="0" w:line="342"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82" w:lineRule="exact"/>
        <w:rPr>
          <w:rFonts w:ascii="Arial" w:cs="Arial" w:eastAsia="Arial" w:hAnsi="Arial"/>
          <w:sz w:val="17"/>
          <w:szCs w:val="17"/>
          <w:color w:val="auto"/>
        </w:rPr>
      </w:pPr>
    </w:p>
    <w:p>
      <w:pPr>
        <w:ind w:left="328" w:right="120" w:hanging="328"/>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29" w:lineRule="exact"/>
        <w:rPr>
          <w:rFonts w:ascii="Arial" w:cs="Arial" w:eastAsia="Arial" w:hAnsi="Arial"/>
          <w:sz w:val="18"/>
          <w:szCs w:val="18"/>
          <w:color w:val="auto"/>
        </w:rPr>
      </w:pPr>
    </w:p>
    <w:p>
      <w:pPr>
        <w:ind w:left="328" w:right="60" w:hanging="328"/>
        <w:spacing w:after="0" w:line="342"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9" w:lineRule="exact"/>
        <w:rPr>
          <w:rFonts w:ascii="Arial" w:cs="Arial" w:eastAsia="Arial" w:hAnsi="Arial"/>
          <w:sz w:val="16"/>
          <w:szCs w:val="16"/>
          <w:color w:val="auto"/>
        </w:rPr>
      </w:pPr>
    </w:p>
    <w:p>
      <w:pPr>
        <w:ind w:left="328" w:right="26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40" w:right="339" w:bottom="1440" w:gutter="0" w:footer="0" w:header="0"/>
        </w:sectPr>
      </w:pPr>
    </w:p>
    <w:bookmarkStart w:id="20" w:name="page21"/>
    <w:bookmarkEnd w:id="20"/>
    <w:p>
      <w:pPr>
        <w:spacing w:after="0" w:line="19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4" w:lineRule="exact"/>
        <w:rPr>
          <w:sz w:val="20"/>
          <w:szCs w:val="20"/>
          <w:color w:val="auto"/>
        </w:rPr>
      </w:pPr>
    </w:p>
    <w:p>
      <w:pPr>
        <w:ind w:left="660" w:right="24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Notwithstanding the above, any of our subsidiaries may consolidate with, merge into or transfer all or part of its properties to us. (Section 5.1)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71" w:lineRule="exact"/>
        <w:rPr>
          <w:sz w:val="20"/>
          <w:szCs w:val="20"/>
          <w:color w:val="auto"/>
        </w:rPr>
      </w:pPr>
    </w:p>
    <w:p>
      <w:pPr>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of that series at its maturity;</w:t>
      </w:r>
    </w:p>
    <w:p>
      <w:pPr>
        <w:spacing w:after="0" w:line="171"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Exagen;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94"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82"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71"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16" w:lineRule="exact"/>
        <w:rPr>
          <w:sz w:val="20"/>
          <w:szCs w:val="20"/>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92"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conditions include:</w:t>
      </w:r>
    </w:p>
    <w:p>
      <w:pPr>
        <w:spacing w:after="0" w:line="171" w:lineRule="exact"/>
        <w:rPr>
          <w:sz w:val="20"/>
          <w:szCs w:val="20"/>
          <w:color w:val="auto"/>
        </w:rPr>
      </w:pPr>
    </w:p>
    <w:p>
      <w:pPr>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38"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440" w:right="379" w:bottom="1440" w:gutter="0" w:footer="0" w:header="0"/>
        </w:sectPr>
      </w:pPr>
    </w:p>
    <w:bookmarkStart w:id="26" w:name="page27"/>
    <w:bookmarkEnd w:id="26"/>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83"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exercise and settlement of the warrants.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equity warrants will not be entitled to:</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any rights as stockholders of Exagen.</w:t>
      </w:r>
    </w:p>
    <w:p>
      <w:pPr>
        <w:spacing w:after="0" w:line="22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8" w:name="page29"/>
    <w:bookmarkEnd w:id="28"/>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9" w:name="page30"/>
    <w:bookmarkEnd w:id="29"/>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4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660" w:right="2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9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1440" w:right="439" w:bottom="1440" w:gutter="0" w:footer="0" w:header="0"/>
        </w:sectPr>
      </w:pPr>
    </w:p>
    <w:bookmarkStart w:id="33" w:name="page34"/>
    <w:bookmarkEnd w:id="33"/>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3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440" w:right="399" w:bottom="1440" w:gutter="0" w:footer="0" w:header="0"/>
        </w:sectPr>
      </w:pPr>
    </w:p>
    <w:bookmarkStart w:id="34" w:name="page35"/>
    <w:bookmarkEnd w:id="34"/>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Latham &amp; Watkins LLP, San Diego, California, will pass upon certain legal matters relating to the issuance and sale of the securities offered hereby on behalf of Exagen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financial statements as of December 31, 2019 and 2018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1440" w:right="39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8"/>
          <w:szCs w:val="18"/>
          <w:b w:val="1"/>
          <w:bCs w:val="1"/>
          <w:color w:val="EE272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E2724"/>
        </w:rPr>
        <w:t>Subject to Completion, dated November 10,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240030</wp:posOffset>
            </wp:positionV>
            <wp:extent cx="2863215" cy="1054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321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20"/>
        <w:spacing w:after="0"/>
        <w:rPr>
          <w:sz w:val="20"/>
          <w:szCs w:val="20"/>
          <w:color w:val="auto"/>
        </w:rPr>
      </w:pPr>
      <w:r>
        <w:rPr>
          <w:rFonts w:ascii="Arial" w:cs="Arial" w:eastAsia="Arial" w:hAnsi="Arial"/>
          <w:sz w:val="25"/>
          <w:szCs w:val="25"/>
          <w:b w:val="1"/>
          <w:bCs w:val="1"/>
          <w:color w:val="auto"/>
        </w:rPr>
        <w:t>6,042,679 Shares of Common Stock</w:t>
      </w:r>
    </w:p>
    <w:p>
      <w:pPr>
        <w:spacing w:after="0" w:line="2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This prospectus relates solely to the resale or other disposition of up to 6,042,679 shares of our common stock by the selling stockholders identified in this prospectus.</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selling stockholders, or their pledgees, donees, transferees, distributees or other successors-in-interest, may, from time to time, offer, sell, transfer, or otherwise dispose of any or all of their shares through public or private transactions at prevailing market prices, at prices related to prevailing market prices or at privately negotiated prices.</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not selling any common stock under this prospectus, and will not receive any proceeds from the sale of the shares. The selling stockholders may offer and sell, transfer or otherwise dispose of the shares in accordance with the “Plan of Distribution” set forth in this prospectus. The selling stockholders will bear all commissions and discounts, if any, attributable to the sale, transfer or other disposition of shares. We will bear all costs, expenses and fees in connection with the registration of the shares.</w:t>
      </w:r>
    </w:p>
    <w:p>
      <w:pPr>
        <w:spacing w:after="0" w:line="250" w:lineRule="exact"/>
        <w:rPr>
          <w:sz w:val="20"/>
          <w:szCs w:val="20"/>
          <w:color w:val="auto"/>
        </w:rPr>
      </w:pPr>
    </w:p>
    <w:p>
      <w:pPr>
        <w:jc w:val="both"/>
        <w:ind w:firstLine="324"/>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THE “</w:t>
      </w:r>
      <w:hyperlink w:anchor="page42">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ON PAGE 4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“XGN.” On November 9, 2020, the last reported sale price of our common stock on The Nasdaq Global Select Market was $15.55 per share.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selling stockholders and any broker-dealer executing sell orders on behalf of the selling stockholders, may be deemed to be “underwriters” within the meaning of the Securities Act of 1933, as amended, or the Securities Act. Commissions received by any broker-dealer may be deemed to be underwriting commissions under the Securities Act. See “Plan of Distribution.”</w:t>
      </w:r>
    </w:p>
    <w:p>
      <w:pPr>
        <w:spacing w:after="0" w:line="1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 2020.</w:t>
      </w:r>
    </w:p>
    <w:p>
      <w:pPr>
        <w:sectPr>
          <w:pgSz w:w="11900" w:h="16838" w:orient="portrait"/>
          <w:cols w:equalWidth="0" w:num="1">
            <w:col w:w="11240"/>
          </w:cols>
          <w:pgMar w:left="320" w:top="1413" w:right="339" w:bottom="1440" w:gutter="0" w:footer="0" w:header="0"/>
        </w:sectPr>
      </w:pPr>
    </w:p>
    <w:bookmarkStart w:id="37" w:name="page38"/>
    <w:bookmarkEnd w:id="3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80" w:type="dxa"/>
            <w:vAlign w:val="bottom"/>
          </w:tcPr>
          <w:p>
            <w:pPr>
              <w:ind w:left="48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270"/>
        </w:trPr>
        <w:tc>
          <w:tcPr>
            <w:tcW w:w="100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10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008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ABOUT THIS PROSPECTUS</w:t>
              </w:r>
            </w:hyperlink>
          </w:p>
        </w:tc>
        <w:tc>
          <w:tcPr>
            <w:tcW w:w="1140" w:type="dxa"/>
            <w:vAlign w:val="bottom"/>
          </w:tcPr>
          <w:p>
            <w:pPr>
              <w:jc w:val="cente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WHERE YOU CAN FIND MORE INFORMATION; INCORPORATION BY REFERENCE</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39">
              <w:r>
                <w:rPr>
                  <w:rFonts w:ascii="Arial" w:cs="Arial" w:eastAsia="Arial" w:hAnsi="Arial"/>
                  <w:sz w:val="18"/>
                  <w:szCs w:val="18"/>
                  <w:u w:val="single" w:color="auto"/>
                  <w:color w:val="0000FF"/>
                  <w:w w:val="99"/>
                </w:rPr>
                <w:t>1</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THE COMPANY</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3</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2">
              <w:r>
                <w:rPr>
                  <w:rFonts w:ascii="Arial" w:cs="Arial" w:eastAsia="Arial" w:hAnsi="Arial"/>
                  <w:sz w:val="18"/>
                  <w:szCs w:val="18"/>
                  <w:u w:val="single" w:color="auto"/>
                  <w:color w:val="0000FF"/>
                  <w:w w:val="99"/>
                </w:rPr>
                <w:t>4</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FORWARD-LOOKING STATEMENTS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4</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USE OF PROCEEDS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5</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SELLING STOCKHOLDERS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4">
              <w:r>
                <w:rPr>
                  <w:rFonts w:ascii="Arial" w:cs="Arial" w:eastAsia="Arial" w:hAnsi="Arial"/>
                  <w:sz w:val="18"/>
                  <w:szCs w:val="18"/>
                  <w:u w:val="single" w:color="auto"/>
                  <w:color w:val="0000FF"/>
                  <w:w w:val="99"/>
                </w:rPr>
                <w:t>6</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PLAN OF DISTRIBUTION</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7">
              <w:r>
                <w:rPr>
                  <w:rFonts w:ascii="Arial" w:cs="Arial" w:eastAsia="Arial" w:hAnsi="Arial"/>
                  <w:sz w:val="18"/>
                  <w:szCs w:val="18"/>
                  <w:u w:val="single" w:color="auto"/>
                  <w:color w:val="0000FF"/>
                  <w:w w:val="99"/>
                </w:rPr>
                <w:t>9</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MATTERS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12</w:t>
              </w:r>
            </w:hyperlink>
          </w:p>
        </w:tc>
      </w:tr>
      <w:tr>
        <w:trPr>
          <w:trHeight w:val="270"/>
        </w:trPr>
        <w:tc>
          <w:tcPr>
            <w:tcW w:w="1008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EXPERTS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12</w:t>
              </w:r>
            </w:hyperlink>
          </w:p>
        </w:tc>
      </w:tr>
    </w:tbl>
    <w:p>
      <w:pPr>
        <w:sectPr>
          <w:pgSz w:w="11900" w:h="16838" w:orient="portrait"/>
          <w:cols w:equalWidth="0" w:num="1">
            <w:col w:w="11220"/>
          </w:cols>
          <w:pgMar w:left="340" w:top="1440" w:right="339" w:bottom="1440" w:gutter="0" w:footer="0" w:header="0"/>
        </w:sectPr>
      </w:pPr>
    </w:p>
    <w:bookmarkStart w:id="38" w:name="page39"/>
    <w:bookmarkEnd w:id="38"/>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Under this shelf registration process, the selling stockholders may from time to time offer to sell, transfer or otherwise dispose of shares of common stock described in this prospectus in one or more offerings.</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Before purchasing any securities, you should carefully read both this prospectus and any applicable prospectus supplement, together with the additional information described under the heading “Where You Can Find More Information; Incorporation by Reference.” The prospectus supplement may also add, update or change information contained in this prospectus with respect to that offering. If there is any inconsistency between the information in this prospectus and any applicable prospectus supplement, you should rely on the prospectus supplement.</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Neither we nor the selling stockholders have authorized anyone to provide you with any information or to make any representations other than those contained in this prospectus or any applicable prospectus supplement. We take no responsibility for, and can provide no assurance as to the reliability of, any other information that others may give you.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or any prospectus supplement may involve estimates, assumptions and other risks and uncertainties and are subject to change based on various factors, including those discussed under the heading “Risk Factors” contained in this prospectus and any applicable prospectus supplement, and under similar headings in other documents that are incorporated by reference into this prospectus. Accordingly, investors should not place undue reliance on this information.</w:t>
      </w:r>
    </w:p>
    <w:p>
      <w:pPr>
        <w:spacing w:after="0" w:line="1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we refer to “Exagen,” “we,” “our,” “us” and the “Company” in this prospectus, we mean Exagen Inc., unless otherwise specified. When we refer to “you,” we mean the holders of the applicable series of securities.</w:t>
      </w:r>
    </w:p>
    <w:p>
      <w:pPr>
        <w:spacing w:after="0" w:line="170"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use our trademarks in this prospectus as well as trademarks, tradenames and service marks that are the property of other organizations. Solely for convenience, certain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www.exagen.com. The information on our website, however, is not, and should not be deemed to be, a part of this prospectus.</w:t>
      </w:r>
    </w:p>
    <w:p>
      <w:pPr>
        <w:spacing w:after="0" w:line="24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This prospectus and any accompanying prospectus supplement incorporate by reference the documents set forth below that have previously been filed with the SEC:</w:t>
      </w:r>
    </w:p>
    <w:p>
      <w:pPr>
        <w:spacing w:after="0" w:line="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March 25, 2020;</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Reports on Form 10-Q for the periods ended March 31, 2020, June 30, 2020 and September 30, 2020, filed with the SEC on May 11, 2020, July 28, 2020 and November 10, 2020, respectively;</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Definitive Proxy Statement on Schedule 14A (to the extent incorporated by reference into our Annual Report on Form 10-K), filed with the SEC on April 29,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March 18, 2020, June 19, 2020, June 29, 2020 and September 23, 2020; and</w:t>
      </w:r>
    </w:p>
    <w:p>
      <w:pPr>
        <w:spacing w:after="0" w:line="128"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September 13, 2019, including any amendments or reports filed for the purposes of updating this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9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Vista, California 92081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(760) 560-1501</w:t>
      </w:r>
    </w:p>
    <w:p>
      <w:pPr>
        <w:spacing w:after="0" w:line="2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1440" w:right="439" w:bottom="1440" w:gutter="0" w:footer="0" w:header="0"/>
        </w:sectPr>
      </w:pPr>
    </w:p>
    <w:bookmarkStart w:id="41" w:name="page42"/>
    <w:bookmarkEnd w:id="41"/>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9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42" w:name="page43"/>
    <w:bookmarkEnd w:id="42"/>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Investment in any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applicable prospectus supplement before acquiring any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21E of the Exchange Act. All statements other than statements of historical facts contained in this prospectus and the documents incorporated by reference herein,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selling any securities under this prospectus and will not will not receive any of the proceeds from the sale or other disposition of the shares of our common stock covered hereby. The selling stockholders will receive all of the proceeds from this offering. We may, however, receive proceeds from the warrants issued to the selling stockholders in the event such warrants are exercised for cash.</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have agreed to pay all costs, expenses and fees relating to the registration of the shares of our common stock covered by this prospectus. The selling stockholders will pay any fees and expenses of any counsel, or any of the accountants, agents, or experts retained by them in connection with the sale or other disposition of the shares covered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1440" w:right="419" w:bottom="1440" w:gutter="0" w:footer="0" w:header="0"/>
        </w:sectPr>
      </w:pPr>
    </w:p>
    <w:bookmarkStart w:id="44" w:name="page45"/>
    <w:bookmarkEnd w:id="44"/>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from time to time of up to an aggregate of 6,042,679 shares of our common stock, consisting of (i) 5,752,698 shares of common stock that were issued and outstanding prior to the original date of filing of the registration statement of which this prospectus forms a part and (ii) 289,981 shares of common stock issuable upon the exercise of warrants issued and outstanding prior to the original date of filing of the registration statement of which this prospectus forms a part. When we refer to “selling stockholders” in this prospectus, we mean the shareholders listed in the table below, and any pledgees, donees, transferees, distributees, assignees and others who later come to hold some or all of the common stock covered by this prospectus. When we refer to "sales" or "selling" by the selling stockholders in this prospectus, we mean any sale, transfer or other disposition in accordance with the plan of distribution described herein.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table below presents information regarding the selling stockholders, the shares of common stock beneficially owned by each of, the shares of common stock that they may sell or otherwise dispose of from time to time under this prospectus and the number and percentage of our common stock each of the selling stockholders will own assuming all of the shares covered by this prospectus are sold by the selling stockholders.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selling stockholders identified in the table below are parties to an amended and restated investors’ rights agreement with us, dated July 12, 2019, in which we agreed, among other matters, to register for resale the shares of our common stock that we issued to such selling stockholders in connection with private placement transactions prior to our initial public offering. In accordance with the terms of that agreement, we are registering 6,042,679 of such shares for resale under the registration statement of which this prospectus forms a part. For additional information regarding material relationships between the selling stockholders (or their affiliates) and us, please refer to the documents filed by us with the SEC and incorporated by reference herein, including the exhibits thereto.</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do not know whether, when or in what amounts the selling stockholders may sell or otherwise dispose of the shares of common stock covered hereby. The selling stockholders might not sell or dispose of any or all of the shares covered by this prospectus or may sell or dispose of some or all of the shares other than pursuant to this prospectus. Because the selling stockholders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stockholders after completion of the offering. However, for purposes of this table, we have assumed that all of the shares of common stock covered by this prospectus will be sold by the selling stockholders and that any other shares of our common stock beneficially owned by these selling stockholders will continue to be beneficially owned.</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information in the table is based on 12,652,138 shares outstanding as of November 9, 2020 and was prepared based on information supplied to us by the selling stockholders. Beneficial ownership is determined in accordance with Section 13(d) of the Exchange Act and generally includes voting or investment power with respect to securities and including any securities that grant the selling stockholder the right to acquire shares of common stock within 60 days of November 9, 2020. Other than the transactions referred to herein and in documents filed by us with the SEC pursuant to Section 13(a), 13(c), 14 or 15(d) of the Exchange Act, the selling stockholders have not within the past three years had any position, office or other material relationship with us or any of our subsidiaries other than as a holder of our securities. Except as otherwise indicated, the mailing address of each selling stockholder is c/o Exagen Inc., 1261 Liberty Way, Vista, California 92081.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Shares of Common Stock</w:t>
      </w:r>
    </w:p>
    <w:p>
      <w:pPr>
        <w:spacing w:after="0" w:line="27" w:lineRule="exact"/>
        <w:rPr>
          <w:sz w:val="20"/>
          <w:szCs w:val="20"/>
          <w:color w:val="auto"/>
        </w:rPr>
      </w:pPr>
    </w:p>
    <w:p>
      <w:pPr>
        <w:jc w:val="center"/>
        <w:ind w:left="4180"/>
        <w:spacing w:after="0"/>
        <w:rPr>
          <w:sz w:val="20"/>
          <w:szCs w:val="20"/>
          <w:color w:val="auto"/>
        </w:rPr>
      </w:pPr>
      <w:r>
        <w:rPr>
          <w:rFonts w:ascii="Arial" w:cs="Arial" w:eastAsia="Arial" w:hAnsi="Arial"/>
          <w:sz w:val="16"/>
          <w:szCs w:val="16"/>
          <w:b w:val="1"/>
          <w:bCs w:val="1"/>
          <w:color w:val="auto"/>
        </w:rPr>
        <w:t>Beneficially Owned Prior to the</w:t>
      </w:r>
    </w:p>
    <w:p>
      <w:pPr>
        <w:spacing w:after="0" w:line="32"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Offering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22860</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8" w:lineRule="exact"/>
        <w:rPr>
          <w:sz w:val="20"/>
          <w:szCs w:val="20"/>
          <w:color w:val="auto"/>
        </w:rPr>
      </w:pPr>
    </w:p>
    <w:p>
      <w:pPr>
        <w:spacing w:after="0"/>
        <w:tabs>
          <w:tab w:leader="none" w:pos="4360" w:val="left"/>
          <w:tab w:leader="none" w:pos="5860" w:val="left"/>
        </w:tabs>
        <w:rPr>
          <w:sz w:val="20"/>
          <w:szCs w:val="20"/>
          <w:color w:val="auto"/>
        </w:rPr>
      </w:pPr>
      <w:r>
        <w:rPr>
          <w:rFonts w:ascii="Arial" w:cs="Arial" w:eastAsia="Arial" w:hAnsi="Arial"/>
          <w:sz w:val="18"/>
          <w:szCs w:val="18"/>
          <w:b w:val="1"/>
          <w:bCs w:val="1"/>
          <w:color w:val="auto"/>
        </w:rPr>
        <w:t>Name of Selling Stockholder</w:t>
      </w:r>
      <w:r>
        <w:rPr>
          <w:sz w:val="20"/>
          <w:szCs w:val="20"/>
          <w:color w:val="auto"/>
        </w:rPr>
        <w:tab/>
      </w:r>
      <w:r>
        <w:rPr>
          <w:rFonts w:ascii="Arial" w:cs="Arial" w:eastAsia="Arial" w:hAnsi="Arial"/>
          <w:sz w:val="18"/>
          <w:szCs w:val="18"/>
          <w:b w:val="1"/>
          <w:bCs w:val="1"/>
          <w:color w:val="auto"/>
        </w:rPr>
        <w:t>Number</w:t>
      </w:r>
      <w:r>
        <w:rPr>
          <w:sz w:val="20"/>
          <w:szCs w:val="20"/>
          <w:color w:val="auto"/>
        </w:rPr>
        <w:tab/>
      </w:r>
      <w:r>
        <w:rPr>
          <w:rFonts w:ascii="Arial" w:cs="Arial" w:eastAsia="Arial" w:hAnsi="Arial"/>
          <w:sz w:val="15"/>
          <w:szCs w:val="15"/>
          <w:b w:val="1"/>
          <w:bCs w:val="1"/>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Shares Beneficially Owned After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of Shares that May</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the Sale of the Maximum Number</w:t>
            </w: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Be Offered Pursuant</w:t>
            </w: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of Shares Offered Hereby (2)</w:t>
            </w:r>
          </w:p>
        </w:tc>
      </w:tr>
      <w:tr>
        <w:trPr>
          <w:trHeight w:val="237"/>
        </w:trPr>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to this Prospectus</w:t>
            </w:r>
          </w:p>
        </w:tc>
        <w:tc>
          <w:tcPr>
            <w:tcW w:w="1440" w:type="dxa"/>
            <w:vAlign w:val="bottom"/>
          </w:tcPr>
          <w:p>
            <w:pPr>
              <w:ind w:left="440"/>
              <w:spacing w:after="0"/>
              <w:rPr>
                <w:sz w:val="20"/>
                <w:szCs w:val="20"/>
                <w:color w:val="auto"/>
              </w:rPr>
            </w:pPr>
            <w:r>
              <w:rPr>
                <w:rFonts w:ascii="Arial" w:cs="Arial" w:eastAsia="Arial" w:hAnsi="Arial"/>
                <w:sz w:val="18"/>
                <w:szCs w:val="18"/>
                <w:b w:val="1"/>
                <w:bCs w:val="1"/>
                <w:color w:val="auto"/>
              </w:rPr>
              <w:t>Number</w:t>
            </w:r>
          </w:p>
        </w:tc>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Percent</w:t>
            </w:r>
          </w:p>
        </w:tc>
      </w:tr>
    </w:tbl>
    <w:p>
      <w:pPr>
        <w:spacing w:after="0" w:line="7" w:lineRule="exact"/>
        <w:rPr>
          <w:sz w:val="20"/>
          <w:szCs w:val="20"/>
          <w:color w:val="auto"/>
        </w:rPr>
      </w:pPr>
    </w:p>
    <w:p>
      <w:pPr>
        <w:sectPr>
          <w:pgSz w:w="11900" w:h="16838" w:orient="portrait"/>
          <w:cols w:equalWidth="0" w:num="2">
            <w:col w:w="6600" w:space="280"/>
            <w:col w:w="4340"/>
          </w:cols>
          <w:pgMar w:left="340" w:top="1440"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NMSIC Co-Investment Fund, L.P. (3)</w:t>
            </w:r>
          </w:p>
        </w:tc>
        <w:tc>
          <w:tcPr>
            <w:tcW w:w="1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2,433,958</w:t>
            </w:r>
          </w:p>
        </w:tc>
        <w:tc>
          <w:tcPr>
            <w:tcW w:w="14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19.2 %</w:t>
            </w:r>
          </w:p>
        </w:tc>
        <w:tc>
          <w:tcPr>
            <w:tcW w:w="17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2,433,958</w:t>
            </w:r>
          </w:p>
        </w:tc>
        <w:tc>
          <w:tcPr>
            <w:tcW w:w="14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56"/>
        </w:trPr>
        <w:tc>
          <w:tcPr>
            <w:tcW w:w="3920" w:type="dxa"/>
            <w:vAlign w:val="bottom"/>
          </w:tcPr>
          <w:p>
            <w:pPr>
              <w:spacing w:after="0"/>
              <w:rPr>
                <w:sz w:val="20"/>
                <w:szCs w:val="20"/>
                <w:color w:val="auto"/>
              </w:rPr>
            </w:pPr>
            <w:r>
              <w:rPr>
                <w:rFonts w:ascii="Arial" w:cs="Arial" w:eastAsia="Arial" w:hAnsi="Arial"/>
                <w:sz w:val="18"/>
                <w:szCs w:val="18"/>
                <w:color w:val="auto"/>
                <w:w w:val="93"/>
              </w:rPr>
              <w:t>Entities affiliated with Tullis-Dickerson Capital Focus</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1,875,153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14.5 %</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1,875,153</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III, L.P. (4)</w:t>
            </w:r>
          </w:p>
        </w:tc>
        <w:tc>
          <w:tcPr>
            <w:tcW w:w="1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H.I.G. Bio-Exagen, L.P. (5)</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1,696,252</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13.4 %</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1,696,252</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James L.L. Tullis (6)</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rPr>
              <w:t>44,599</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37,316</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7,283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ind w:left="600" w:hanging="59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40" w:lineRule="exact"/>
        <w:rPr>
          <w:sz w:val="20"/>
          <w:szCs w:val="20"/>
          <w:color w:val="auto"/>
        </w:rPr>
      </w:pPr>
    </w:p>
    <w:p>
      <w:pPr>
        <w:ind w:left="600" w:right="140" w:hanging="594"/>
        <w:spacing w:after="0" w:line="238"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For purposes of this table, a person or group of persons is deemed to have “beneficial ownership” of any shares that are currently exercisable or exercisable within 60 days of November 9, 2020.</w:t>
      </w:r>
    </w:p>
    <w:p>
      <w:pPr>
        <w:spacing w:after="0" w:line="120" w:lineRule="exact"/>
        <w:rPr>
          <w:rFonts w:ascii="Arial" w:cs="Arial" w:eastAsia="Arial" w:hAnsi="Arial"/>
          <w:sz w:val="16"/>
          <w:szCs w:val="16"/>
          <w:color w:val="auto"/>
        </w:rPr>
      </w:pPr>
    </w:p>
    <w:p>
      <w:pPr>
        <w:ind w:left="600" w:right="580" w:hanging="594"/>
        <w:spacing w:after="0" w:line="258"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Assumes that all shares of common stock being registered under the registration statement of which this prospectus forms a part that are held by the selling stockholders are resold to third parties.</w:t>
      </w:r>
    </w:p>
    <w:p>
      <w:pPr>
        <w:spacing w:after="0" w:line="103" w:lineRule="exact"/>
        <w:rPr>
          <w:rFonts w:ascii="Arial" w:cs="Arial" w:eastAsia="Arial" w:hAnsi="Arial"/>
          <w:sz w:val="16"/>
          <w:szCs w:val="16"/>
          <w:color w:val="auto"/>
        </w:rPr>
      </w:pPr>
    </w:p>
    <w:p>
      <w:pPr>
        <w:ind w:left="600" w:right="80" w:hanging="594"/>
        <w:spacing w:after="0" w:line="236"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2,433,958 shares of common stock held by NMSIC Co-Investment Fund, L.P. (“NMSIC”).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Each of Sun Mountain, Mr. Birk, Ms. Coming and Mr. Rand disclaims beneficial ownership of the securities held of record by NMSIC. Mr. Birk is also a member of our board of directors. The address for NMSIC and Sun Mountain is 527 Don Gaspar Avenue, Santa Fe, New Mexico 87505.</w:t>
      </w:r>
    </w:p>
    <w:p>
      <w:pPr>
        <w:spacing w:after="0" w:line="121" w:lineRule="exact"/>
        <w:rPr>
          <w:rFonts w:ascii="Arial" w:cs="Arial" w:eastAsia="Arial" w:hAnsi="Arial"/>
          <w:sz w:val="16"/>
          <w:szCs w:val="16"/>
          <w:color w:val="auto"/>
        </w:rPr>
      </w:pPr>
    </w:p>
    <w:p>
      <w:pPr>
        <w:ind w:left="600" w:right="300" w:hanging="594"/>
        <w:spacing w:after="0" w:line="266" w:lineRule="auto"/>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(a) 992,821 shares of common stock and 119,536 shares of common stock issuable upon the exercise of warrants held by Tullis-Dickerson Capital Focus III, L.P. ("Tullis-Dickerson"), (b) 486,898 shares of common stock and 170,445 shares of common stock issuable upon the exercise of warrants held by Tullis Growth Fund, L.P, ("Tullis Growth") and (c) 105,453 shares of common stock held by Tullis Growth Fund II, L.P. ("Tullis Growth II"). Tullis-Dickerson Partners III, LLC (“Tullis Partners”) is the general partner of Tullis-Dickerson and may be deemed to beneficially own the securities held by Tullis-Dickerson.</w:t>
      </w:r>
    </w:p>
    <w:p>
      <w:pPr>
        <w:spacing w:after="0" w:line="2" w:lineRule="exact"/>
        <w:rPr>
          <w:rFonts w:ascii="Arial" w:cs="Arial" w:eastAsia="Arial" w:hAnsi="Arial"/>
          <w:sz w:val="14"/>
          <w:szCs w:val="14"/>
          <w:color w:val="auto"/>
        </w:rPr>
      </w:pPr>
    </w:p>
    <w:p>
      <w:pPr>
        <w:ind w:left="600" w:right="180"/>
        <w:spacing w:after="0" w:line="277" w:lineRule="auto"/>
        <w:rPr>
          <w:rFonts w:ascii="Arial" w:cs="Arial" w:eastAsia="Arial" w:hAnsi="Arial"/>
          <w:sz w:val="14"/>
          <w:szCs w:val="14"/>
          <w:color w:val="auto"/>
        </w:rPr>
      </w:pPr>
      <w:r>
        <w:rPr>
          <w:rFonts w:ascii="Arial" w:cs="Arial" w:eastAsia="Arial" w:hAnsi="Arial"/>
          <w:sz w:val="14"/>
          <w:szCs w:val="14"/>
          <w:color w:val="auto"/>
        </w:rPr>
        <w:t>Tullis Growth Partners, LLC (“Growth Partners”) and Tullis Growth Partners II, LLC (“Growth Partners II”) are the general partners of Tullis Growth and Tullis Growth II, respectively, and may be deemed to beneficially own the securities held by Tullis Growth and Tullis Growth II, respectively. James L.L. Tullis, one of our directors, is a Principal of each of the foregoing entities and may be deemed to have voting and investment control over the shares held by Tullis-Dickerson, Tullis Growth and Tullis Growth II. The address for each of the Tullis entities is 11770 U.S. Highway 1, Suite 503, Palm Beach Gardens, FL 33408.</w:t>
      </w:r>
    </w:p>
    <w:p>
      <w:pPr>
        <w:spacing w:after="0" w:line="93" w:lineRule="exact"/>
        <w:rPr>
          <w:rFonts w:ascii="Arial" w:cs="Arial" w:eastAsia="Arial" w:hAnsi="Arial"/>
          <w:sz w:val="14"/>
          <w:szCs w:val="14"/>
          <w:color w:val="auto"/>
        </w:rPr>
      </w:pPr>
    </w:p>
    <w:p>
      <w:pPr>
        <w:ind w:left="600" w:right="80" w:hanging="594"/>
        <w:spacing w:after="0" w:line="238"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H.I.G. Capital, LLC has sole voting and investment control over the shares owned by H.I.G. Bio-Exagen, LLC. Bruce C. Robertson, Ph.D., one of our directors,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20" w:lineRule="exact"/>
        <w:rPr>
          <w:rFonts w:ascii="Arial" w:cs="Arial" w:eastAsia="Arial" w:hAnsi="Arial"/>
          <w:sz w:val="16"/>
          <w:szCs w:val="16"/>
          <w:color w:val="auto"/>
        </w:rPr>
      </w:pPr>
    </w:p>
    <w:p>
      <w:pPr>
        <w:ind w:left="600" w:right="40" w:hanging="594"/>
        <w:spacing w:after="0" w:line="238"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(a) 31,348 shares of common stock held by James L.L. Tullis, one of our directors, (b) 1,431 shares of common stock held by Linda A. Tullis, (c) 4,537 shares of common stock held by the HPS Irrevocable Trust #3 U/A Dtd 7/6/93 and (d) 7,283 shares underlying options to purchase common stock that are exercisable within 60 days of November 9, 2020. Excludes shares held by Tullis-Dickerson, Tullis Growth and Tullis Growth II, which are set forth in footnote (4) above. The address of Mr. Tullis is 11770 U.S. Highway 1, Suite 503, Palm Beach Gardens, FL 33408.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1440" w:right="339" w:bottom="1440" w:gutter="0" w:footer="0" w:header="0"/>
          <w:type w:val="continuous"/>
        </w:sectPr>
      </w:pPr>
    </w:p>
    <w:bookmarkStart w:id="46" w:name="page47"/>
    <w:bookmarkEnd w:id="46"/>
    <w:p>
      <w:pPr>
        <w:spacing w:after="0" w:line="19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selling stockholders listed in the above table may have sold or transferred, in transactions pursuant to this prospectus or exempt from the registration requirements of the Securities Act, some or all of its shares since the date as of which the information is presented in the above table. Information concerning the selling stockholders may change from time to time and any such changed information will be set forth in supplements to this prospectus or amendments to the registration statement of which this prospectus is a part if and when necessary.</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agreed to pay all costs, expenses and fees relating to registering the shares of our common stock to be sold by the selling stockholders identified in this prospectus. The selling stockholders have agreed to pay any underwriting discounts, selling commissions, stock transfer taxes or similar charges incurred for the sale of such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1440" w:right="559" w:bottom="1440" w:gutter="0" w:footer="0" w:header="0"/>
        </w:sectPr>
      </w:pPr>
    </w:p>
    <w:bookmarkStart w:id="47" w:name="page48"/>
    <w:bookmarkEnd w:id="47"/>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selling stockholders, including their pledgees, donees, transferees, distributees, assignees and others who later come to hold some or all of the common stock covered by this prospectus, may from time to time offer some or all of the shares of common stock covered by this prospectus.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selling stockholders will not pay any of the costs, expenses and fees in connection with the registration and sale of the shares covered by this prospectus, but they will pay any and all underwriting discounts, selling commissions and stock transfer taxes, if any, attributable to sales of the shares. We will not receive any proceeds from the sale of the shares of our common stock covered hereby.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selling stockholders may sell the shares of common stock covered by this prospectus from time to time, and may also decide not to sell all or any of the shares of common stock that they are allowed to sell under this prospectus. The selling stockholders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stockholders in one or more types of transactions, which may include:</w:t>
      </w:r>
    </w:p>
    <w:p>
      <w:pPr>
        <w:spacing w:after="0" w:line="80" w:lineRule="exact"/>
        <w:rPr>
          <w:sz w:val="20"/>
          <w:szCs w:val="20"/>
          <w:color w:val="auto"/>
        </w:rPr>
      </w:pPr>
    </w:p>
    <w:p>
      <w:pPr>
        <w:ind w:left="660" w:right="60" w:hanging="328"/>
        <w:spacing w:after="0" w:line="308"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purchases by underwriters, dealers and agents who may receive compensation in the form of underwriting discounts, concessions or commissions from the selling stockholders and/or the purchasers of the shares of common stock for whom they may act as agent;</w:t>
      </w:r>
    </w:p>
    <w:p>
      <w:pPr>
        <w:spacing w:after="0" w:line="38" w:lineRule="exact"/>
        <w:rPr>
          <w:rFonts w:ascii="Arial" w:cs="Arial" w:eastAsia="Arial" w:hAnsi="Arial"/>
          <w:sz w:val="17"/>
          <w:szCs w:val="17"/>
          <w:color w:val="auto"/>
        </w:rPr>
      </w:pPr>
    </w:p>
    <w:p>
      <w:pPr>
        <w:ind w:left="660" w:right="40" w:hanging="328"/>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or more block transactions, including transactions in which the broker or dealer so engaged will attempt to sell the shares of common stock as agent but may position and resell a portion of the block as principal to facilitate the transaction, or in crosses, in which the same broker acts as an agent on both sides of the trade;</w:t>
      </w:r>
    </w:p>
    <w:p>
      <w:pPr>
        <w:spacing w:after="0" w:line="75"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ordinary brokerage transactions or transactions in which a broker solicits purchases;</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by a broker-dealer or market maker, as principal, and resale by the broker-dealer for its account;</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pledge of shares of common stock for any loan or obligation, including pledges to brokers or dealers who may from time to time effect distributions of shares of common stock;</w:t>
      </w:r>
    </w:p>
    <w:p>
      <w:pPr>
        <w:spacing w:after="0" w:line="62"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sales or transactions to cover short sales relating to the shares of common stock;</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or more exchanges or over-the-counter market transactions;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in-kind distributions by a selling stockholder or its successor in interest to its members, general or limited partners or shareholders (or their respective members, general or limited partners or shareholders);</w:t>
      </w:r>
    </w:p>
    <w:p>
      <w:pPr>
        <w:spacing w:after="0" w:line="62"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writing of options, whether the options are listed on an options exchange or otherwise;</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to creditors and equity holders of the selling stockholders; and</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combination of the foregoing, or any other available means allowable under applicable law.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selling stockholders may elect to make in-kind distributions of their shares of common stock to their respective members, general or limited partners or shareholders. To the extent that such members, partners, or shareholders are not affiliates of ours, such members, partners, or shareholders would thereby receive freely tradeable shares of our common stock pursuant to the distribution through a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selling stockholder may also resell all or a portion of its common stock in open market transactions in reliance upon Rule 144 under the Securities Act provided it meets the criteria and conforms to the requirements of Rule 144.</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selling stockholders may enter into sale, forward-sale and derivative transactions with third parties, or may sell securities not covered by this prospectus to third parties in privately negotiated transactions. If the applicable prospectus supplement indicates, in connection with those sale, forward-sale or derivative transactions, the third parties may sell securities covered by this prospectus or the applicable prospectus supplement, including in short sale transactions and by issuing securities that are not covered by this prospectus but are exchangeable for or represent beneficial interests in the common stock. The third parties also may use shares received under those sale, forward-sale or derivative arrangements or shares pledged by the selling stockholder or borrowed from the selling stockholders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the applicable prospectus supplement (or a post-effective amendment to the registration statement of which this prospectus is a part).</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selling stockholders may engage in hedging transactions with broker-dealers in connection with distributions of common stock or otherwise. In those transactions, broker-dealers may engage in short sales of securities in the course of hedging the positions they assume with selling stockholders. The selling stockholders may also sell securities short and redeliver securities to close out such short positions. The selling stockholders may also enter into option or other transactions with broker-dealers which require the delivery of securities to the broker-dealer. The broker-dealer may then resell or otherwise transfer such securities pursuant to this prospectus. The selling stockholders also may loan or pledge shares, and the borrower or pledgee may sell or otherwise transfer the common stock so loaned or pledged pursuant to this prospectus. Such borrower or pledgee also may transfer those shares of common stock to investors in our securities or the selling stockholders’ securities or in connection with the offering of other securities not covered by this prospectus.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necessary, we may amend or supplement this prospectus from time to time to describe a specific plan of distribution. We will file a supplement to this prospectus, if required, upon being notified by the selling stockholders that any material arrangement has been entered into with a broker-dealer for the sale of shares through a block trade, offering or a purchase by a broker or dealer. The applicable prospectus supplement will set forth the specific terms of the offering of securities, including:</w:t>
      </w:r>
    </w:p>
    <w:p>
      <w:pPr>
        <w:spacing w:after="0" w:line="79" w:lineRule="exact"/>
        <w:rPr>
          <w:sz w:val="20"/>
          <w:szCs w:val="20"/>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of the selling stockholder and the participating broker-dealer;</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offered;</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such common stock;</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proceeds to the selling stockholders from the sale of such common stock;</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the underwriters or agents, if any;</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agency fees or other compensation to underwriters or agents; and</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paid to dealers.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sales of common stock covered hereby, the selling stockholders and any underwriter, broker-dealer or agent and any other participating broker-dealer that executes sales for the selling stockholders may be deemed to be an “underwriter” within the meaning of the Securities Act. Accordingly, any profits realized by the selling stockholders and any compensation earned by such underwriter, broker-dealer or agent may be deemed to be underwriting discounts and commissions. Because the selling stockholders may be deemed to be “underwriters” under the Securities Act, the selling stockholders must deliver this prospectus and any prospectus supplement in the manner required by the Securities Act. This prospectus delivery requirement may be satisfied through the facilities of the Nasdaq Capital Market in accordance with Rule 153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the selling stockholders have agreed to indemnify each other against certain liabilities, including liabilities under the Securities Act. In addition, we or the selling stockholders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stockholders or their affiliates in the ordinary course of business.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stockholders will be subject to applicable provisions of Regulation M of the Exchange Act and the rules and regulations thereunder, which provisions may limit the timing of purchases and sales of any of the common stock by the selling stockholders. Regulation M may also restrict the ability of any person engaged in the distribution of the common stock to engage in market-making activities with respect to the common stock. These restrictions may affect the marketability of such common stock.</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comply with applicable securities laws of some states, the common stock may be sold in those jurisdictions only through registered or licensed brokers or dealers. In addition, in certain states the common stock may not be sold unless they have been registered or qualified for sale in the applicable state or an exemption from the registration or qualification requirements is available. In addition, any common stock of a selling stockholder covered by this prospectus that qualify for sale pursuant to Rule 144 under the Securities Act may be sold in open market transactions under Rule 144 rather than pursuant to this prospectus.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the extent required, this prospectus supplement may be amended and/or supplemented from time to time to describe a specific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Latham &amp; Watkins LLP, San Diego, California, will pass upon certain legal matters relating to the issuance and sale of the securities offered hereby on behalf of Exagen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financial statements as of December 31, 2019 and 2018 and for the years then ended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1440" w:right="399" w:bottom="1440" w:gutter="0" w:footer="0" w:header="0"/>
        </w:sectPr>
      </w:pPr>
    </w:p>
    <w:bookmarkStart w:id="51" w:name="page52"/>
    <w:bookmarkEnd w:id="51"/>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is an estimate of expenses (all of which are to be paid by the registrant) that we may incur in connection with the securities being registered hereby. Each item listed is estimated, except for the SEC registration fee and the Financial Industry Regulatory Authority, Inc., or FINRA, filing fee.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493"/>
              <w:spacing w:after="0"/>
              <w:rPr>
                <w:sz w:val="20"/>
                <w:szCs w:val="20"/>
                <w:color w:val="auto"/>
              </w:rPr>
            </w:pPr>
            <w:r>
              <w:rPr>
                <w:rFonts w:ascii="Arial" w:cs="Arial" w:eastAsia="Arial" w:hAnsi="Arial"/>
                <w:sz w:val="14"/>
                <w:szCs w:val="14"/>
                <w:b w:val="1"/>
                <w:bCs w:val="1"/>
                <w:color w:val="auto"/>
              </w:rPr>
              <w:t>Amount</w:t>
            </w:r>
          </w:p>
        </w:tc>
      </w:tr>
      <w:tr>
        <w:trPr>
          <w:trHeight w:val="26"/>
        </w:trPr>
        <w:tc>
          <w:tcPr>
            <w:tcW w:w="9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26,307</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Accountants’ fees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 Agent, printing and miscellaneous expenses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95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reasonably entitled to indemnity for such expenses which the Court of Chancery or such other court shall deem proper.</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amended and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underwriting agreement or distribution agreement that we enter into with any underwriter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200"/>
        </w:trPr>
        <w:tc>
          <w:tcPr>
            <w:tcW w:w="11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60" w:type="dxa"/>
            <w:vAlign w:val="bottom"/>
            <w:gridSpan w:val="2"/>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396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5"/>
        </w:trPr>
        <w:tc>
          <w:tcPr>
            <w:tcW w:w="11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929005</wp:posOffset>
            </wp:positionV>
            <wp:extent cx="6412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Form</w:t>
            </w:r>
          </w:p>
        </w:tc>
        <w:tc>
          <w:tcPr>
            <w:tcW w:w="1780" w:type="dxa"/>
            <w:vAlign w:val="bottom"/>
            <w:gridSpan w:val="2"/>
          </w:tcPr>
          <w:p>
            <w:pPr>
              <w:ind w:left="480"/>
              <w:spacing w:after="0"/>
              <w:rPr>
                <w:sz w:val="20"/>
                <w:szCs w:val="20"/>
                <w:color w:val="auto"/>
              </w:rPr>
            </w:pPr>
            <w:r>
              <w:rPr>
                <w:rFonts w:ascii="Arial" w:cs="Arial" w:eastAsia="Arial" w:hAnsi="Arial"/>
                <w:sz w:val="14"/>
                <w:szCs w:val="14"/>
                <w:b w:val="1"/>
                <w:bCs w:val="1"/>
                <w:color w:val="auto"/>
              </w:rPr>
              <w:t>Filing Date</w:t>
            </w: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0"/>
                <w:szCs w:val="20"/>
                <w:color w:val="auto"/>
              </w:rPr>
            </w:pPr>
            <w:r>
              <w:rPr>
                <w:rFonts w:ascii="Arial" w:cs="Arial" w:eastAsia="Arial" w:hAnsi="Arial"/>
                <w:sz w:val="18"/>
                <w:szCs w:val="18"/>
                <w:color w:val="auto"/>
              </w:rPr>
              <w:t>1.1*</w:t>
            </w:r>
          </w:p>
        </w:tc>
        <w:tc>
          <w:tcPr>
            <w:tcW w:w="5200" w:type="dxa"/>
            <w:vAlign w:val="bottom"/>
            <w:gridSpan w:val="17"/>
            <w:vMerge w:val="restart"/>
          </w:tcPr>
          <w:p>
            <w:pPr>
              <w:spacing w:after="0"/>
              <w:rPr>
                <w:sz w:val="20"/>
                <w:szCs w:val="20"/>
                <w:color w:val="auto"/>
              </w:rPr>
            </w:pPr>
            <w:r>
              <w:rPr>
                <w:rFonts w:ascii="Arial" w:cs="Arial" w:eastAsia="Arial" w:hAnsi="Arial"/>
                <w:sz w:val="18"/>
                <w:szCs w:val="18"/>
                <w:color w:val="auto"/>
              </w:rPr>
              <w:t>Form of Underwriting Agreement.</w:t>
            </w: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140" w:type="dxa"/>
            <w:vAlign w:val="bottom"/>
            <w:vMerge w:val="continue"/>
          </w:tcPr>
          <w:p>
            <w:pPr>
              <w:spacing w:after="0"/>
              <w:rPr>
                <w:sz w:val="24"/>
                <w:szCs w:val="24"/>
                <w:color w:val="auto"/>
              </w:rPr>
            </w:pPr>
          </w:p>
        </w:tc>
        <w:tc>
          <w:tcPr>
            <w:tcW w:w="5200" w:type="dxa"/>
            <w:vAlign w:val="bottom"/>
            <w:gridSpan w:val="17"/>
            <w:vMerge w:val="continue"/>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5200" w:type="dxa"/>
            <w:vAlign w:val="bottom"/>
            <w:gridSpan w:val="17"/>
          </w:tcPr>
          <w:p>
            <w:pPr>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Amended and Restated Certificate of Incorporation.</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620" w:type="dxa"/>
            <w:vAlign w:val="bottom"/>
          </w:tcPr>
          <w:p>
            <w:pPr>
              <w:jc w:val="right"/>
              <w:spacing w:after="0"/>
              <w:rPr>
                <w:sz w:val="20"/>
                <w:szCs w:val="20"/>
                <w:color w:val="auto"/>
              </w:rPr>
            </w:pPr>
            <w:r>
              <w:rPr>
                <w:rFonts w:ascii="Arial" w:cs="Arial" w:eastAsia="Arial" w:hAnsi="Arial"/>
                <w:sz w:val="18"/>
                <w:szCs w:val="18"/>
                <w:color w:val="auto"/>
              </w:rPr>
              <w:t>9-23-2019</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5200" w:type="dxa"/>
            <w:vAlign w:val="bottom"/>
            <w:gridSpan w:val="17"/>
          </w:tcPr>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Amended and Restated Bylaws.</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620" w:type="dxa"/>
            <w:vAlign w:val="bottom"/>
          </w:tcPr>
          <w:p>
            <w:pPr>
              <w:jc w:val="right"/>
              <w:spacing w:after="0"/>
              <w:rPr>
                <w:sz w:val="20"/>
                <w:szCs w:val="20"/>
                <w:color w:val="auto"/>
              </w:rPr>
            </w:pPr>
            <w:r>
              <w:rPr>
                <w:rFonts w:ascii="Arial" w:cs="Arial" w:eastAsia="Arial" w:hAnsi="Arial"/>
                <w:sz w:val="18"/>
                <w:szCs w:val="18"/>
                <w:color w:val="auto"/>
              </w:rPr>
              <w:t>9-23-2019</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5200" w:type="dxa"/>
            <w:vAlign w:val="bottom"/>
            <w:gridSpan w:val="17"/>
          </w:tcPr>
          <w:p>
            <w:pPr>
              <w:spacing w:after="0"/>
              <w:rPr>
                <w:rFonts w:ascii="Arial" w:cs="Arial" w:eastAsia="Arial" w:hAnsi="Arial"/>
                <w:sz w:val="18"/>
                <w:szCs w:val="18"/>
                <w:u w:val="single" w:color="auto"/>
                <w:color w:val="0000FF"/>
                <w:w w:val="96"/>
              </w:rPr>
            </w:pPr>
            <w:hyperlink r:id="rId29">
              <w:r>
                <w:rPr>
                  <w:rFonts w:ascii="Arial" w:cs="Arial" w:eastAsia="Arial" w:hAnsi="Arial"/>
                  <w:sz w:val="18"/>
                  <w:szCs w:val="18"/>
                  <w:u w:val="single" w:color="auto"/>
                  <w:color w:val="0000FF"/>
                  <w:w w:val="96"/>
                </w:rPr>
                <w:t>Specimen stock certificate evidencing the shares of common stock.</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5200" w:type="dxa"/>
            <w:vAlign w:val="bottom"/>
            <w:gridSpan w:val="17"/>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Amended and Restated Investors’ Rights Agreement, dated July 12,</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80" w:type="dxa"/>
            <w:vAlign w:val="bottom"/>
            <w:tcBorders>
              <w:top w:val="single" w:sz="8" w:color="0000FF"/>
            </w:tcBorders>
            <w:gridSpan w:val="12"/>
          </w:tcPr>
          <w:p>
            <w:pPr>
              <w:spacing w:after="0"/>
              <w:rPr>
                <w:rFonts w:ascii="Arial" w:cs="Arial" w:eastAsia="Arial" w:hAnsi="Arial"/>
                <w:sz w:val="18"/>
                <w:szCs w:val="18"/>
                <w:u w:val="single" w:color="auto"/>
                <w:color w:val="0000FF"/>
                <w:w w:val="91"/>
              </w:rPr>
            </w:pPr>
            <w:hyperlink r:id="rId30">
              <w:r>
                <w:rPr>
                  <w:rFonts w:ascii="Arial" w:cs="Arial" w:eastAsia="Arial" w:hAnsi="Arial"/>
                  <w:sz w:val="18"/>
                  <w:szCs w:val="18"/>
                  <w:u w:val="single" w:color="auto"/>
                  <w:color w:val="0000FF"/>
                  <w:w w:val="91"/>
                </w:rPr>
                <w:t>2019, by and among the Registrant and certain of its stockholders.</w:t>
              </w:r>
            </w:hyperlink>
          </w:p>
        </w:tc>
        <w:tc>
          <w:tcPr>
            <w:tcW w:w="320" w:type="dxa"/>
            <w:vAlign w:val="bottom"/>
            <w:gridSpan w:val="5"/>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5200" w:type="dxa"/>
            <w:vAlign w:val="bottom"/>
            <w:gridSpan w:val="17"/>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Form of Common Stock Purchase Warrant issued to investors by the</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494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Registrant in connection with private placement financings.</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5200" w:type="dxa"/>
            <w:vAlign w:val="bottom"/>
            <w:gridSpan w:val="17"/>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Form of Preferred Stock Purchase Warrant issued to Capital Royalty</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200" w:type="dxa"/>
            <w:vAlign w:val="bottom"/>
            <w:gridSpan w:val="17"/>
          </w:tcPr>
          <w:p>
            <w:pPr>
              <w:spacing w:after="0" w:line="182"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Partners and related advisors by the Registrant in connection with the</w:t>
              </w:r>
            </w:hyperlink>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020" w:type="dxa"/>
            <w:vAlign w:val="bottom"/>
            <w:tcBorders>
              <w:top w:val="single" w:sz="8" w:color="0000FF"/>
            </w:tcBorders>
            <w:gridSpan w:val="16"/>
          </w:tcPr>
          <w:p>
            <w:pPr>
              <w:spacing w:after="0" w:line="182"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Term Loan Agreement, by and between Capital Royalty Partners II</w:t>
              </w:r>
            </w:hyperlink>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84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4"/>
              </w:rPr>
            </w:pPr>
            <w:hyperlink r:id="rId32">
              <w:r>
                <w:rPr>
                  <w:rFonts w:ascii="Arial" w:cs="Arial" w:eastAsia="Arial" w:hAnsi="Arial"/>
                  <w:sz w:val="18"/>
                  <w:szCs w:val="18"/>
                  <w:u w:val="single" w:color="auto"/>
                  <w:color w:val="0000FF"/>
                  <w:w w:val="94"/>
                </w:rPr>
                <w:t>L.P., Capital Royalty Partners II - Parallel Fund "A" L.P., Parallel</w:t>
              </w:r>
            </w:hyperlink>
          </w:p>
        </w:tc>
        <w:tc>
          <w:tcPr>
            <w:tcW w:w="160" w:type="dxa"/>
            <w:vAlign w:val="bottom"/>
            <w:gridSpan w:val="4"/>
          </w:tcPr>
          <w:p>
            <w:pPr>
              <w:spacing w:after="0"/>
              <w:rPr>
                <w:sz w:val="16"/>
                <w:szCs w:val="16"/>
                <w:color w:val="auto"/>
              </w:rPr>
            </w:pPr>
          </w:p>
        </w:tc>
        <w:tc>
          <w:tcPr>
            <w:tcW w:w="20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200" w:type="dxa"/>
            <w:vAlign w:val="bottom"/>
            <w:gridSpan w:val="17"/>
          </w:tcPr>
          <w:p>
            <w:pPr>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Investment Opportunities Partners II L.P. and the Registrant.</w:t>
              </w:r>
            </w:hyperlink>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5200" w:type="dxa"/>
            <w:vAlign w:val="bottom"/>
            <w:gridSpan w:val="17"/>
          </w:tcPr>
          <w:p>
            <w:pPr>
              <w:spacing w:after="0"/>
              <w:rPr>
                <w:rFonts w:ascii="Arial" w:cs="Arial" w:eastAsia="Arial" w:hAnsi="Arial"/>
                <w:sz w:val="18"/>
                <w:szCs w:val="18"/>
                <w:color w:val="0000FF"/>
                <w:w w:val="99"/>
              </w:rPr>
            </w:pPr>
            <w:hyperlink r:id="rId33">
              <w:r>
                <w:rPr>
                  <w:rFonts w:ascii="Arial" w:cs="Arial" w:eastAsia="Arial" w:hAnsi="Arial"/>
                  <w:sz w:val="18"/>
                  <w:szCs w:val="18"/>
                  <w:color w:val="0000FF"/>
                  <w:w w:val="99"/>
                </w:rPr>
                <w:t>Form of Warrant to Purchase Shares of Preferred Stock issued to</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6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investors by the Registrant in October 2015.</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5200" w:type="dxa"/>
            <w:vAlign w:val="bottom"/>
            <w:gridSpan w:val="17"/>
          </w:tcPr>
          <w:p>
            <w:pPr>
              <w:spacing w:after="0"/>
              <w:rPr>
                <w:rFonts w:ascii="Arial" w:cs="Arial" w:eastAsia="Arial" w:hAnsi="Arial"/>
                <w:sz w:val="18"/>
                <w:szCs w:val="18"/>
                <w:color w:val="0000FF"/>
                <w:w w:val="98"/>
              </w:rPr>
            </w:pPr>
            <w:hyperlink r:id="rId34">
              <w:r>
                <w:rPr>
                  <w:rFonts w:ascii="Arial" w:cs="Arial" w:eastAsia="Arial" w:hAnsi="Arial"/>
                  <w:sz w:val="18"/>
                  <w:szCs w:val="18"/>
                  <w:color w:val="0000FF"/>
                  <w:w w:val="98"/>
                </w:rPr>
                <w:t>Amendment to Convertible Promissory Notes and Warrants, dated</w:t>
              </w:r>
            </w:hyperlink>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January 19, 2016.</w:t>
              </w:r>
            </w:hyperlink>
          </w:p>
        </w:tc>
        <w:tc>
          <w:tcPr>
            <w:tcW w:w="3500" w:type="dxa"/>
            <w:vAlign w:val="bottom"/>
            <w:tcBorders>
              <w:top w:val="single" w:sz="8" w:color="0000FF"/>
            </w:tcBorders>
            <w:gridSpan w:val="7"/>
          </w:tcPr>
          <w:p>
            <w:pPr>
              <w:spacing w:after="0"/>
              <w:rPr>
                <w:sz w:val="15"/>
                <w:szCs w:val="15"/>
                <w:color w:val="auto"/>
              </w:rPr>
            </w:pPr>
          </w:p>
        </w:tc>
        <w:tc>
          <w:tcPr>
            <w:tcW w:w="220" w:type="dxa"/>
            <w:vAlign w:val="bottom"/>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4620" w:type="dxa"/>
            <w:vAlign w:val="bottom"/>
            <w:tcBorders>
              <w:bottom w:val="single" w:sz="8" w:color="0000FF"/>
            </w:tcBorders>
            <w:gridSpan w:val="7"/>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Form of Common Stock Purchase Warrant to purchase common</w:t>
              </w:r>
            </w:hyperlink>
          </w:p>
        </w:tc>
        <w:tc>
          <w:tcPr>
            <w:tcW w:w="580" w:type="dxa"/>
            <w:vAlign w:val="bottom"/>
            <w:gridSpan w:val="10"/>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0" w:type="dxa"/>
            <w:vAlign w:val="bottom"/>
            <w:gridSpan w:val="1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stock issued to investors by the Registrant in 2016.</w:t>
              </w:r>
            </w:hyperlink>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5000" w:type="dxa"/>
            <w:vAlign w:val="bottom"/>
            <w:tcBorders>
              <w:bottom w:val="single" w:sz="8" w:color="0000FF"/>
            </w:tcBorders>
            <w:gridSpan w:val="15"/>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Form of Warrant to Purchase Stock issued to Innovatus Life Sciences</w:t>
              </w:r>
            </w:hyperlink>
          </w:p>
        </w:tc>
        <w:tc>
          <w:tcPr>
            <w:tcW w:w="200" w:type="dxa"/>
            <w:vAlign w:val="bottom"/>
            <w:gridSpan w:val="2"/>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S-1/A</w:t>
            </w:r>
          </w:p>
        </w:tc>
        <w:tc>
          <w:tcPr>
            <w:tcW w:w="1620" w:type="dxa"/>
            <w:vAlign w:val="bottom"/>
          </w:tcPr>
          <w:p>
            <w:pPr>
              <w:jc w:val="right"/>
              <w:spacing w:after="0"/>
              <w:rPr>
                <w:sz w:val="20"/>
                <w:szCs w:val="20"/>
                <w:color w:val="auto"/>
              </w:rPr>
            </w:pPr>
            <w:r>
              <w:rPr>
                <w:rFonts w:ascii="Arial" w:cs="Arial" w:eastAsia="Arial" w:hAnsi="Arial"/>
                <w:sz w:val="18"/>
                <w:szCs w:val="18"/>
                <w:color w:val="auto"/>
              </w:rPr>
              <w:t>9-9-2019</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Lending Fund I, LP in connection with the Registrant's 2018 loan</w:t>
              </w:r>
            </w:hyperlink>
          </w:p>
        </w:tc>
        <w:tc>
          <w:tcPr>
            <w:tcW w:w="48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0" w:type="dxa"/>
            <w:vAlign w:val="bottom"/>
            <w:tcBorders>
              <w:bottom w:val="single" w:sz="8" w:color="0000FF"/>
            </w:tcBorders>
          </w:tcPr>
          <w:p>
            <w:pPr>
              <w:spacing w:after="0" w:line="196" w:lineRule="exact"/>
              <w:rPr>
                <w:rFonts w:ascii="Arial" w:cs="Arial" w:eastAsia="Arial" w:hAnsi="Arial"/>
                <w:sz w:val="18"/>
                <w:szCs w:val="18"/>
                <w:color w:val="0000FF"/>
                <w:w w:val="85"/>
              </w:rPr>
            </w:pPr>
            <w:hyperlink r:id="rId36">
              <w:r>
                <w:rPr>
                  <w:rFonts w:ascii="Arial" w:cs="Arial" w:eastAsia="Arial" w:hAnsi="Arial"/>
                  <w:sz w:val="18"/>
                  <w:szCs w:val="18"/>
                  <w:color w:val="0000FF"/>
                  <w:w w:val="85"/>
                </w:rPr>
                <w:t>agreement.</w:t>
              </w:r>
            </w:hyperlink>
          </w:p>
        </w:tc>
        <w:tc>
          <w:tcPr>
            <w:tcW w:w="4400" w:type="dxa"/>
            <w:vAlign w:val="bottom"/>
            <w:gridSpan w:val="16"/>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4.9*</w:t>
            </w:r>
          </w:p>
        </w:tc>
        <w:tc>
          <w:tcPr>
            <w:tcW w:w="5200" w:type="dxa"/>
            <w:vAlign w:val="bottom"/>
            <w:gridSpan w:val="17"/>
          </w:tcPr>
          <w:p>
            <w:pPr>
              <w:spacing w:after="0"/>
              <w:rPr>
                <w:sz w:val="20"/>
                <w:szCs w:val="20"/>
                <w:color w:val="auto"/>
              </w:rPr>
            </w:pPr>
            <w:r>
              <w:rPr>
                <w:rFonts w:ascii="Arial" w:cs="Arial" w:eastAsia="Arial" w:hAnsi="Arial"/>
                <w:sz w:val="18"/>
                <w:szCs w:val="18"/>
                <w:color w:val="auto"/>
              </w:rPr>
              <w:t>Form of Preferred Stock Certificate.</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4.10</w:t>
            </w:r>
          </w:p>
        </w:tc>
        <w:tc>
          <w:tcPr>
            <w:tcW w:w="5200" w:type="dxa"/>
            <w:vAlign w:val="bottom"/>
            <w:gridSpan w:val="17"/>
          </w:tcPr>
          <w:p>
            <w:pPr>
              <w:spacing w:after="0"/>
              <w:rPr>
                <w:rFonts w:ascii="Arial" w:cs="Arial" w:eastAsia="Arial" w:hAnsi="Arial"/>
                <w:sz w:val="18"/>
                <w:szCs w:val="18"/>
                <w:color w:val="0000FF"/>
              </w:rPr>
            </w:pPr>
            <w:hyperlink w:anchor="page60">
              <w:r>
                <w:rPr>
                  <w:rFonts w:ascii="Arial" w:cs="Arial" w:eastAsia="Arial" w:hAnsi="Arial"/>
                  <w:sz w:val="18"/>
                  <w:szCs w:val="18"/>
                  <w:u w:val="single" w:color="auto"/>
                  <w:color w:val="0000FF"/>
                </w:rPr>
                <w:t>Form of Indenture</w:t>
              </w:r>
              <w:r>
                <w:rPr>
                  <w:rFonts w:ascii="Arial" w:cs="Arial" w:eastAsia="Arial" w:hAnsi="Arial"/>
                  <w:sz w:val="18"/>
                  <w:szCs w:val="18"/>
                  <w:color w:val="0000FF"/>
                </w:rPr>
                <w:t>.</w:t>
              </w:r>
            </w:hyperlink>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4.11*</w:t>
            </w:r>
          </w:p>
        </w:tc>
        <w:tc>
          <w:tcPr>
            <w:tcW w:w="5200" w:type="dxa"/>
            <w:vAlign w:val="bottom"/>
            <w:gridSpan w:val="17"/>
          </w:tcPr>
          <w:p>
            <w:pPr>
              <w:spacing w:after="0"/>
              <w:rPr>
                <w:sz w:val="20"/>
                <w:szCs w:val="20"/>
                <w:color w:val="auto"/>
              </w:rPr>
            </w:pPr>
            <w:r>
              <w:rPr>
                <w:rFonts w:ascii="Arial" w:cs="Arial" w:eastAsia="Arial" w:hAnsi="Arial"/>
                <w:sz w:val="18"/>
                <w:szCs w:val="18"/>
                <w:color w:val="auto"/>
              </w:rPr>
              <w:t>Form of Debt Security.</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4.12*</w:t>
            </w:r>
          </w:p>
        </w:tc>
        <w:tc>
          <w:tcPr>
            <w:tcW w:w="5200" w:type="dxa"/>
            <w:vAlign w:val="bottom"/>
            <w:gridSpan w:val="17"/>
          </w:tcPr>
          <w:p>
            <w:pPr>
              <w:spacing w:after="0"/>
              <w:rPr>
                <w:sz w:val="20"/>
                <w:szCs w:val="20"/>
                <w:color w:val="auto"/>
              </w:rPr>
            </w:pPr>
            <w:r>
              <w:rPr>
                <w:rFonts w:ascii="Arial" w:cs="Arial" w:eastAsia="Arial" w:hAnsi="Arial"/>
                <w:sz w:val="18"/>
                <w:szCs w:val="18"/>
                <w:color w:val="auto"/>
              </w:rPr>
              <w:t>Form of Warrant.</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4.13*</w:t>
            </w:r>
          </w:p>
        </w:tc>
        <w:tc>
          <w:tcPr>
            <w:tcW w:w="5200" w:type="dxa"/>
            <w:vAlign w:val="bottom"/>
            <w:gridSpan w:val="17"/>
          </w:tcPr>
          <w:p>
            <w:pPr>
              <w:spacing w:after="0"/>
              <w:rPr>
                <w:sz w:val="20"/>
                <w:szCs w:val="20"/>
                <w:color w:val="auto"/>
              </w:rPr>
            </w:pPr>
            <w:r>
              <w:rPr>
                <w:rFonts w:ascii="Arial" w:cs="Arial" w:eastAsia="Arial" w:hAnsi="Arial"/>
                <w:sz w:val="18"/>
                <w:szCs w:val="18"/>
                <w:color w:val="auto"/>
              </w:rPr>
              <w:t>Form of Warrant Agreement.</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4.14*</w:t>
            </w:r>
          </w:p>
        </w:tc>
        <w:tc>
          <w:tcPr>
            <w:tcW w:w="5200" w:type="dxa"/>
            <w:vAlign w:val="bottom"/>
            <w:gridSpan w:val="17"/>
          </w:tcPr>
          <w:p>
            <w:pPr>
              <w:spacing w:after="0"/>
              <w:rPr>
                <w:sz w:val="20"/>
                <w:szCs w:val="20"/>
                <w:color w:val="auto"/>
              </w:rPr>
            </w:pPr>
            <w:r>
              <w:rPr>
                <w:rFonts w:ascii="Arial" w:cs="Arial" w:eastAsia="Arial" w:hAnsi="Arial"/>
                <w:sz w:val="18"/>
                <w:szCs w:val="18"/>
                <w:color w:val="auto"/>
              </w:rPr>
              <w:t>Form of Unit Agreement.</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5.1</w:t>
            </w:r>
          </w:p>
        </w:tc>
        <w:tc>
          <w:tcPr>
            <w:tcW w:w="5200" w:type="dxa"/>
            <w:vAlign w:val="bottom"/>
            <w:gridSpan w:val="17"/>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Opinion of Latham &amp; Watkins LLP.</w:t>
              </w:r>
            </w:hyperlink>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5.2</w:t>
            </w:r>
          </w:p>
        </w:tc>
        <w:tc>
          <w:tcPr>
            <w:tcW w:w="5200" w:type="dxa"/>
            <w:vAlign w:val="bottom"/>
            <w:gridSpan w:val="17"/>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Opinion of Latham &amp; Watkins LLP.</w:t>
              </w:r>
            </w:hyperlink>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ind w:left="5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5200" w:type="dxa"/>
            <w:vAlign w:val="bottom"/>
            <w:gridSpan w:val="1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Consent of BDO USA, LLP, independent registered public</w:t>
              </w:r>
            </w:hyperlink>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2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accounting firm.</w:t>
              </w:r>
            </w:hyperlink>
          </w:p>
        </w:tc>
        <w:tc>
          <w:tcPr>
            <w:tcW w:w="98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ind w:left="54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2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5200" w:type="dxa"/>
            <w:vAlign w:val="bottom"/>
            <w:gridSpan w:val="17"/>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Consent of Latham &amp; Watkins LLP (included in Exhibit 5.1)</w:t>
              </w:r>
            </w:hyperlink>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23.3</w:t>
            </w:r>
          </w:p>
        </w:tc>
        <w:tc>
          <w:tcPr>
            <w:tcW w:w="5200" w:type="dxa"/>
            <w:vAlign w:val="bottom"/>
            <w:gridSpan w:val="17"/>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Consent of Latham &amp; Watkins LLP (included in Exhibit 5.2)</w:t>
              </w:r>
            </w:hyperlink>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5200" w:type="dxa"/>
            <w:vAlign w:val="bottom"/>
            <w:gridSpan w:val="1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Power of Attorney (included in signature pages).</w:t>
              </w:r>
            </w:hyperlink>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840"/>
          </w:cols>
          <w:pgMar w:left="340" w:top="1440" w:right="719" w:bottom="1440" w:gutter="0" w:footer="0" w:header="0"/>
        </w:sectPr>
      </w:pPr>
    </w:p>
    <w:bookmarkStart w:id="54" w:name="page55"/>
    <w:bookmarkEnd w:id="54"/>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25.1*</w:t>
            </w:r>
          </w:p>
        </w:tc>
        <w:tc>
          <w:tcPr>
            <w:tcW w:w="4920" w:type="dxa"/>
            <w:vAlign w:val="bottom"/>
          </w:tcPr>
          <w:p>
            <w:pPr>
              <w:ind w:left="360"/>
              <w:spacing w:after="0"/>
              <w:rPr>
                <w:sz w:val="20"/>
                <w:szCs w:val="20"/>
                <w:color w:val="auto"/>
              </w:rPr>
            </w:pPr>
            <w:r>
              <w:rPr>
                <w:rFonts w:ascii="Arial" w:cs="Arial" w:eastAsia="Arial" w:hAnsi="Arial"/>
                <w:sz w:val="18"/>
                <w:szCs w:val="18"/>
                <w:color w:val="auto"/>
                <w:w w:val="91"/>
              </w:rPr>
              <w:t>Statement of Eligibility of Trustee on Form T-1 under the Trust</w:t>
            </w:r>
          </w:p>
        </w:tc>
      </w:tr>
      <w:tr>
        <w:trPr>
          <w:trHeight w:val="230"/>
        </w:trPr>
        <w:tc>
          <w:tcPr>
            <w:tcW w:w="760" w:type="dxa"/>
            <w:vAlign w:val="bottom"/>
          </w:tcPr>
          <w:p>
            <w:pPr>
              <w:spacing w:after="0"/>
              <w:rPr>
                <w:sz w:val="20"/>
                <w:szCs w:val="20"/>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Indenture Act of 1939,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hanging="43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to be filed by amendment or by report filed under the Exchange Act and incorporated herein by reference.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900" w:hanging="429"/>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98" w:lineRule="exact"/>
        <w:rPr>
          <w:rFonts w:ascii="Arial" w:cs="Arial" w:eastAsia="Arial" w:hAnsi="Arial"/>
          <w:sz w:val="18"/>
          <w:szCs w:val="18"/>
          <w:color w:val="auto"/>
        </w:rPr>
      </w:pPr>
    </w:p>
    <w:p>
      <w:pPr>
        <w:ind w:left="1400" w:hanging="524"/>
        <w:spacing w:after="0"/>
        <w:tabs>
          <w:tab w:leader="none" w:pos="14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82" w:lineRule="exact"/>
        <w:rPr>
          <w:rFonts w:ascii="Arial" w:cs="Arial" w:eastAsia="Arial" w:hAnsi="Arial"/>
          <w:sz w:val="17"/>
          <w:szCs w:val="17"/>
          <w:color w:val="auto"/>
        </w:rPr>
      </w:pPr>
    </w:p>
    <w:p>
      <w:pPr>
        <w:ind w:left="1400" w:right="80" w:hanging="524"/>
        <w:spacing w:after="0" w:line="291" w:lineRule="auto"/>
        <w:tabs>
          <w:tab w:leader="none" w:pos="14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2" w:lineRule="exact"/>
        <w:rPr>
          <w:rFonts w:ascii="Arial" w:cs="Arial" w:eastAsia="Arial" w:hAnsi="Arial"/>
          <w:sz w:val="16"/>
          <w:szCs w:val="16"/>
          <w:color w:val="auto"/>
        </w:rPr>
      </w:pPr>
    </w:p>
    <w:p>
      <w:pPr>
        <w:ind w:left="1400" w:right="100" w:hanging="524"/>
        <w:spacing w:after="0" w:line="277" w:lineRule="auto"/>
        <w:tabs>
          <w:tab w:leader="none" w:pos="14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5" w:lineRule="exact"/>
        <w:rPr>
          <w:sz w:val="20"/>
          <w:szCs w:val="20"/>
          <w:color w:val="auto"/>
        </w:rPr>
      </w:pPr>
    </w:p>
    <w:p>
      <w:pPr>
        <w:ind w:left="900" w:right="120" w:hanging="429"/>
        <w:spacing w:after="0" w:line="263"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900" w:right="660" w:hanging="42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sz w:val="20"/>
          <w:szCs w:val="20"/>
          <w:color w:val="auto"/>
        </w:rPr>
      </w:pPr>
    </w:p>
    <w:p>
      <w:pPr>
        <w:ind w:left="900" w:hanging="42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36" w:lineRule="exact"/>
        <w:rPr>
          <w:sz w:val="20"/>
          <w:szCs w:val="20"/>
          <w:color w:val="auto"/>
        </w:rPr>
      </w:pPr>
    </w:p>
    <w:p>
      <w:pPr>
        <w:ind w:left="1380" w:right="100" w:hanging="524"/>
        <w:spacing w:after="0" w:line="277" w:lineRule="auto"/>
        <w:tabs>
          <w:tab w:leader="none" w:pos="1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1380" w:right="160" w:hanging="524"/>
        <w:spacing w:after="0" w:line="287" w:lineRule="auto"/>
        <w:tabs>
          <w:tab w:leader="none" w:pos="13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0" w:lineRule="exact"/>
        <w:rPr>
          <w:rFonts w:ascii="Arial" w:cs="Arial" w:eastAsia="Arial" w:hAnsi="Arial"/>
          <w:sz w:val="16"/>
          <w:szCs w:val="16"/>
          <w:color w:val="auto"/>
        </w:rPr>
      </w:pPr>
    </w:p>
    <w:p>
      <w:pPr>
        <w:ind w:left="880" w:right="40" w:hanging="429"/>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43" w:lineRule="exact"/>
        <w:rPr>
          <w:sz w:val="20"/>
          <w:szCs w:val="20"/>
          <w:color w:val="auto"/>
        </w:rPr>
      </w:pPr>
    </w:p>
    <w:p>
      <w:pPr>
        <w:ind w:left="320" w:right="12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380" w:hanging="524"/>
        <w:spacing w:after="0"/>
        <w:tabs>
          <w:tab w:leader="none" w:pos="13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1380" w:right="160" w:hanging="524"/>
        <w:spacing w:after="0" w:line="277" w:lineRule="auto"/>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1380" w:right="720" w:hanging="524"/>
        <w:spacing w:after="0" w:line="277" w:lineRule="auto"/>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380" w:hanging="524"/>
        <w:spacing w:after="0"/>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98" w:lineRule="exact"/>
        <w:rPr>
          <w:rFonts w:ascii="Arial" w:cs="Arial" w:eastAsia="Arial" w:hAnsi="Arial"/>
          <w:sz w:val="18"/>
          <w:szCs w:val="18"/>
          <w:color w:val="auto"/>
        </w:rPr>
      </w:pPr>
    </w:p>
    <w:p>
      <w:pPr>
        <w:ind w:left="-20" w:firstLine="332"/>
        <w:spacing w:after="0" w:line="257" w:lineRule="auto"/>
        <w:tabs>
          <w:tab w:leader="none" w:pos="5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4" w:lineRule="exact"/>
        <w:rPr>
          <w:sz w:val="20"/>
          <w:szCs w:val="20"/>
          <w:color w:val="auto"/>
        </w:rPr>
      </w:pPr>
    </w:p>
    <w:p>
      <w:pPr>
        <w:ind w:left="-20" w:right="120" w:firstLine="332"/>
        <w:spacing w:after="0" w:line="255" w:lineRule="auto"/>
        <w:tabs>
          <w:tab w:leader="none" w:pos="5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340" w:top="1440" w:right="359" w:bottom="1440" w:gutter="0" w:footer="0" w:header="0"/>
        </w:sectPr>
      </w:pPr>
    </w:p>
    <w:bookmarkStart w:id="56" w:name="page57"/>
    <w:bookmarkEnd w:id="5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0" w:lineRule="exact"/>
        <w:rPr>
          <w:sz w:val="20"/>
          <w:szCs w:val="20"/>
          <w:color w:val="auto"/>
        </w:rPr>
      </w:pPr>
    </w:p>
    <w:p>
      <w:pPr>
        <w:ind w:right="120" w:firstLine="332"/>
        <w:spacing w:after="0" w:line="263" w:lineRule="auto"/>
        <w:tabs>
          <w:tab w:leader="none" w:pos="5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00"/>
          </w:cols>
          <w:pgMar w:left="320" w:top="1440" w:right="679" w:bottom="1440" w:gutter="0" w:footer="0" w:header="0"/>
        </w:sectPr>
      </w:pPr>
    </w:p>
    <w:bookmarkStart w:id="57" w:name="page58"/>
    <w:bookmarkEnd w:id="57"/>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Vista, State of California, on the 10th day of November, 2020.</w:t>
      </w:r>
    </w:p>
    <w:p>
      <w:pPr>
        <w:spacing w:after="0" w:line="200" w:lineRule="exact"/>
        <w:rPr>
          <w:sz w:val="20"/>
          <w:szCs w:val="20"/>
          <w:color w:val="auto"/>
        </w:rPr>
      </w:pPr>
    </w:p>
    <w:p>
      <w:pPr>
        <w:spacing w:after="0" w:line="34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64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31750</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Fortunato Ron Rocca</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jointly and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Fortunato Ron Rocca and Kamal Adawi, and each one of them, his or her true and lawful attorneys-in-fact and agents, each with full power of substitution and resubstitution, for him or her and in his or her name, place and stead, in any and all capacities, to file and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each of said attorneys-in-fact and agents or any of them, or his or their substitute or substitutes, may lawfully do or cause to be done by virtue hereof. This power of attorney shall be governed by and construed with the laws of the State of Delaware and applicable federal securities laws.</w:t>
      </w:r>
    </w:p>
    <w:p>
      <w:pPr>
        <w:spacing w:after="0" w:line="1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0" w:type="dxa"/>
            <w:vAlign w:val="bottom"/>
          </w:tcPr>
          <w:p>
            <w:pPr>
              <w:spacing w:after="0"/>
              <w:rPr>
                <w:sz w:val="16"/>
                <w:szCs w:val="16"/>
                <w:color w:val="auto"/>
              </w:rPr>
            </w:pPr>
          </w:p>
        </w:tc>
        <w:tc>
          <w:tcPr>
            <w:tcW w:w="5000" w:type="dxa"/>
            <w:vAlign w:val="bottom"/>
            <w:gridSpan w:val="2"/>
          </w:tcPr>
          <w:p>
            <w:pPr>
              <w:ind w:left="2280"/>
              <w:spacing w:after="0"/>
              <w:rPr>
                <w:sz w:val="20"/>
                <w:szCs w:val="20"/>
                <w:color w:val="auto"/>
              </w:rPr>
            </w:pPr>
            <w:r>
              <w:rPr>
                <w:rFonts w:ascii="Arial" w:cs="Arial" w:eastAsia="Arial" w:hAnsi="Arial"/>
                <w:sz w:val="14"/>
                <w:szCs w:val="14"/>
                <w:b w:val="1"/>
                <w:bCs w:val="1"/>
                <w:color w:val="auto"/>
              </w:rPr>
              <w:t>Title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Fortunato Ron Rocca</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Fortunato Ron Rocca</w:t>
            </w:r>
          </w:p>
        </w:tc>
        <w:tc>
          <w:tcPr>
            <w:tcW w:w="160" w:type="dxa"/>
            <w:vAlign w:val="bottom"/>
          </w:tcPr>
          <w:p>
            <w:pPr>
              <w:spacing w:after="0"/>
              <w:rPr>
                <w:sz w:val="20"/>
                <w:szCs w:val="20"/>
                <w:color w:val="auto"/>
              </w:rPr>
            </w:pPr>
          </w:p>
        </w:tc>
        <w:tc>
          <w:tcPr>
            <w:tcW w:w="5000" w:type="dxa"/>
            <w:vAlign w:val="bottom"/>
            <w:gridSpan w:val="2"/>
            <w:vMerge w:val="continue"/>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Kamal Adawi</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Corporate Secretary</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7"/>
              </w:rPr>
              <w:t>Kamal Adawi</w:t>
            </w:r>
          </w:p>
        </w:tc>
        <w:tc>
          <w:tcPr>
            <w:tcW w:w="160" w:type="dxa"/>
            <w:vAlign w:val="bottom"/>
          </w:tcPr>
          <w:p>
            <w:pPr>
              <w:spacing w:after="0"/>
              <w:rPr>
                <w:sz w:val="20"/>
                <w:szCs w:val="20"/>
                <w:color w:val="auto"/>
              </w:rPr>
            </w:pPr>
          </w:p>
        </w:tc>
        <w:tc>
          <w:tcPr>
            <w:tcW w:w="5000" w:type="dxa"/>
            <w:vAlign w:val="bottom"/>
            <w:gridSpan w:val="2"/>
            <w:vMerge w:val="continue"/>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Brian Birk</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9"/>
              </w:rPr>
              <w:t>Brian Birk</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Chet Burrell</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Chet Burrell</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Jeff Elliott</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7"/>
              </w:rPr>
              <w:t>Jeff Elliott</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 Wendy S. Johnson</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Wendy S. Johnson</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Tina S. Nova, Ph.D.</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Tina S. Nova, Ph.D.</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Ebetuel Pallares, Ph.D.</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Ebetuel Pallares, Ph.D.</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Bruce C. Robertson, Ph.D.</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Bruce C. Robertson, Ph.D.</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James L.L. Tullis</w:t>
            </w:r>
          </w:p>
        </w:tc>
        <w:tc>
          <w:tcPr>
            <w:tcW w:w="1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November 10, 2020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James L.L. Tullis</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1768475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EXAGEN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353695</wp:posOffset>
            </wp:positionV>
            <wp:extent cx="1680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INDENTURE</w:t>
      </w:r>
    </w:p>
    <w:p>
      <w:pPr>
        <w:spacing w:after="0" w:line="334"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349885</wp:posOffset>
            </wp:positionV>
            <wp:extent cx="1611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[_________]</w:t>
      </w:r>
    </w:p>
    <w:p>
      <w:pPr>
        <w:spacing w:after="0" w:line="33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847090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80"/>
        </w:trPr>
        <w:tc>
          <w:tcPr>
            <w:tcW w:w="1660" w:type="dxa"/>
            <w:vAlign w:val="bottom"/>
          </w:tcPr>
          <w:p>
            <w:pPr>
              <w:spacing w:after="0"/>
              <w:rPr>
                <w:sz w:val="24"/>
                <w:szCs w:val="24"/>
                <w:color w:val="auto"/>
              </w:rPr>
            </w:pPr>
          </w:p>
        </w:tc>
        <w:tc>
          <w:tcPr>
            <w:tcW w:w="8840" w:type="dxa"/>
            <w:vAlign w:val="bottom"/>
          </w:tcPr>
          <w:p>
            <w:pPr>
              <w:ind w:left="278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r>
      <w:tr>
        <w:trPr>
          <w:trHeight w:val="489"/>
        </w:trPr>
        <w:tc>
          <w:tcPr>
            <w:tcW w:w="16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r>
      <w:tr>
        <w:trPr>
          <w:trHeight w:val="36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w:t>
            </w:r>
          </w:p>
        </w:tc>
      </w:tr>
      <w:tr>
        <w:trPr>
          <w:trHeight w:val="324"/>
        </w:trPr>
        <w:tc>
          <w:tcPr>
            <w:tcW w:w="1660" w:type="dxa"/>
            <w:vAlign w:val="bottom"/>
          </w:tcPr>
          <w:p>
            <w:pPr>
              <w:ind w:left="440"/>
              <w:spacing w:after="0"/>
              <w:rPr>
                <w:sz w:val="20"/>
                <w:szCs w:val="20"/>
                <w:color w:val="auto"/>
              </w:rPr>
            </w:pPr>
            <w:r>
              <w:rPr>
                <w:rFonts w:ascii="Arial" w:cs="Arial" w:eastAsia="Arial" w:hAnsi="Arial"/>
                <w:sz w:val="22"/>
                <w:szCs w:val="22"/>
                <w:color w:val="auto"/>
              </w:rPr>
              <w:t>Section 1.1.</w:t>
            </w:r>
          </w:p>
        </w:tc>
        <w:tc>
          <w:tcPr>
            <w:tcW w:w="8840" w:type="dxa"/>
            <w:vAlign w:val="bottom"/>
          </w:tcPr>
          <w:p>
            <w:pPr>
              <w:ind w:left="8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1.2.</w:t>
            </w:r>
          </w:p>
        </w:tc>
        <w:tc>
          <w:tcPr>
            <w:tcW w:w="8840" w:type="dxa"/>
            <w:vAlign w:val="bottom"/>
          </w:tcPr>
          <w:p>
            <w:pPr>
              <w:ind w:left="80"/>
              <w:spacing w:after="0"/>
              <w:rPr>
                <w:sz w:val="20"/>
                <w:szCs w:val="20"/>
                <w:color w:val="auto"/>
              </w:rPr>
            </w:pPr>
            <w:r>
              <w:rPr>
                <w:rFonts w:ascii="Arial" w:cs="Arial" w:eastAsia="Arial" w:hAnsi="Arial"/>
                <w:sz w:val="22"/>
                <w:szCs w:val="22"/>
                <w:color w:val="auto"/>
              </w:rPr>
              <w:t>Other Definitions.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4</w:t>
            </w:r>
          </w:p>
        </w:tc>
      </w:tr>
      <w:tr>
        <w:trPr>
          <w:trHeight w:val="311"/>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1.3.   Incorporation by Reference of Trust Indenture Act.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1.4.   Rules of Construction.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w:t>
            </w:r>
          </w:p>
        </w:tc>
      </w:tr>
      <w:tr>
        <w:trPr>
          <w:trHeight w:val="37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II. THE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w:t>
            </w:r>
          </w:p>
        </w:tc>
      </w:tr>
      <w:tr>
        <w:trPr>
          <w:trHeight w:val="324"/>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2.1.   Issuable in Series.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2.2.   Establishment of Terms of Series of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5</w:t>
            </w:r>
          </w:p>
        </w:tc>
      </w:tr>
      <w:tr>
        <w:trPr>
          <w:trHeight w:val="311"/>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2.3.   Execution and Authentication.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8</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2.4.   Registrar and Paying Agent.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9</w:t>
            </w:r>
          </w:p>
        </w:tc>
      </w:tr>
      <w:tr>
        <w:trPr>
          <w:trHeight w:val="311"/>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2.5.   Paying Agent to Hold Money in Trust.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10</w:t>
            </w:r>
          </w:p>
        </w:tc>
      </w:tr>
      <w:tr>
        <w:trPr>
          <w:trHeight w:val="311"/>
        </w:trPr>
        <w:tc>
          <w:tcPr>
            <w:tcW w:w="1660" w:type="dxa"/>
            <w:vAlign w:val="bottom"/>
          </w:tcPr>
          <w:p>
            <w:pPr>
              <w:ind w:left="440"/>
              <w:spacing w:after="0"/>
              <w:rPr>
                <w:sz w:val="20"/>
                <w:szCs w:val="20"/>
                <w:color w:val="auto"/>
              </w:rPr>
            </w:pPr>
            <w:r>
              <w:rPr>
                <w:rFonts w:ascii="Arial" w:cs="Arial" w:eastAsia="Arial" w:hAnsi="Arial"/>
                <w:sz w:val="22"/>
                <w:szCs w:val="22"/>
                <w:color w:val="auto"/>
              </w:rPr>
              <w:t>Section 2.6.</w:t>
            </w:r>
          </w:p>
        </w:tc>
        <w:tc>
          <w:tcPr>
            <w:tcW w:w="8840" w:type="dxa"/>
            <w:vAlign w:val="bottom"/>
          </w:tcPr>
          <w:p>
            <w:pPr>
              <w:ind w:left="80"/>
              <w:spacing w:after="0"/>
              <w:rPr>
                <w:sz w:val="20"/>
                <w:szCs w:val="20"/>
                <w:color w:val="auto"/>
              </w:rPr>
            </w:pPr>
            <w:r>
              <w:rPr>
                <w:rFonts w:ascii="Arial" w:cs="Arial" w:eastAsia="Arial" w:hAnsi="Arial"/>
                <w:sz w:val="22"/>
                <w:szCs w:val="22"/>
                <w:color w:val="auto"/>
              </w:rPr>
              <w:t>Securityholder Lists.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10</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2.7.   Transfer and Exchange.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10</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2.8.   Mutilated, Destroyed, Lost and Stolen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0"/>
              </w:rPr>
              <w:t>11</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2.9.</w:t>
            </w:r>
          </w:p>
        </w:tc>
        <w:tc>
          <w:tcPr>
            <w:tcW w:w="8840" w:type="dxa"/>
            <w:vAlign w:val="bottom"/>
          </w:tcPr>
          <w:p>
            <w:pPr>
              <w:ind w:left="80"/>
              <w:spacing w:after="0"/>
              <w:rPr>
                <w:sz w:val="20"/>
                <w:szCs w:val="20"/>
                <w:color w:val="auto"/>
              </w:rPr>
            </w:pPr>
            <w:r>
              <w:rPr>
                <w:rFonts w:ascii="Arial" w:cs="Arial" w:eastAsia="Arial" w:hAnsi="Arial"/>
                <w:sz w:val="22"/>
                <w:szCs w:val="22"/>
                <w:color w:val="auto"/>
              </w:rPr>
              <w:t>Outstanding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12</w:t>
            </w:r>
          </w:p>
        </w:tc>
      </w:tr>
      <w:tr>
        <w:trPr>
          <w:trHeight w:val="311"/>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2.10.</w:t>
            </w:r>
          </w:p>
        </w:tc>
        <w:tc>
          <w:tcPr>
            <w:tcW w:w="8840" w:type="dxa"/>
            <w:vAlign w:val="bottom"/>
          </w:tcPr>
          <w:p>
            <w:pPr>
              <w:ind w:left="180"/>
              <w:spacing w:after="0"/>
              <w:rPr>
                <w:sz w:val="20"/>
                <w:szCs w:val="20"/>
                <w:color w:val="auto"/>
              </w:rPr>
            </w:pPr>
            <w:r>
              <w:rPr>
                <w:rFonts w:ascii="Arial" w:cs="Arial" w:eastAsia="Arial" w:hAnsi="Arial"/>
                <w:sz w:val="22"/>
                <w:szCs w:val="22"/>
                <w:color w:val="auto"/>
              </w:rPr>
              <w:t>Treasury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12</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2.11.</w:t>
            </w:r>
          </w:p>
        </w:tc>
        <w:tc>
          <w:tcPr>
            <w:tcW w:w="8840" w:type="dxa"/>
            <w:vAlign w:val="bottom"/>
          </w:tcPr>
          <w:p>
            <w:pPr>
              <w:ind w:left="180"/>
              <w:spacing w:after="0"/>
              <w:rPr>
                <w:sz w:val="20"/>
                <w:szCs w:val="20"/>
                <w:color w:val="auto"/>
              </w:rPr>
            </w:pPr>
            <w:r>
              <w:rPr>
                <w:rFonts w:ascii="Arial" w:cs="Arial" w:eastAsia="Arial" w:hAnsi="Arial"/>
                <w:sz w:val="22"/>
                <w:szCs w:val="22"/>
                <w:color w:val="auto"/>
              </w:rPr>
              <w:t>Temporary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12</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2.12.</w:t>
            </w:r>
          </w:p>
        </w:tc>
        <w:tc>
          <w:tcPr>
            <w:tcW w:w="8840" w:type="dxa"/>
            <w:vAlign w:val="bottom"/>
          </w:tcPr>
          <w:p>
            <w:pPr>
              <w:ind w:left="180"/>
              <w:spacing w:after="0"/>
              <w:rPr>
                <w:sz w:val="20"/>
                <w:szCs w:val="20"/>
                <w:color w:val="auto"/>
              </w:rPr>
            </w:pPr>
            <w:r>
              <w:rPr>
                <w:rFonts w:ascii="Arial" w:cs="Arial" w:eastAsia="Arial" w:hAnsi="Arial"/>
                <w:sz w:val="22"/>
                <w:szCs w:val="22"/>
                <w:color w:val="auto"/>
              </w:rPr>
              <w:t>Cancellation.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13</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2.13.</w:t>
            </w:r>
          </w:p>
        </w:tc>
        <w:tc>
          <w:tcPr>
            <w:tcW w:w="8840" w:type="dxa"/>
            <w:vAlign w:val="bottom"/>
          </w:tcPr>
          <w:p>
            <w:pPr>
              <w:ind w:left="180"/>
              <w:spacing w:after="0"/>
              <w:rPr>
                <w:sz w:val="20"/>
                <w:szCs w:val="20"/>
                <w:color w:val="auto"/>
              </w:rPr>
            </w:pPr>
            <w:r>
              <w:rPr>
                <w:rFonts w:ascii="Arial" w:cs="Arial" w:eastAsia="Arial" w:hAnsi="Arial"/>
                <w:sz w:val="22"/>
                <w:szCs w:val="22"/>
                <w:color w:val="auto"/>
              </w:rPr>
              <w:t>Defaulted Interest.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13</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2.14.</w:t>
            </w:r>
          </w:p>
        </w:tc>
        <w:tc>
          <w:tcPr>
            <w:tcW w:w="8840" w:type="dxa"/>
            <w:vAlign w:val="bottom"/>
          </w:tcPr>
          <w:p>
            <w:pPr>
              <w:ind w:left="180"/>
              <w:spacing w:after="0"/>
              <w:rPr>
                <w:sz w:val="20"/>
                <w:szCs w:val="20"/>
                <w:color w:val="auto"/>
              </w:rPr>
            </w:pPr>
            <w:r>
              <w:rPr>
                <w:rFonts w:ascii="Arial" w:cs="Arial" w:eastAsia="Arial" w:hAnsi="Arial"/>
                <w:sz w:val="22"/>
                <w:szCs w:val="22"/>
                <w:color w:val="auto"/>
              </w:rPr>
              <w:t>Global Securities.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13</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2.15.</w:t>
            </w:r>
          </w:p>
        </w:tc>
        <w:tc>
          <w:tcPr>
            <w:tcW w:w="8840" w:type="dxa"/>
            <w:vAlign w:val="bottom"/>
          </w:tcPr>
          <w:p>
            <w:pPr>
              <w:ind w:left="180"/>
              <w:spacing w:after="0"/>
              <w:rPr>
                <w:sz w:val="20"/>
                <w:szCs w:val="20"/>
                <w:color w:val="auto"/>
              </w:rPr>
            </w:pPr>
            <w:r>
              <w:rPr>
                <w:rFonts w:ascii="Arial" w:cs="Arial" w:eastAsia="Arial" w:hAnsi="Arial"/>
                <w:sz w:val="22"/>
                <w:szCs w:val="22"/>
                <w:color w:val="auto"/>
              </w:rPr>
              <w:t>CUSIP Numbers.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37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III. REDEMPTION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324"/>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3.1.   Notice to Trustee.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3.2.   Selection of Securities to be Redeemed.</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3.3.   Notice of Redemption.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16</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3.4.   Effect of Notice of Redemption.</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11"/>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3.5.   Deposit of Redemption Price.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3.6.   Securities Redeemed in Part.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7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IV. COVENANTS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24"/>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4.1.   Payment of Principal and Interest.</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4.2.</w:t>
            </w:r>
          </w:p>
        </w:tc>
        <w:tc>
          <w:tcPr>
            <w:tcW w:w="8840" w:type="dxa"/>
            <w:vAlign w:val="bottom"/>
          </w:tcPr>
          <w:p>
            <w:pPr>
              <w:ind w:left="80"/>
              <w:spacing w:after="0"/>
              <w:rPr>
                <w:sz w:val="20"/>
                <w:szCs w:val="20"/>
                <w:color w:val="auto"/>
              </w:rPr>
            </w:pPr>
            <w:r>
              <w:rPr>
                <w:rFonts w:ascii="Arial" w:cs="Arial" w:eastAsia="Arial" w:hAnsi="Arial"/>
                <w:sz w:val="22"/>
                <w:szCs w:val="22"/>
                <w:color w:val="auto"/>
              </w:rPr>
              <w:t>SEC Reports.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17</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4.3.</w:t>
            </w:r>
          </w:p>
        </w:tc>
        <w:tc>
          <w:tcPr>
            <w:tcW w:w="8840" w:type="dxa"/>
            <w:vAlign w:val="bottom"/>
          </w:tcPr>
          <w:p>
            <w:pPr>
              <w:ind w:left="80"/>
              <w:spacing w:after="0"/>
              <w:rPr>
                <w:sz w:val="20"/>
                <w:szCs w:val="20"/>
                <w:color w:val="auto"/>
              </w:rPr>
            </w:pPr>
            <w:r>
              <w:rPr>
                <w:rFonts w:ascii="Arial" w:cs="Arial" w:eastAsia="Arial" w:hAnsi="Arial"/>
                <w:sz w:val="22"/>
                <w:szCs w:val="22"/>
                <w:color w:val="auto"/>
              </w:rPr>
              <w:t>Compliance Certificate.</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311"/>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4.4.   Stay, Extension and Usury Laws.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37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V. SUCCESSORS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324"/>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5.1.   When Company May Merge, Etc.</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310"/>
        </w:trPr>
        <w:tc>
          <w:tcPr>
            <w:tcW w:w="10500" w:type="dxa"/>
            <w:vAlign w:val="bottom"/>
            <w:gridSpan w:val="2"/>
          </w:tcPr>
          <w:p>
            <w:pPr>
              <w:ind w:left="440"/>
              <w:spacing w:after="0"/>
              <w:rPr>
                <w:sz w:val="20"/>
                <w:szCs w:val="20"/>
                <w:color w:val="auto"/>
              </w:rPr>
            </w:pPr>
            <w:r>
              <w:rPr>
                <w:rFonts w:ascii="Arial" w:cs="Arial" w:eastAsia="Arial" w:hAnsi="Arial"/>
                <w:sz w:val="22"/>
                <w:szCs w:val="22"/>
                <w:color w:val="auto"/>
              </w:rPr>
              <w:t>Section 5.2.   Successor Corporation Substituted.</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19</w:t>
            </w:r>
          </w:p>
        </w:tc>
      </w:tr>
      <w:tr>
        <w:trPr>
          <w:trHeight w:val="378"/>
        </w:trPr>
        <w:tc>
          <w:tcPr>
            <w:tcW w:w="10500" w:type="dxa"/>
            <w:vAlign w:val="bottom"/>
            <w:gridSpan w:val="2"/>
          </w:tcPr>
          <w:p>
            <w:pPr>
              <w:spacing w:after="0"/>
              <w:rPr>
                <w:sz w:val="20"/>
                <w:szCs w:val="20"/>
                <w:color w:val="auto"/>
              </w:rPr>
            </w:pPr>
            <w:r>
              <w:rPr>
                <w:rFonts w:ascii="Arial" w:cs="Arial" w:eastAsia="Arial" w:hAnsi="Arial"/>
                <w:sz w:val="22"/>
                <w:szCs w:val="22"/>
                <w:color w:val="auto"/>
              </w:rPr>
              <w:t>ARTICLE VI. DEFAULTS AND REMEDIES</w:t>
            </w:r>
          </w:p>
        </w:tc>
        <w:tc>
          <w:tcPr>
            <w:tcW w:w="420" w:type="dxa"/>
            <w:vAlign w:val="bottom"/>
          </w:tcPr>
          <w:p>
            <w:pPr>
              <w:jc w:val="center"/>
              <w:spacing w:after="0"/>
              <w:rPr>
                <w:sz w:val="20"/>
                <w:szCs w:val="20"/>
                <w:color w:val="auto"/>
              </w:rPr>
            </w:pPr>
            <w:r>
              <w:rPr>
                <w:rFonts w:ascii="Arial" w:cs="Arial" w:eastAsia="Arial" w:hAnsi="Arial"/>
                <w:sz w:val="20"/>
                <w:szCs w:val="20"/>
                <w:color w:val="auto"/>
                <w:w w:val="89"/>
              </w:rPr>
              <w:t>19</w:t>
            </w:r>
          </w:p>
        </w:tc>
      </w:tr>
    </w:tbl>
    <w:p>
      <w:pPr>
        <w:spacing w:after="0" w:line="200" w:lineRule="exact"/>
        <w:rPr>
          <w:sz w:val="20"/>
          <w:szCs w:val="20"/>
          <w:color w:val="auto"/>
        </w:rPr>
      </w:pPr>
    </w:p>
    <w:p>
      <w:pPr>
        <w:sectPr>
          <w:pgSz w:w="11900" w:h="16838" w:orient="portrait"/>
          <w:cols w:equalWidth="0" w:num="1">
            <w:col w:w="10920"/>
          </w:cols>
          <w:pgMar w:left="340" w:top="1422" w:right="639"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920"/>
          </w:cols>
          <w:pgMar w:left="340" w:top="1422" w:right="639" w:bottom="939" w:gutter="0" w:footer="0" w:header="0"/>
          <w:type w:val="continuous"/>
        </w:sectPr>
      </w:pPr>
    </w:p>
    <w:bookmarkStart w:id="61" w:name="page62"/>
    <w:bookmarkEnd w:id="61"/>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   Events of Default.</w:t>
            </w:r>
          </w:p>
        </w:tc>
        <w:tc>
          <w:tcPr>
            <w:tcW w:w="18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6.2.   Acceleration of Maturity; Rescission and Annulment.</w:t>
            </w:r>
          </w:p>
        </w:tc>
        <w:tc>
          <w:tcPr>
            <w:tcW w:w="1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6.3.   Collection of Indebtedness and Suits for Enforcement by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6.4.   Trustee May File Proofs of Claim.</w:t>
            </w:r>
          </w:p>
        </w:tc>
        <w:tc>
          <w:tcPr>
            <w:tcW w:w="1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6.5.   Trustee May Enforce Claims Without Possession of Securities.</w:t>
            </w:r>
          </w:p>
        </w:tc>
        <w:tc>
          <w:tcPr>
            <w:tcW w:w="1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6.6.   Application of Money Collected.</w:t>
            </w:r>
          </w:p>
        </w:tc>
        <w:tc>
          <w:tcPr>
            <w:tcW w:w="1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6.7.   Limitation on Suits.</w:t>
            </w:r>
          </w:p>
        </w:tc>
        <w:tc>
          <w:tcPr>
            <w:tcW w:w="1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6.8.   Unconditional Right of Holders to Receive Principal and Interest.</w:t>
            </w:r>
          </w:p>
        </w:tc>
        <w:tc>
          <w:tcPr>
            <w:tcW w:w="18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6.9.   Restoration of Rights and Remedies.</w:t>
            </w:r>
          </w:p>
        </w:tc>
        <w:tc>
          <w:tcPr>
            <w:tcW w:w="18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6.10.   Rights and Remedies Cumulative.</w:t>
            </w:r>
          </w:p>
        </w:tc>
        <w:tc>
          <w:tcPr>
            <w:tcW w:w="18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6.11.   Delay or Omission Not Waiver.</w:t>
            </w:r>
          </w:p>
        </w:tc>
        <w:tc>
          <w:tcPr>
            <w:tcW w:w="18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6.12.   Control by Holders.</w:t>
            </w:r>
          </w:p>
        </w:tc>
        <w:tc>
          <w:tcPr>
            <w:tcW w:w="18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6.13.   Waiver of Past Defaults.</w:t>
            </w:r>
          </w:p>
        </w:tc>
        <w:tc>
          <w:tcPr>
            <w:tcW w:w="18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6.14.   Undertaking for Costs.</w:t>
            </w:r>
          </w:p>
        </w:tc>
        <w:tc>
          <w:tcPr>
            <w:tcW w:w="1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78"/>
        </w:trPr>
        <w:tc>
          <w:tcPr>
            <w:tcW w:w="9000" w:type="dxa"/>
            <w:vAlign w:val="bottom"/>
            <w:gridSpan w:val="2"/>
          </w:tcPr>
          <w:p>
            <w:pPr>
              <w:spacing w:after="0"/>
              <w:rPr>
                <w:sz w:val="20"/>
                <w:szCs w:val="20"/>
                <w:color w:val="auto"/>
              </w:rPr>
            </w:pPr>
            <w:r>
              <w:rPr>
                <w:rFonts w:ascii="Arial" w:cs="Arial" w:eastAsia="Arial" w:hAnsi="Arial"/>
                <w:sz w:val="22"/>
                <w:szCs w:val="22"/>
                <w:color w:val="auto"/>
              </w:rPr>
              <w:t>ARTICLE VII.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24"/>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7.1.   Duties of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7.2.   Rights of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7.3.   Individual Rights of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7.4.</w:t>
            </w:r>
          </w:p>
        </w:tc>
        <w:tc>
          <w:tcPr>
            <w:tcW w:w="7340" w:type="dxa"/>
            <w:vAlign w:val="bottom"/>
          </w:tcPr>
          <w:p>
            <w:pPr>
              <w:ind w:left="80"/>
              <w:spacing w:after="0"/>
              <w:rPr>
                <w:sz w:val="20"/>
                <w:szCs w:val="20"/>
                <w:color w:val="auto"/>
              </w:rPr>
            </w:pPr>
            <w:r>
              <w:rPr>
                <w:rFonts w:ascii="Arial" w:cs="Arial" w:eastAsia="Arial" w:hAnsi="Arial"/>
                <w:sz w:val="22"/>
                <w:szCs w:val="22"/>
                <w:color w:val="auto"/>
              </w:rPr>
              <w:t>Trustee’s Disclaimer.</w:t>
            </w:r>
          </w:p>
        </w:tc>
        <w:tc>
          <w:tcPr>
            <w:tcW w:w="1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1"/>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7.5.   Notice of Defaults.</w:t>
            </w:r>
          </w:p>
        </w:tc>
        <w:tc>
          <w:tcPr>
            <w:tcW w:w="1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7.6.   Reports by Trustee to Holders.</w:t>
            </w:r>
          </w:p>
        </w:tc>
        <w:tc>
          <w:tcPr>
            <w:tcW w:w="1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7.7.   Compensation and Indemnity.</w:t>
            </w:r>
          </w:p>
        </w:tc>
        <w:tc>
          <w:tcPr>
            <w:tcW w:w="1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7.8.   Replacement of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7.9.   Successor Trustee by Merger, Etc.</w:t>
            </w:r>
          </w:p>
        </w:tc>
        <w:tc>
          <w:tcPr>
            <w:tcW w:w="18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w w:val="93"/>
              </w:rPr>
              <w:t>Section 7.10.</w:t>
            </w:r>
          </w:p>
        </w:tc>
        <w:tc>
          <w:tcPr>
            <w:tcW w:w="7340" w:type="dxa"/>
            <w:vAlign w:val="bottom"/>
          </w:tcPr>
          <w:p>
            <w:pPr>
              <w:ind w:left="180"/>
              <w:spacing w:after="0"/>
              <w:rPr>
                <w:sz w:val="20"/>
                <w:szCs w:val="20"/>
                <w:color w:val="auto"/>
              </w:rPr>
            </w:pPr>
            <w:r>
              <w:rPr>
                <w:rFonts w:ascii="Arial" w:cs="Arial" w:eastAsia="Arial" w:hAnsi="Arial"/>
                <w:sz w:val="22"/>
                <w:szCs w:val="22"/>
                <w:color w:val="auto"/>
              </w:rPr>
              <w:t>Eligibility; Disqualification.</w:t>
            </w:r>
          </w:p>
        </w:tc>
        <w:tc>
          <w:tcPr>
            <w:tcW w:w="18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7.11.   Preferential Collection of Claims Against Company.</w:t>
            </w:r>
          </w:p>
        </w:tc>
        <w:tc>
          <w:tcPr>
            <w:tcW w:w="18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78"/>
        </w:trPr>
        <w:tc>
          <w:tcPr>
            <w:tcW w:w="9000" w:type="dxa"/>
            <w:vAlign w:val="bottom"/>
            <w:gridSpan w:val="2"/>
          </w:tcPr>
          <w:p>
            <w:pPr>
              <w:spacing w:after="0"/>
              <w:rPr>
                <w:sz w:val="20"/>
                <w:szCs w:val="20"/>
                <w:color w:val="auto"/>
              </w:rPr>
            </w:pPr>
            <w:r>
              <w:rPr>
                <w:rFonts w:ascii="Arial" w:cs="Arial" w:eastAsia="Arial" w:hAnsi="Arial"/>
                <w:sz w:val="22"/>
                <w:szCs w:val="22"/>
                <w:color w:val="auto"/>
              </w:rPr>
              <w:t>ARTICLE VIII. SATISFACTION AND DISCHARGE; DEFEASANCE</w:t>
            </w:r>
          </w:p>
        </w:tc>
        <w:tc>
          <w:tcPr>
            <w:tcW w:w="1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24"/>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8.1.   Satisfaction and Discharge of Indenture.</w:t>
            </w:r>
          </w:p>
        </w:tc>
        <w:tc>
          <w:tcPr>
            <w:tcW w:w="1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8.2.   Application of Trust Funds; Indemnification.</w:t>
            </w:r>
          </w:p>
        </w:tc>
        <w:tc>
          <w:tcPr>
            <w:tcW w:w="1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8.3.   Legal Defeasance of Securities of any Series.</w:t>
            </w:r>
          </w:p>
        </w:tc>
        <w:tc>
          <w:tcPr>
            <w:tcW w:w="1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11"/>
        </w:trPr>
        <w:tc>
          <w:tcPr>
            <w:tcW w:w="1660" w:type="dxa"/>
            <w:vAlign w:val="bottom"/>
          </w:tcPr>
          <w:p>
            <w:pPr>
              <w:ind w:left="440"/>
              <w:spacing w:after="0"/>
              <w:rPr>
                <w:sz w:val="20"/>
                <w:szCs w:val="20"/>
                <w:color w:val="auto"/>
              </w:rPr>
            </w:pPr>
            <w:r>
              <w:rPr>
                <w:rFonts w:ascii="Arial" w:cs="Arial" w:eastAsia="Arial" w:hAnsi="Arial"/>
                <w:sz w:val="22"/>
                <w:szCs w:val="22"/>
                <w:color w:val="auto"/>
              </w:rPr>
              <w:t>Section 8.4.</w:t>
            </w:r>
          </w:p>
        </w:tc>
        <w:tc>
          <w:tcPr>
            <w:tcW w:w="7340" w:type="dxa"/>
            <w:vAlign w:val="bottom"/>
          </w:tcPr>
          <w:p>
            <w:pPr>
              <w:ind w:left="80"/>
              <w:spacing w:after="0"/>
              <w:rPr>
                <w:sz w:val="20"/>
                <w:szCs w:val="20"/>
                <w:color w:val="auto"/>
              </w:rPr>
            </w:pPr>
            <w:r>
              <w:rPr>
                <w:rFonts w:ascii="Arial" w:cs="Arial" w:eastAsia="Arial" w:hAnsi="Arial"/>
                <w:sz w:val="22"/>
                <w:szCs w:val="22"/>
                <w:color w:val="auto"/>
              </w:rPr>
              <w:t>Covenant Defeasance.</w:t>
            </w:r>
          </w:p>
        </w:tc>
        <w:tc>
          <w:tcPr>
            <w:tcW w:w="1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8.5.   Repayment to Company.</w:t>
            </w:r>
          </w:p>
        </w:tc>
        <w:tc>
          <w:tcPr>
            <w:tcW w:w="1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10"/>
        </w:trPr>
        <w:tc>
          <w:tcPr>
            <w:tcW w:w="1660" w:type="dxa"/>
            <w:vAlign w:val="bottom"/>
          </w:tcPr>
          <w:p>
            <w:pPr>
              <w:ind w:left="440"/>
              <w:spacing w:after="0"/>
              <w:rPr>
                <w:sz w:val="20"/>
                <w:szCs w:val="20"/>
                <w:color w:val="auto"/>
              </w:rPr>
            </w:pPr>
            <w:r>
              <w:rPr>
                <w:rFonts w:ascii="Arial" w:cs="Arial" w:eastAsia="Arial" w:hAnsi="Arial"/>
                <w:sz w:val="22"/>
                <w:szCs w:val="22"/>
                <w:color w:val="auto"/>
              </w:rPr>
              <w:t>Section 8.6.</w:t>
            </w:r>
          </w:p>
        </w:tc>
        <w:tc>
          <w:tcPr>
            <w:tcW w:w="7340" w:type="dxa"/>
            <w:vAlign w:val="bottom"/>
          </w:tcPr>
          <w:p>
            <w:pPr>
              <w:ind w:left="80"/>
              <w:spacing w:after="0"/>
              <w:rPr>
                <w:sz w:val="20"/>
                <w:szCs w:val="20"/>
                <w:color w:val="auto"/>
              </w:rPr>
            </w:pPr>
            <w:r>
              <w:rPr>
                <w:rFonts w:ascii="Arial" w:cs="Arial" w:eastAsia="Arial" w:hAnsi="Arial"/>
                <w:sz w:val="22"/>
                <w:szCs w:val="22"/>
                <w:color w:val="auto"/>
              </w:rPr>
              <w:t>Reinstatement.</w:t>
            </w:r>
          </w:p>
        </w:tc>
        <w:tc>
          <w:tcPr>
            <w:tcW w:w="1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78"/>
        </w:trPr>
        <w:tc>
          <w:tcPr>
            <w:tcW w:w="9000" w:type="dxa"/>
            <w:vAlign w:val="bottom"/>
            <w:gridSpan w:val="2"/>
          </w:tcPr>
          <w:p>
            <w:pPr>
              <w:spacing w:after="0"/>
              <w:rPr>
                <w:sz w:val="20"/>
                <w:szCs w:val="20"/>
                <w:color w:val="auto"/>
              </w:rPr>
            </w:pPr>
            <w:r>
              <w:rPr>
                <w:rFonts w:ascii="Arial" w:cs="Arial" w:eastAsia="Arial" w:hAnsi="Arial"/>
                <w:sz w:val="22"/>
                <w:szCs w:val="22"/>
                <w:color w:val="auto"/>
              </w:rPr>
              <w:t>ARTICLE IX. AMENDMENTS AND WAIVERS</w:t>
            </w: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24"/>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9.1.   Without Consent of Holders.</w:t>
            </w: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9.2.   With Consent of Holders.</w:t>
            </w: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11"/>
        </w:trPr>
        <w:tc>
          <w:tcPr>
            <w:tcW w:w="1660" w:type="dxa"/>
            <w:vAlign w:val="bottom"/>
          </w:tcPr>
          <w:p>
            <w:pPr>
              <w:ind w:left="440"/>
              <w:spacing w:after="0"/>
              <w:rPr>
                <w:sz w:val="20"/>
                <w:szCs w:val="20"/>
                <w:color w:val="auto"/>
              </w:rPr>
            </w:pPr>
            <w:r>
              <w:rPr>
                <w:rFonts w:ascii="Arial" w:cs="Arial" w:eastAsia="Arial" w:hAnsi="Arial"/>
                <w:sz w:val="22"/>
                <w:szCs w:val="22"/>
                <w:color w:val="auto"/>
              </w:rPr>
              <w:t>Section 9.3.</w:t>
            </w:r>
          </w:p>
        </w:tc>
        <w:tc>
          <w:tcPr>
            <w:tcW w:w="7340" w:type="dxa"/>
            <w:vAlign w:val="bottom"/>
          </w:tcPr>
          <w:p>
            <w:pPr>
              <w:ind w:left="80"/>
              <w:spacing w:after="0"/>
              <w:rPr>
                <w:sz w:val="20"/>
                <w:szCs w:val="20"/>
                <w:color w:val="auto"/>
              </w:rPr>
            </w:pPr>
            <w:r>
              <w:rPr>
                <w:rFonts w:ascii="Arial" w:cs="Arial" w:eastAsia="Arial" w:hAnsi="Arial"/>
                <w:sz w:val="22"/>
                <w:szCs w:val="22"/>
                <w:color w:val="auto"/>
              </w:rPr>
              <w:t>Limitations.</w:t>
            </w: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9.4.   Compliance with Trust Indenture Act.</w:t>
            </w:r>
          </w:p>
        </w:tc>
        <w:tc>
          <w:tcPr>
            <w:tcW w:w="18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9.5.   Revocation and Effect of Consents.</w:t>
            </w:r>
          </w:p>
        </w:tc>
        <w:tc>
          <w:tcPr>
            <w:tcW w:w="18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10"/>
        </w:trPr>
        <w:tc>
          <w:tcPr>
            <w:tcW w:w="9000" w:type="dxa"/>
            <w:vAlign w:val="bottom"/>
            <w:gridSpan w:val="2"/>
          </w:tcPr>
          <w:p>
            <w:pPr>
              <w:ind w:left="440"/>
              <w:spacing w:after="0"/>
              <w:rPr>
                <w:sz w:val="20"/>
                <w:szCs w:val="20"/>
                <w:color w:val="auto"/>
              </w:rPr>
            </w:pPr>
            <w:r>
              <w:rPr>
                <w:rFonts w:ascii="Arial" w:cs="Arial" w:eastAsia="Arial" w:hAnsi="Arial"/>
                <w:sz w:val="22"/>
                <w:szCs w:val="22"/>
                <w:color w:val="auto"/>
              </w:rPr>
              <w:t>Section 9.6.   Notation on or Exchange of Securities.</w:t>
            </w:r>
          </w:p>
        </w:tc>
        <w:tc>
          <w:tcPr>
            <w:tcW w:w="180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200" w:lineRule="exact"/>
        <w:rPr>
          <w:sz w:val="20"/>
          <w:szCs w:val="20"/>
          <w:color w:val="auto"/>
        </w:rPr>
      </w:pPr>
    </w:p>
    <w:p>
      <w:pPr>
        <w:sectPr>
          <w:pgSz w:w="11900" w:h="16838" w:orient="portrait"/>
          <w:cols w:equalWidth="0" w:num="1">
            <w:col w:w="10800"/>
          </w:cols>
          <w:pgMar w:left="340" w:top="1440" w:right="75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00"/>
          </w:cols>
          <w:pgMar w:left="340" w:top="1440" w:right="759" w:bottom="1010" w:gutter="0" w:footer="0" w:header="0"/>
          <w:type w:val="continuous"/>
        </w:sectPr>
      </w:pPr>
    </w:p>
    <w:bookmarkStart w:id="62" w:name="page63"/>
    <w:bookmarkEnd w:id="6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tcPr>
          <w:p>
            <w:pPr>
              <w:ind w:left="440"/>
              <w:spacing w:after="0"/>
              <w:rPr>
                <w:sz w:val="20"/>
                <w:szCs w:val="20"/>
                <w:color w:val="auto"/>
              </w:rPr>
            </w:pPr>
            <w:r>
              <w:rPr>
                <w:rFonts w:ascii="Arial" w:cs="Arial" w:eastAsia="Arial" w:hAnsi="Arial"/>
                <w:sz w:val="22"/>
                <w:szCs w:val="22"/>
                <w:color w:val="auto"/>
              </w:rPr>
              <w:t>Section 9.7.</w:t>
            </w:r>
          </w:p>
        </w:tc>
        <w:tc>
          <w:tcPr>
            <w:tcW w:w="7280" w:type="dxa"/>
            <w:vAlign w:val="bottom"/>
          </w:tcPr>
          <w:p>
            <w:pPr>
              <w:ind w:left="40"/>
              <w:spacing w:after="0"/>
              <w:rPr>
                <w:sz w:val="20"/>
                <w:szCs w:val="20"/>
                <w:color w:val="auto"/>
              </w:rPr>
            </w:pPr>
            <w:r>
              <w:rPr>
                <w:rFonts w:ascii="Arial" w:cs="Arial" w:eastAsia="Arial" w:hAnsi="Arial"/>
                <w:sz w:val="22"/>
                <w:szCs w:val="22"/>
                <w:color w:val="auto"/>
              </w:rPr>
              <w:t>Trustee Protected.</w:t>
            </w:r>
          </w:p>
        </w:tc>
        <w:tc>
          <w:tcPr>
            <w:tcW w:w="1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78"/>
        </w:trPr>
        <w:tc>
          <w:tcPr>
            <w:tcW w:w="8980" w:type="dxa"/>
            <w:vAlign w:val="bottom"/>
            <w:gridSpan w:val="2"/>
          </w:tcPr>
          <w:p>
            <w:pPr>
              <w:spacing w:after="0"/>
              <w:rPr>
                <w:sz w:val="20"/>
                <w:szCs w:val="20"/>
                <w:color w:val="auto"/>
              </w:rPr>
            </w:pPr>
            <w:r>
              <w:rPr>
                <w:rFonts w:ascii="Arial" w:cs="Arial" w:eastAsia="Arial" w:hAnsi="Arial"/>
                <w:sz w:val="22"/>
                <w:szCs w:val="22"/>
                <w:color w:val="auto"/>
              </w:rPr>
              <w:t>ARTICLE X. MISCELLANEOUS</w:t>
            </w:r>
          </w:p>
        </w:tc>
        <w:tc>
          <w:tcPr>
            <w:tcW w:w="18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24"/>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   Trust Indenture Act Controls.</w:t>
            </w:r>
          </w:p>
        </w:tc>
        <w:tc>
          <w:tcPr>
            <w:tcW w:w="18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11"/>
        </w:trPr>
        <w:tc>
          <w:tcPr>
            <w:tcW w:w="1700" w:type="dxa"/>
            <w:vAlign w:val="bottom"/>
          </w:tcPr>
          <w:p>
            <w:pPr>
              <w:ind w:left="440"/>
              <w:spacing w:after="0"/>
              <w:rPr>
                <w:sz w:val="20"/>
                <w:szCs w:val="20"/>
                <w:color w:val="auto"/>
              </w:rPr>
            </w:pPr>
            <w:r>
              <w:rPr>
                <w:rFonts w:ascii="Arial" w:cs="Arial" w:eastAsia="Arial" w:hAnsi="Arial"/>
                <w:sz w:val="22"/>
                <w:szCs w:val="22"/>
                <w:color w:val="auto"/>
                <w:w w:val="96"/>
              </w:rPr>
              <w:t>Section 10.2.</w:t>
            </w:r>
          </w:p>
        </w:tc>
        <w:tc>
          <w:tcPr>
            <w:tcW w:w="7280" w:type="dxa"/>
            <w:vAlign w:val="bottom"/>
          </w:tcPr>
          <w:p>
            <w:pPr>
              <w:ind w:left="140"/>
              <w:spacing w:after="0"/>
              <w:rPr>
                <w:sz w:val="20"/>
                <w:szCs w:val="20"/>
                <w:color w:val="auto"/>
              </w:rPr>
            </w:pPr>
            <w:r>
              <w:rPr>
                <w:rFonts w:ascii="Arial" w:cs="Arial" w:eastAsia="Arial" w:hAnsi="Arial"/>
                <w:sz w:val="22"/>
                <w:szCs w:val="22"/>
                <w:color w:val="auto"/>
              </w:rPr>
              <w:t>Notices.</w:t>
            </w:r>
          </w:p>
        </w:tc>
        <w:tc>
          <w:tcPr>
            <w:tcW w:w="18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10.3.   Communication by Holders with Other Holders.</w:t>
            </w:r>
          </w:p>
        </w:tc>
        <w:tc>
          <w:tcPr>
            <w:tcW w:w="18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1"/>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10.4.   Certificate and Opinion as to Conditions Precedent.</w:t>
            </w:r>
          </w:p>
        </w:tc>
        <w:tc>
          <w:tcPr>
            <w:tcW w:w="18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10.5.   Statements Required in Certificate or Opinion.</w:t>
            </w:r>
          </w:p>
        </w:tc>
        <w:tc>
          <w:tcPr>
            <w:tcW w:w="18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1"/>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10.6.   Rules by Trustee and Agents.</w:t>
            </w:r>
          </w:p>
        </w:tc>
        <w:tc>
          <w:tcPr>
            <w:tcW w:w="18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1"/>
        </w:trPr>
        <w:tc>
          <w:tcPr>
            <w:tcW w:w="1700" w:type="dxa"/>
            <w:vAlign w:val="bottom"/>
          </w:tcPr>
          <w:p>
            <w:pPr>
              <w:ind w:left="440"/>
              <w:spacing w:after="0"/>
              <w:rPr>
                <w:sz w:val="20"/>
                <w:szCs w:val="20"/>
                <w:color w:val="auto"/>
              </w:rPr>
            </w:pPr>
            <w:r>
              <w:rPr>
                <w:rFonts w:ascii="Arial" w:cs="Arial" w:eastAsia="Arial" w:hAnsi="Arial"/>
                <w:sz w:val="22"/>
                <w:szCs w:val="22"/>
                <w:color w:val="auto"/>
                <w:w w:val="96"/>
              </w:rPr>
              <w:t>Section 10.7.</w:t>
            </w:r>
          </w:p>
        </w:tc>
        <w:tc>
          <w:tcPr>
            <w:tcW w:w="7280" w:type="dxa"/>
            <w:vAlign w:val="bottom"/>
          </w:tcPr>
          <w:p>
            <w:pPr>
              <w:ind w:left="140"/>
              <w:spacing w:after="0"/>
              <w:rPr>
                <w:sz w:val="20"/>
                <w:szCs w:val="20"/>
                <w:color w:val="auto"/>
              </w:rPr>
            </w:pPr>
            <w:r>
              <w:rPr>
                <w:rFonts w:ascii="Arial" w:cs="Arial" w:eastAsia="Arial" w:hAnsi="Arial"/>
                <w:sz w:val="22"/>
                <w:szCs w:val="22"/>
                <w:color w:val="auto"/>
              </w:rPr>
              <w:t>Legal Holidays.</w:t>
            </w:r>
          </w:p>
        </w:tc>
        <w:tc>
          <w:tcPr>
            <w:tcW w:w="18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10.8.   No Recourse Against Others.</w:t>
            </w:r>
          </w:p>
        </w:tc>
        <w:tc>
          <w:tcPr>
            <w:tcW w:w="18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1"/>
        </w:trPr>
        <w:tc>
          <w:tcPr>
            <w:tcW w:w="1700" w:type="dxa"/>
            <w:vAlign w:val="bottom"/>
          </w:tcPr>
          <w:p>
            <w:pPr>
              <w:ind w:left="440"/>
              <w:spacing w:after="0"/>
              <w:rPr>
                <w:sz w:val="20"/>
                <w:szCs w:val="20"/>
                <w:color w:val="auto"/>
              </w:rPr>
            </w:pPr>
            <w:r>
              <w:rPr>
                <w:rFonts w:ascii="Arial" w:cs="Arial" w:eastAsia="Arial" w:hAnsi="Arial"/>
                <w:sz w:val="22"/>
                <w:szCs w:val="22"/>
                <w:color w:val="auto"/>
                <w:w w:val="96"/>
              </w:rPr>
              <w:t>Section 10.9.</w:t>
            </w:r>
          </w:p>
        </w:tc>
        <w:tc>
          <w:tcPr>
            <w:tcW w:w="728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18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10.10.   Governing Law; Waiver of Jury Trial; Consent to Jurisdiction.</w:t>
            </w:r>
          </w:p>
        </w:tc>
        <w:tc>
          <w:tcPr>
            <w:tcW w:w="18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1"/>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10.11.   No Adverse Interpretation of Other Agreements.</w:t>
            </w:r>
          </w:p>
        </w:tc>
        <w:tc>
          <w:tcPr>
            <w:tcW w:w="18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0"/>
        </w:trPr>
        <w:tc>
          <w:tcPr>
            <w:tcW w:w="1700" w:type="dxa"/>
            <w:vAlign w:val="bottom"/>
          </w:tcPr>
          <w:p>
            <w:pPr>
              <w:ind w:left="440"/>
              <w:spacing w:after="0"/>
              <w:rPr>
                <w:sz w:val="20"/>
                <w:szCs w:val="20"/>
                <w:color w:val="auto"/>
              </w:rPr>
            </w:pPr>
            <w:r>
              <w:rPr>
                <w:rFonts w:ascii="Arial" w:cs="Arial" w:eastAsia="Arial" w:hAnsi="Arial"/>
                <w:sz w:val="22"/>
                <w:szCs w:val="22"/>
                <w:color w:val="auto"/>
                <w:w w:val="88"/>
              </w:rPr>
              <w:t>Section 10.12.</w:t>
            </w:r>
          </w:p>
        </w:tc>
        <w:tc>
          <w:tcPr>
            <w:tcW w:w="7280" w:type="dxa"/>
            <w:vAlign w:val="bottom"/>
          </w:tcPr>
          <w:p>
            <w:pPr>
              <w:ind w:left="260"/>
              <w:spacing w:after="0"/>
              <w:rPr>
                <w:sz w:val="20"/>
                <w:szCs w:val="20"/>
                <w:color w:val="auto"/>
              </w:rPr>
            </w:pPr>
            <w:r>
              <w:rPr>
                <w:rFonts w:ascii="Arial" w:cs="Arial" w:eastAsia="Arial" w:hAnsi="Arial"/>
                <w:sz w:val="22"/>
                <w:szCs w:val="22"/>
                <w:color w:val="auto"/>
              </w:rPr>
              <w:t>Successors.</w:t>
            </w:r>
          </w:p>
        </w:tc>
        <w:tc>
          <w:tcPr>
            <w:tcW w:w="18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1"/>
        </w:trPr>
        <w:tc>
          <w:tcPr>
            <w:tcW w:w="1700" w:type="dxa"/>
            <w:vAlign w:val="bottom"/>
          </w:tcPr>
          <w:p>
            <w:pPr>
              <w:ind w:left="440"/>
              <w:spacing w:after="0"/>
              <w:rPr>
                <w:sz w:val="20"/>
                <w:szCs w:val="20"/>
                <w:color w:val="auto"/>
              </w:rPr>
            </w:pPr>
            <w:r>
              <w:rPr>
                <w:rFonts w:ascii="Arial" w:cs="Arial" w:eastAsia="Arial" w:hAnsi="Arial"/>
                <w:sz w:val="22"/>
                <w:szCs w:val="22"/>
                <w:color w:val="auto"/>
                <w:w w:val="88"/>
              </w:rPr>
              <w:t>Section 10.13.</w:t>
            </w:r>
          </w:p>
        </w:tc>
        <w:tc>
          <w:tcPr>
            <w:tcW w:w="7280" w:type="dxa"/>
            <w:vAlign w:val="bottom"/>
          </w:tcPr>
          <w:p>
            <w:pPr>
              <w:ind w:left="26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1"/>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10.14.   Table of Contents, Headings, Etc.</w:t>
            </w:r>
          </w:p>
        </w:tc>
        <w:tc>
          <w:tcPr>
            <w:tcW w:w="1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10.15.   Securities in a Foreign Currency.</w:t>
            </w:r>
          </w:p>
        </w:tc>
        <w:tc>
          <w:tcPr>
            <w:tcW w:w="1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0"/>
        </w:trPr>
        <w:tc>
          <w:tcPr>
            <w:tcW w:w="1700" w:type="dxa"/>
            <w:vAlign w:val="bottom"/>
          </w:tcPr>
          <w:p>
            <w:pPr>
              <w:ind w:left="440"/>
              <w:spacing w:after="0"/>
              <w:rPr>
                <w:sz w:val="20"/>
                <w:szCs w:val="20"/>
                <w:color w:val="auto"/>
              </w:rPr>
            </w:pPr>
            <w:r>
              <w:rPr>
                <w:rFonts w:ascii="Arial" w:cs="Arial" w:eastAsia="Arial" w:hAnsi="Arial"/>
                <w:sz w:val="22"/>
                <w:szCs w:val="22"/>
                <w:color w:val="auto"/>
                <w:w w:val="88"/>
              </w:rPr>
              <w:t>Section 10.16.</w:t>
            </w:r>
          </w:p>
        </w:tc>
        <w:tc>
          <w:tcPr>
            <w:tcW w:w="7280" w:type="dxa"/>
            <w:vAlign w:val="bottom"/>
          </w:tcPr>
          <w:p>
            <w:pPr>
              <w:ind w:left="260"/>
              <w:spacing w:after="0"/>
              <w:rPr>
                <w:sz w:val="20"/>
                <w:szCs w:val="20"/>
                <w:color w:val="auto"/>
              </w:rPr>
            </w:pPr>
            <w:r>
              <w:rPr>
                <w:rFonts w:ascii="Arial" w:cs="Arial" w:eastAsia="Arial" w:hAnsi="Arial"/>
                <w:sz w:val="22"/>
                <w:szCs w:val="22"/>
                <w:color w:val="auto"/>
              </w:rPr>
              <w:t>Judgment Currency.</w:t>
            </w:r>
          </w:p>
        </w:tc>
        <w:tc>
          <w:tcPr>
            <w:tcW w:w="18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1"/>
        </w:trPr>
        <w:tc>
          <w:tcPr>
            <w:tcW w:w="1700" w:type="dxa"/>
            <w:vAlign w:val="bottom"/>
          </w:tcPr>
          <w:p>
            <w:pPr>
              <w:ind w:left="440"/>
              <w:spacing w:after="0"/>
              <w:rPr>
                <w:sz w:val="20"/>
                <w:szCs w:val="20"/>
                <w:color w:val="auto"/>
              </w:rPr>
            </w:pPr>
            <w:r>
              <w:rPr>
                <w:rFonts w:ascii="Arial" w:cs="Arial" w:eastAsia="Arial" w:hAnsi="Arial"/>
                <w:sz w:val="22"/>
                <w:szCs w:val="22"/>
                <w:color w:val="auto"/>
                <w:w w:val="88"/>
              </w:rPr>
              <w:t>Section 10.17.</w:t>
            </w:r>
          </w:p>
        </w:tc>
        <w:tc>
          <w:tcPr>
            <w:tcW w:w="7280" w:type="dxa"/>
            <w:vAlign w:val="bottom"/>
          </w:tcPr>
          <w:p>
            <w:pPr>
              <w:ind w:left="260"/>
              <w:spacing w:after="0"/>
              <w:rPr>
                <w:sz w:val="20"/>
                <w:szCs w:val="20"/>
                <w:color w:val="auto"/>
              </w:rPr>
            </w:pPr>
            <w:r>
              <w:rPr>
                <w:rFonts w:ascii="Arial" w:cs="Arial" w:eastAsia="Arial" w:hAnsi="Arial"/>
                <w:sz w:val="22"/>
                <w:szCs w:val="22"/>
                <w:color w:val="auto"/>
              </w:rPr>
              <w:t>Force Majeure.</w:t>
            </w:r>
          </w:p>
        </w:tc>
        <w:tc>
          <w:tcPr>
            <w:tcW w:w="18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10.18.   U.S.A. Patriot Act.</w:t>
            </w:r>
          </w:p>
        </w:tc>
        <w:tc>
          <w:tcPr>
            <w:tcW w:w="18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78"/>
        </w:trPr>
        <w:tc>
          <w:tcPr>
            <w:tcW w:w="8980" w:type="dxa"/>
            <w:vAlign w:val="bottom"/>
            <w:gridSpan w:val="2"/>
          </w:tcPr>
          <w:p>
            <w:pPr>
              <w:spacing w:after="0"/>
              <w:rPr>
                <w:sz w:val="20"/>
                <w:szCs w:val="20"/>
                <w:color w:val="auto"/>
              </w:rPr>
            </w:pPr>
            <w:r>
              <w:rPr>
                <w:rFonts w:ascii="Arial" w:cs="Arial" w:eastAsia="Arial" w:hAnsi="Arial"/>
                <w:sz w:val="22"/>
                <w:szCs w:val="22"/>
                <w:color w:val="auto"/>
              </w:rPr>
              <w:t>ARTICLE XI. SINKING FUNDS</w:t>
            </w:r>
          </w:p>
        </w:tc>
        <w:tc>
          <w:tcPr>
            <w:tcW w:w="18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4"/>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11.1.   Applicability of Article.</w:t>
            </w:r>
          </w:p>
        </w:tc>
        <w:tc>
          <w:tcPr>
            <w:tcW w:w="18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10"/>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11.2.   Satisfaction of Sinking Fund Payments with Securities.</w:t>
            </w:r>
          </w:p>
        </w:tc>
        <w:tc>
          <w:tcPr>
            <w:tcW w:w="18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11"/>
        </w:trPr>
        <w:tc>
          <w:tcPr>
            <w:tcW w:w="8980" w:type="dxa"/>
            <w:vAlign w:val="bottom"/>
            <w:gridSpan w:val="2"/>
          </w:tcPr>
          <w:p>
            <w:pPr>
              <w:ind w:left="440"/>
              <w:spacing w:after="0"/>
              <w:rPr>
                <w:sz w:val="20"/>
                <w:szCs w:val="20"/>
                <w:color w:val="auto"/>
              </w:rPr>
            </w:pPr>
            <w:r>
              <w:rPr>
                <w:rFonts w:ascii="Arial" w:cs="Arial" w:eastAsia="Arial" w:hAnsi="Arial"/>
                <w:sz w:val="22"/>
                <w:szCs w:val="22"/>
                <w:color w:val="auto"/>
              </w:rPr>
              <w:t>Section 11.3.   Redemption of Securities for Sinking Fund.</w:t>
            </w:r>
          </w:p>
        </w:tc>
        <w:tc>
          <w:tcPr>
            <w:tcW w:w="1820" w:type="dxa"/>
            <w:vAlign w:val="bottom"/>
          </w:tcPr>
          <w:p>
            <w:pPr>
              <w:jc w:val="right"/>
              <w:spacing w:after="0"/>
              <w:rPr>
                <w:sz w:val="20"/>
                <w:szCs w:val="20"/>
                <w:color w:val="auto"/>
              </w:rPr>
            </w:pPr>
            <w:r>
              <w:rPr>
                <w:rFonts w:ascii="Arial" w:cs="Arial" w:eastAsia="Arial" w:hAnsi="Arial"/>
                <w:sz w:val="20"/>
                <w:szCs w:val="20"/>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00"/>
          </w:cols>
          <w:pgMar w:left="340" w:top="1440" w:right="759" w:bottom="1440" w:gutter="0" w:footer="0" w:header="0"/>
        </w:sectPr>
      </w:pPr>
    </w:p>
    <w:bookmarkStart w:id="63" w:name="page64"/>
    <w:bookmarkEnd w:id="63"/>
    <w:tbl>
      <w:tblPr>
        <w:tblLayout w:type="fixed"/>
        <w:tblInd w:w="980" w:type="dxa"/>
        <w:tblCellMar>
          <w:top w:w="0" w:type="dxa"/>
          <w:left w:w="0" w:type="dxa"/>
          <w:bottom w:w="0" w:type="dxa"/>
          <w:right w:w="0" w:type="dxa"/>
        </w:tblCellMar>
      </w:tblPr>
      <w:tr>
        <w:trPr>
          <w:trHeight w:val="328"/>
        </w:trPr>
        <w:tc>
          <w:tcPr>
            <w:tcW w:w="1340" w:type="dxa"/>
            <w:vAlign w:val="bottom"/>
          </w:tcPr>
          <w:p>
            <w:pPr>
              <w:spacing w:after="0"/>
              <w:rPr>
                <w:sz w:val="24"/>
                <w:szCs w:val="24"/>
                <w:color w:val="auto"/>
              </w:rPr>
            </w:pPr>
          </w:p>
        </w:tc>
        <w:tc>
          <w:tcPr>
            <w:tcW w:w="7960" w:type="dxa"/>
            <w:vAlign w:val="bottom"/>
          </w:tcPr>
          <w:p>
            <w:pPr>
              <w:jc w:val="center"/>
              <w:ind w:right="1248"/>
              <w:spacing w:after="0"/>
              <w:rPr>
                <w:sz w:val="20"/>
                <w:szCs w:val="20"/>
                <w:color w:val="auto"/>
              </w:rPr>
            </w:pPr>
            <w:r>
              <w:rPr>
                <w:rFonts w:ascii="Arial" w:cs="Arial" w:eastAsia="Arial" w:hAnsi="Arial"/>
                <w:sz w:val="25"/>
                <w:szCs w:val="25"/>
                <w:b w:val="1"/>
                <w:bCs w:val="1"/>
                <w:color w:val="auto"/>
              </w:rPr>
              <w:t>EXAGEN INC.</w:t>
            </w:r>
          </w:p>
        </w:tc>
      </w:tr>
      <w:tr>
        <w:trPr>
          <w:trHeight w:val="456"/>
        </w:trPr>
        <w:tc>
          <w:tcPr>
            <w:tcW w:w="1340" w:type="dxa"/>
            <w:vAlign w:val="bottom"/>
          </w:tcPr>
          <w:p>
            <w:pPr>
              <w:spacing w:after="0"/>
              <w:rPr>
                <w:sz w:val="24"/>
                <w:szCs w:val="24"/>
                <w:color w:val="auto"/>
              </w:rPr>
            </w:pPr>
          </w:p>
        </w:tc>
        <w:tc>
          <w:tcPr>
            <w:tcW w:w="7960" w:type="dxa"/>
            <w:vAlign w:val="bottom"/>
          </w:tcPr>
          <w:p>
            <w:pPr>
              <w:jc w:val="center"/>
              <w:ind w:right="1248"/>
              <w:spacing w:after="0"/>
              <w:rPr>
                <w:sz w:val="20"/>
                <w:szCs w:val="20"/>
                <w:color w:val="auto"/>
              </w:rPr>
            </w:pPr>
            <w:r>
              <w:rPr>
                <w:rFonts w:ascii="Arial" w:cs="Arial" w:eastAsia="Arial" w:hAnsi="Arial"/>
                <w:sz w:val="22"/>
                <w:szCs w:val="22"/>
                <w:color w:val="auto"/>
                <w:w w:val="89"/>
              </w:rPr>
              <w:t>Reconciliation and tie between Trust Indenture Act of 1939 and</w:t>
            </w:r>
          </w:p>
        </w:tc>
      </w:tr>
      <w:tr>
        <w:trPr>
          <w:trHeight w:val="274"/>
        </w:trPr>
        <w:tc>
          <w:tcPr>
            <w:tcW w:w="1340" w:type="dxa"/>
            <w:vAlign w:val="bottom"/>
          </w:tcPr>
          <w:p>
            <w:pPr>
              <w:spacing w:after="0"/>
              <w:rPr>
                <w:sz w:val="23"/>
                <w:szCs w:val="23"/>
                <w:color w:val="auto"/>
              </w:rPr>
            </w:pPr>
          </w:p>
        </w:tc>
        <w:tc>
          <w:tcPr>
            <w:tcW w:w="7960" w:type="dxa"/>
            <w:vAlign w:val="bottom"/>
          </w:tcPr>
          <w:p>
            <w:pPr>
              <w:jc w:val="center"/>
              <w:ind w:right="1268"/>
              <w:spacing w:after="0"/>
              <w:rPr>
                <w:sz w:val="20"/>
                <w:szCs w:val="20"/>
                <w:color w:val="auto"/>
              </w:rPr>
            </w:pPr>
            <w:r>
              <w:rPr>
                <w:rFonts w:ascii="Arial" w:cs="Arial" w:eastAsia="Arial" w:hAnsi="Arial"/>
                <w:sz w:val="22"/>
                <w:szCs w:val="22"/>
                <w:color w:val="auto"/>
                <w:w w:val="87"/>
              </w:rPr>
              <w:t>Indenture, dated as of ____________, 20__</w:t>
            </w:r>
          </w:p>
        </w:tc>
      </w:tr>
      <w:tr>
        <w:trPr>
          <w:trHeight w:val="436"/>
        </w:trPr>
        <w:tc>
          <w:tcPr>
            <w:tcW w:w="1340" w:type="dxa"/>
            <w:vAlign w:val="bottom"/>
          </w:tcPr>
          <w:p>
            <w:pPr>
              <w:jc w:val="right"/>
              <w:ind w:right="450"/>
              <w:spacing w:after="0"/>
              <w:rPr>
                <w:sz w:val="20"/>
                <w:szCs w:val="20"/>
                <w:color w:val="auto"/>
              </w:rPr>
            </w:pPr>
            <w:r>
              <w:rPr>
                <w:rFonts w:ascii="Arial" w:cs="Arial" w:eastAsia="Arial" w:hAnsi="Arial"/>
                <w:sz w:val="18"/>
                <w:szCs w:val="18"/>
                <w:color w:val="auto"/>
                <w:w w:val="87"/>
              </w:rPr>
              <w:t>§ 310(a)(1)</w:t>
            </w:r>
          </w:p>
        </w:tc>
        <w:tc>
          <w:tcPr>
            <w:tcW w:w="7960" w:type="dxa"/>
            <w:vAlign w:val="bottom"/>
          </w:tcPr>
          <w:p>
            <w:pPr>
              <w:ind w:left="6860"/>
              <w:spacing w:after="0"/>
              <w:rPr>
                <w:sz w:val="20"/>
                <w:szCs w:val="20"/>
                <w:color w:val="auto"/>
              </w:rPr>
            </w:pPr>
            <w:r>
              <w:rPr>
                <w:rFonts w:ascii="Arial" w:cs="Arial" w:eastAsia="Arial" w:hAnsi="Arial"/>
                <w:sz w:val="18"/>
                <w:szCs w:val="18"/>
                <w:color w:val="auto"/>
              </w:rPr>
              <w:t>7.10</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(a)(2)</w:t>
            </w:r>
          </w:p>
        </w:tc>
        <w:tc>
          <w:tcPr>
            <w:tcW w:w="7960" w:type="dxa"/>
            <w:vAlign w:val="bottom"/>
          </w:tcPr>
          <w:p>
            <w:pPr>
              <w:ind w:left="6860"/>
              <w:spacing w:after="0"/>
              <w:rPr>
                <w:sz w:val="20"/>
                <w:szCs w:val="20"/>
                <w:color w:val="auto"/>
              </w:rPr>
            </w:pPr>
            <w:r>
              <w:rPr>
                <w:rFonts w:ascii="Arial" w:cs="Arial" w:eastAsia="Arial" w:hAnsi="Arial"/>
                <w:sz w:val="18"/>
                <w:szCs w:val="18"/>
                <w:color w:val="auto"/>
              </w:rPr>
              <w:t>7.10</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(a)(3)</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(a)(4)</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(a)(5)</w:t>
            </w:r>
          </w:p>
        </w:tc>
        <w:tc>
          <w:tcPr>
            <w:tcW w:w="7960" w:type="dxa"/>
            <w:vAlign w:val="bottom"/>
          </w:tcPr>
          <w:p>
            <w:pPr>
              <w:ind w:left="6860"/>
              <w:spacing w:after="0"/>
              <w:rPr>
                <w:sz w:val="20"/>
                <w:szCs w:val="20"/>
                <w:color w:val="auto"/>
              </w:rPr>
            </w:pPr>
            <w:r>
              <w:rPr>
                <w:rFonts w:ascii="Arial" w:cs="Arial" w:eastAsia="Arial" w:hAnsi="Arial"/>
                <w:sz w:val="18"/>
                <w:szCs w:val="18"/>
                <w:color w:val="auto"/>
              </w:rPr>
              <w:t>7.10</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7.10</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311(a)</w:t>
            </w:r>
          </w:p>
        </w:tc>
        <w:tc>
          <w:tcPr>
            <w:tcW w:w="7960" w:type="dxa"/>
            <w:vAlign w:val="bottom"/>
          </w:tcPr>
          <w:p>
            <w:pPr>
              <w:ind w:left="6860"/>
              <w:spacing w:after="0"/>
              <w:rPr>
                <w:sz w:val="20"/>
                <w:szCs w:val="20"/>
                <w:color w:val="auto"/>
              </w:rPr>
            </w:pPr>
            <w:r>
              <w:rPr>
                <w:rFonts w:ascii="Arial" w:cs="Arial" w:eastAsia="Arial" w:hAnsi="Arial"/>
                <w:sz w:val="18"/>
                <w:szCs w:val="18"/>
                <w:color w:val="auto"/>
              </w:rPr>
              <w:t>7.11</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7.11</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312(a)</w:t>
            </w:r>
          </w:p>
        </w:tc>
        <w:tc>
          <w:tcPr>
            <w:tcW w:w="7960" w:type="dxa"/>
            <w:vAlign w:val="bottom"/>
          </w:tcPr>
          <w:p>
            <w:pPr>
              <w:ind w:left="6860"/>
              <w:spacing w:after="0"/>
              <w:rPr>
                <w:sz w:val="20"/>
                <w:szCs w:val="20"/>
                <w:color w:val="auto"/>
              </w:rPr>
            </w:pPr>
            <w:r>
              <w:rPr>
                <w:rFonts w:ascii="Arial" w:cs="Arial" w:eastAsia="Arial" w:hAnsi="Arial"/>
                <w:sz w:val="18"/>
                <w:szCs w:val="18"/>
                <w:color w:val="auto"/>
              </w:rPr>
              <w:t>2.6</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10.3</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7960" w:type="dxa"/>
            <w:vAlign w:val="bottom"/>
          </w:tcPr>
          <w:p>
            <w:pPr>
              <w:ind w:left="6860"/>
              <w:spacing w:after="0"/>
              <w:rPr>
                <w:sz w:val="20"/>
                <w:szCs w:val="20"/>
                <w:color w:val="auto"/>
              </w:rPr>
            </w:pPr>
            <w:r>
              <w:rPr>
                <w:rFonts w:ascii="Arial" w:cs="Arial" w:eastAsia="Arial" w:hAnsi="Arial"/>
                <w:sz w:val="18"/>
                <w:szCs w:val="18"/>
                <w:color w:val="auto"/>
              </w:rPr>
              <w:t>10.3</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313(a)</w:t>
            </w:r>
          </w:p>
        </w:tc>
        <w:tc>
          <w:tcPr>
            <w:tcW w:w="7960" w:type="dxa"/>
            <w:vAlign w:val="bottom"/>
          </w:tcPr>
          <w:p>
            <w:pPr>
              <w:ind w:left="6860"/>
              <w:spacing w:after="0"/>
              <w:rPr>
                <w:sz w:val="20"/>
                <w:szCs w:val="20"/>
                <w:color w:val="auto"/>
              </w:rPr>
            </w:pPr>
            <w:r>
              <w:rPr>
                <w:rFonts w:ascii="Arial" w:cs="Arial" w:eastAsia="Arial" w:hAnsi="Arial"/>
                <w:sz w:val="18"/>
                <w:szCs w:val="18"/>
                <w:color w:val="auto"/>
              </w:rPr>
              <w:t>7.6</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(b)(1)</w:t>
            </w:r>
          </w:p>
        </w:tc>
        <w:tc>
          <w:tcPr>
            <w:tcW w:w="7960" w:type="dxa"/>
            <w:vAlign w:val="bottom"/>
          </w:tcPr>
          <w:p>
            <w:pPr>
              <w:ind w:left="6860"/>
              <w:spacing w:after="0"/>
              <w:rPr>
                <w:sz w:val="20"/>
                <w:szCs w:val="20"/>
                <w:color w:val="auto"/>
              </w:rPr>
            </w:pPr>
            <w:r>
              <w:rPr>
                <w:rFonts w:ascii="Arial" w:cs="Arial" w:eastAsia="Arial" w:hAnsi="Arial"/>
                <w:sz w:val="18"/>
                <w:szCs w:val="18"/>
                <w:color w:val="auto"/>
              </w:rPr>
              <w:t>7.6</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(b)(2)</w:t>
            </w:r>
          </w:p>
        </w:tc>
        <w:tc>
          <w:tcPr>
            <w:tcW w:w="7960" w:type="dxa"/>
            <w:vAlign w:val="bottom"/>
          </w:tcPr>
          <w:p>
            <w:pPr>
              <w:ind w:left="6860"/>
              <w:spacing w:after="0"/>
              <w:rPr>
                <w:sz w:val="20"/>
                <w:szCs w:val="20"/>
                <w:color w:val="auto"/>
              </w:rPr>
            </w:pPr>
            <w:r>
              <w:rPr>
                <w:rFonts w:ascii="Arial" w:cs="Arial" w:eastAsia="Arial" w:hAnsi="Arial"/>
                <w:sz w:val="18"/>
                <w:szCs w:val="18"/>
                <w:color w:val="auto"/>
              </w:rPr>
              <w:t>7.6</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(c)(1)</w:t>
            </w:r>
          </w:p>
        </w:tc>
        <w:tc>
          <w:tcPr>
            <w:tcW w:w="7960" w:type="dxa"/>
            <w:vAlign w:val="bottom"/>
          </w:tcPr>
          <w:p>
            <w:pPr>
              <w:ind w:left="6860"/>
              <w:spacing w:after="0"/>
              <w:rPr>
                <w:sz w:val="20"/>
                <w:szCs w:val="20"/>
                <w:color w:val="auto"/>
              </w:rPr>
            </w:pPr>
            <w:r>
              <w:rPr>
                <w:rFonts w:ascii="Arial" w:cs="Arial" w:eastAsia="Arial" w:hAnsi="Arial"/>
                <w:sz w:val="18"/>
                <w:szCs w:val="18"/>
                <w:color w:val="auto"/>
              </w:rPr>
              <w:t>7.6</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7960" w:type="dxa"/>
            <w:vAlign w:val="bottom"/>
          </w:tcPr>
          <w:p>
            <w:pPr>
              <w:ind w:left="6860"/>
              <w:spacing w:after="0"/>
              <w:rPr>
                <w:sz w:val="20"/>
                <w:szCs w:val="20"/>
                <w:color w:val="auto"/>
              </w:rPr>
            </w:pPr>
            <w:r>
              <w:rPr>
                <w:rFonts w:ascii="Arial" w:cs="Arial" w:eastAsia="Arial" w:hAnsi="Arial"/>
                <w:sz w:val="18"/>
                <w:szCs w:val="18"/>
                <w:color w:val="auto"/>
              </w:rPr>
              <w:t>7.6</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314(a)</w:t>
            </w:r>
          </w:p>
        </w:tc>
        <w:tc>
          <w:tcPr>
            <w:tcW w:w="7960" w:type="dxa"/>
            <w:vAlign w:val="bottom"/>
          </w:tcPr>
          <w:p>
            <w:pPr>
              <w:ind w:left="6860"/>
              <w:spacing w:after="0"/>
              <w:rPr>
                <w:sz w:val="20"/>
                <w:szCs w:val="20"/>
                <w:color w:val="auto"/>
              </w:rPr>
            </w:pPr>
            <w:r>
              <w:rPr>
                <w:rFonts w:ascii="Arial" w:cs="Arial" w:eastAsia="Arial" w:hAnsi="Arial"/>
                <w:sz w:val="18"/>
                <w:szCs w:val="18"/>
                <w:color w:val="auto"/>
              </w:rPr>
              <w:t>4.2, 10.5</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(c)(1)</w:t>
            </w:r>
          </w:p>
        </w:tc>
        <w:tc>
          <w:tcPr>
            <w:tcW w:w="7960" w:type="dxa"/>
            <w:vAlign w:val="bottom"/>
          </w:tcPr>
          <w:p>
            <w:pPr>
              <w:ind w:left="6860"/>
              <w:spacing w:after="0"/>
              <w:rPr>
                <w:sz w:val="20"/>
                <w:szCs w:val="20"/>
                <w:color w:val="auto"/>
              </w:rPr>
            </w:pPr>
            <w:r>
              <w:rPr>
                <w:rFonts w:ascii="Arial" w:cs="Arial" w:eastAsia="Arial" w:hAnsi="Arial"/>
                <w:sz w:val="18"/>
                <w:szCs w:val="18"/>
                <w:color w:val="auto"/>
              </w:rPr>
              <w:t>10.4</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(c)(2)</w:t>
            </w:r>
          </w:p>
        </w:tc>
        <w:tc>
          <w:tcPr>
            <w:tcW w:w="7960" w:type="dxa"/>
            <w:vAlign w:val="bottom"/>
          </w:tcPr>
          <w:p>
            <w:pPr>
              <w:ind w:left="6860"/>
              <w:spacing w:after="0"/>
              <w:rPr>
                <w:sz w:val="20"/>
                <w:szCs w:val="20"/>
                <w:color w:val="auto"/>
              </w:rPr>
            </w:pPr>
            <w:r>
              <w:rPr>
                <w:rFonts w:ascii="Arial" w:cs="Arial" w:eastAsia="Arial" w:hAnsi="Arial"/>
                <w:sz w:val="18"/>
                <w:szCs w:val="18"/>
                <w:color w:val="auto"/>
              </w:rPr>
              <w:t>10.4</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(c)(3)</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(e)</w:t>
            </w:r>
          </w:p>
        </w:tc>
        <w:tc>
          <w:tcPr>
            <w:tcW w:w="7960" w:type="dxa"/>
            <w:vAlign w:val="bottom"/>
          </w:tcPr>
          <w:p>
            <w:pPr>
              <w:ind w:left="6860"/>
              <w:spacing w:after="0"/>
              <w:rPr>
                <w:sz w:val="20"/>
                <w:szCs w:val="20"/>
                <w:color w:val="auto"/>
              </w:rPr>
            </w:pPr>
            <w:r>
              <w:rPr>
                <w:rFonts w:ascii="Arial" w:cs="Arial" w:eastAsia="Arial" w:hAnsi="Arial"/>
                <w:sz w:val="18"/>
                <w:szCs w:val="18"/>
                <w:color w:val="auto"/>
              </w:rPr>
              <w:t>10.5</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(f)</w:t>
            </w:r>
          </w:p>
        </w:tc>
        <w:tc>
          <w:tcPr>
            <w:tcW w:w="7960" w:type="dxa"/>
            <w:vAlign w:val="bottom"/>
          </w:tcPr>
          <w:p>
            <w:pPr>
              <w:ind w:left="6860"/>
              <w:spacing w:after="0"/>
              <w:rPr>
                <w:sz w:val="20"/>
                <w:szCs w:val="20"/>
                <w:color w:val="auto"/>
              </w:rPr>
            </w:pPr>
            <w:r>
              <w:rPr>
                <w:rFonts w:ascii="Arial" w:cs="Arial" w:eastAsia="Arial" w:hAnsi="Arial"/>
                <w:sz w:val="18"/>
                <w:szCs w:val="18"/>
                <w:color w:val="auto"/>
                <w:w w:val="93"/>
              </w:rPr>
              <w:t>Not Applicable</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315(a)</w:t>
            </w:r>
          </w:p>
        </w:tc>
        <w:tc>
          <w:tcPr>
            <w:tcW w:w="7960" w:type="dxa"/>
            <w:vAlign w:val="bottom"/>
          </w:tcPr>
          <w:p>
            <w:pPr>
              <w:ind w:left="6860"/>
              <w:spacing w:after="0"/>
              <w:rPr>
                <w:sz w:val="20"/>
                <w:szCs w:val="20"/>
                <w:color w:val="auto"/>
              </w:rPr>
            </w:pPr>
            <w:r>
              <w:rPr>
                <w:rFonts w:ascii="Arial" w:cs="Arial" w:eastAsia="Arial" w:hAnsi="Arial"/>
                <w:sz w:val="18"/>
                <w:szCs w:val="18"/>
                <w:color w:val="auto"/>
              </w:rPr>
              <w:t>7.1</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7.5</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7960" w:type="dxa"/>
            <w:vAlign w:val="bottom"/>
          </w:tcPr>
          <w:p>
            <w:pPr>
              <w:ind w:left="6860"/>
              <w:spacing w:after="0"/>
              <w:rPr>
                <w:sz w:val="20"/>
                <w:szCs w:val="20"/>
                <w:color w:val="auto"/>
              </w:rPr>
            </w:pPr>
            <w:r>
              <w:rPr>
                <w:rFonts w:ascii="Arial" w:cs="Arial" w:eastAsia="Arial" w:hAnsi="Arial"/>
                <w:sz w:val="18"/>
                <w:szCs w:val="18"/>
                <w:color w:val="auto"/>
              </w:rPr>
              <w:t>7.1</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7960" w:type="dxa"/>
            <w:vAlign w:val="bottom"/>
          </w:tcPr>
          <w:p>
            <w:pPr>
              <w:ind w:left="6860"/>
              <w:spacing w:after="0"/>
              <w:rPr>
                <w:sz w:val="20"/>
                <w:szCs w:val="20"/>
                <w:color w:val="auto"/>
              </w:rPr>
            </w:pPr>
            <w:r>
              <w:rPr>
                <w:rFonts w:ascii="Arial" w:cs="Arial" w:eastAsia="Arial" w:hAnsi="Arial"/>
                <w:sz w:val="18"/>
                <w:szCs w:val="18"/>
                <w:color w:val="auto"/>
              </w:rPr>
              <w:t>7.1</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(e)</w:t>
            </w:r>
          </w:p>
        </w:tc>
        <w:tc>
          <w:tcPr>
            <w:tcW w:w="7960" w:type="dxa"/>
            <w:vAlign w:val="bottom"/>
          </w:tcPr>
          <w:p>
            <w:pPr>
              <w:ind w:left="6860"/>
              <w:spacing w:after="0"/>
              <w:rPr>
                <w:sz w:val="20"/>
                <w:szCs w:val="20"/>
                <w:color w:val="auto"/>
              </w:rPr>
            </w:pPr>
            <w:r>
              <w:rPr>
                <w:rFonts w:ascii="Arial" w:cs="Arial" w:eastAsia="Arial" w:hAnsi="Arial"/>
                <w:sz w:val="18"/>
                <w:szCs w:val="18"/>
                <w:color w:val="auto"/>
              </w:rPr>
              <w:t>6.14</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316(a)</w:t>
            </w:r>
          </w:p>
        </w:tc>
        <w:tc>
          <w:tcPr>
            <w:tcW w:w="7960" w:type="dxa"/>
            <w:vAlign w:val="bottom"/>
          </w:tcPr>
          <w:p>
            <w:pPr>
              <w:ind w:left="6860"/>
              <w:spacing w:after="0"/>
              <w:rPr>
                <w:sz w:val="20"/>
                <w:szCs w:val="20"/>
                <w:color w:val="auto"/>
              </w:rPr>
            </w:pPr>
            <w:r>
              <w:rPr>
                <w:rFonts w:ascii="Arial" w:cs="Arial" w:eastAsia="Arial" w:hAnsi="Arial"/>
                <w:sz w:val="18"/>
                <w:szCs w:val="18"/>
                <w:color w:val="auto"/>
              </w:rPr>
              <w:t>2.10</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(a)(1)(A)</w:t>
            </w:r>
          </w:p>
        </w:tc>
        <w:tc>
          <w:tcPr>
            <w:tcW w:w="7960" w:type="dxa"/>
            <w:vAlign w:val="bottom"/>
          </w:tcPr>
          <w:p>
            <w:pPr>
              <w:ind w:left="6860"/>
              <w:spacing w:after="0"/>
              <w:rPr>
                <w:sz w:val="20"/>
                <w:szCs w:val="20"/>
                <w:color w:val="auto"/>
              </w:rPr>
            </w:pPr>
            <w:r>
              <w:rPr>
                <w:rFonts w:ascii="Arial" w:cs="Arial" w:eastAsia="Arial" w:hAnsi="Arial"/>
                <w:sz w:val="18"/>
                <w:szCs w:val="18"/>
                <w:color w:val="auto"/>
              </w:rPr>
              <w:t>6.12</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(a)(1)(B)</w:t>
            </w:r>
          </w:p>
        </w:tc>
        <w:tc>
          <w:tcPr>
            <w:tcW w:w="7960" w:type="dxa"/>
            <w:vAlign w:val="bottom"/>
          </w:tcPr>
          <w:p>
            <w:pPr>
              <w:ind w:left="6860"/>
              <w:spacing w:after="0"/>
              <w:rPr>
                <w:sz w:val="20"/>
                <w:szCs w:val="20"/>
                <w:color w:val="auto"/>
              </w:rPr>
            </w:pPr>
            <w:r>
              <w:rPr>
                <w:rFonts w:ascii="Arial" w:cs="Arial" w:eastAsia="Arial" w:hAnsi="Arial"/>
                <w:sz w:val="18"/>
                <w:szCs w:val="18"/>
                <w:color w:val="auto"/>
              </w:rPr>
              <w:t>6.13</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6.8</w:t>
            </w:r>
          </w:p>
        </w:tc>
      </w:tr>
      <w:tr>
        <w:trPr>
          <w:trHeight w:val="257"/>
        </w:trPr>
        <w:tc>
          <w:tcPr>
            <w:tcW w:w="1340" w:type="dxa"/>
            <w:vAlign w:val="bottom"/>
          </w:tcPr>
          <w:p>
            <w:pPr>
              <w:jc w:val="right"/>
              <w:ind w:right="450"/>
              <w:spacing w:after="0"/>
              <w:rPr>
                <w:sz w:val="20"/>
                <w:szCs w:val="20"/>
                <w:color w:val="auto"/>
              </w:rPr>
            </w:pPr>
            <w:r>
              <w:rPr>
                <w:rFonts w:ascii="Arial" w:cs="Arial" w:eastAsia="Arial" w:hAnsi="Arial"/>
                <w:sz w:val="18"/>
                <w:szCs w:val="18"/>
                <w:color w:val="auto"/>
                <w:w w:val="87"/>
              </w:rPr>
              <w:t>§ 317(a)(1)</w:t>
            </w:r>
          </w:p>
        </w:tc>
        <w:tc>
          <w:tcPr>
            <w:tcW w:w="7960" w:type="dxa"/>
            <w:vAlign w:val="bottom"/>
          </w:tcPr>
          <w:p>
            <w:pPr>
              <w:ind w:left="6860"/>
              <w:spacing w:after="0"/>
              <w:rPr>
                <w:sz w:val="20"/>
                <w:szCs w:val="20"/>
                <w:color w:val="auto"/>
              </w:rPr>
            </w:pPr>
            <w:r>
              <w:rPr>
                <w:rFonts w:ascii="Arial" w:cs="Arial" w:eastAsia="Arial" w:hAnsi="Arial"/>
                <w:sz w:val="18"/>
                <w:szCs w:val="18"/>
                <w:color w:val="auto"/>
              </w:rPr>
              <w:t>6.3</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(a)(2)</w:t>
            </w:r>
          </w:p>
        </w:tc>
        <w:tc>
          <w:tcPr>
            <w:tcW w:w="7960" w:type="dxa"/>
            <w:vAlign w:val="bottom"/>
          </w:tcPr>
          <w:p>
            <w:pPr>
              <w:ind w:left="6860"/>
              <w:spacing w:after="0"/>
              <w:rPr>
                <w:sz w:val="20"/>
                <w:szCs w:val="20"/>
                <w:color w:val="auto"/>
              </w:rPr>
            </w:pPr>
            <w:r>
              <w:rPr>
                <w:rFonts w:ascii="Arial" w:cs="Arial" w:eastAsia="Arial" w:hAnsi="Arial"/>
                <w:sz w:val="18"/>
                <w:szCs w:val="18"/>
                <w:color w:val="auto"/>
              </w:rPr>
              <w:t>6.4</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7960" w:type="dxa"/>
            <w:vAlign w:val="bottom"/>
          </w:tcPr>
          <w:p>
            <w:pPr>
              <w:ind w:left="6860"/>
              <w:spacing w:after="0"/>
              <w:rPr>
                <w:sz w:val="20"/>
                <w:szCs w:val="20"/>
                <w:color w:val="auto"/>
              </w:rPr>
            </w:pPr>
            <w:r>
              <w:rPr>
                <w:rFonts w:ascii="Arial" w:cs="Arial" w:eastAsia="Arial" w:hAnsi="Arial"/>
                <w:sz w:val="18"/>
                <w:szCs w:val="18"/>
                <w:color w:val="auto"/>
              </w:rPr>
              <w:t>2.5</w:t>
            </w:r>
          </w:p>
        </w:tc>
      </w:tr>
      <w:tr>
        <w:trPr>
          <w:trHeight w:val="256"/>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 318(a)</w:t>
            </w:r>
          </w:p>
        </w:tc>
        <w:tc>
          <w:tcPr>
            <w:tcW w:w="7960" w:type="dxa"/>
            <w:vAlign w:val="bottom"/>
          </w:tcPr>
          <w:p>
            <w:pPr>
              <w:ind w:left="6860"/>
              <w:spacing w:after="0"/>
              <w:rPr>
                <w:sz w:val="20"/>
                <w:szCs w:val="20"/>
                <w:color w:val="auto"/>
              </w:rPr>
            </w:pPr>
            <w:r>
              <w:rPr>
                <w:rFonts w:ascii="Arial" w:cs="Arial" w:eastAsia="Arial" w:hAnsi="Arial"/>
                <w:sz w:val="18"/>
                <w:szCs w:val="18"/>
                <w:color w:val="auto"/>
              </w:rPr>
              <w:t>10.1</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Note: This reconciliation and tie shall not, for any purpose, be deemed to be part of the Indenture.</w:t>
      </w:r>
    </w:p>
    <w:p>
      <w:pPr>
        <w:sectPr>
          <w:pgSz w:w="11900" w:h="16838" w:orient="portrait"/>
          <w:cols w:equalWidth="0" w:num="1">
            <w:col w:w="10280"/>
          </w:cols>
          <w:pgMar w:left="320" w:top="141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80"/>
          </w:cols>
          <w:pgMar w:left="320" w:top="1413" w:right="1299" w:bottom="1440" w:gutter="0" w:footer="0" w:header="0"/>
          <w:type w:val="continuous"/>
        </w:sectPr>
      </w:pPr>
    </w:p>
    <w:bookmarkStart w:id="64" w:name="page65"/>
    <w:bookmarkEnd w:id="64"/>
    <w:p>
      <w:pPr>
        <w:ind w:left="1300"/>
        <w:spacing w:after="0"/>
        <w:rPr>
          <w:sz w:val="20"/>
          <w:szCs w:val="20"/>
          <w:color w:val="auto"/>
        </w:rPr>
      </w:pPr>
      <w:r>
        <w:rPr>
          <w:rFonts w:ascii="Arial" w:cs="Arial" w:eastAsia="Arial" w:hAnsi="Arial"/>
          <w:sz w:val="21"/>
          <w:szCs w:val="21"/>
          <w:color w:val="auto"/>
        </w:rPr>
        <w:t>Indenture dated as of __________, 20__ between Exagen Inc., a company incorporated under the laws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Delaware (“</w:t>
      </w:r>
      <w:r>
        <w:rPr>
          <w:rFonts w:ascii="Arial" w:cs="Arial" w:eastAsia="Arial" w:hAnsi="Arial"/>
          <w:sz w:val="22"/>
          <w:szCs w:val="22"/>
          <w:i w:val="1"/>
          <w:iCs w:val="1"/>
          <w:color w:val="auto"/>
        </w:rPr>
        <w:t>Company</w:t>
      </w:r>
      <w:r>
        <w:rPr>
          <w:rFonts w:ascii="Arial" w:cs="Arial" w:eastAsia="Arial" w:hAnsi="Arial"/>
          <w:sz w:val="22"/>
          <w:szCs w:val="22"/>
          <w:color w:val="auto"/>
        </w:rPr>
        <w:t>”), and [______]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Each party agrees as follows for the benefit of the other party and for the equal and ratable benefit of the Holders of the Securities issued under this Indenture.</w:t>
      </w:r>
    </w:p>
    <w:p>
      <w:pPr>
        <w:spacing w:after="0" w:line="17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DEFINITIONS AND INCORPORATION BY REFERENCE</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Notice Agent.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 of Directors</w:t>
      </w:r>
      <w:r>
        <w:rPr>
          <w:rFonts w:ascii="Arial" w:cs="Arial" w:eastAsia="Arial" w:hAnsi="Arial"/>
          <w:sz w:val="19"/>
          <w:szCs w:val="19"/>
          <w:color w:val="auto"/>
        </w:rPr>
        <w:t>” means the board of directors of the Company or any duly authorized committee thereof.</w:t>
      </w:r>
    </w:p>
    <w:p>
      <w:pPr>
        <w:spacing w:after="0" w:line="25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8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 any and all shares, interests, participations, rights or other equivalents (however designated) of corporate stock.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the party named as such above until a successor replaces it and thereafter means the successor.</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Order</w:t>
      </w:r>
      <w:r>
        <w:rPr>
          <w:rFonts w:ascii="Arial" w:cs="Arial" w:eastAsia="Arial" w:hAnsi="Arial"/>
          <w:sz w:val="22"/>
          <w:szCs w:val="22"/>
          <w:color w:val="auto"/>
        </w:rPr>
        <w:t>” means a written order signed in the name of the Company by an Officer.</w:t>
      </w:r>
    </w:p>
    <w:p>
      <w:pPr>
        <w:sectPr>
          <w:pgSz w:w="11900" w:h="16838" w:orient="portrait"/>
          <w:cols w:equalWidth="0" w:num="1">
            <w:col w:w="11240"/>
          </w:cols>
          <w:pgMar w:left="320" w:top="1428" w:right="339" w:bottom="1440" w:gutter="0" w:footer="0" w:header="0"/>
        </w:sectPr>
      </w:pPr>
    </w:p>
    <w:bookmarkStart w:id="65" w:name="page66"/>
    <w:bookmarkEnd w:id="65"/>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at which at any particular time its corporate trust business related to this Indenture shall be principally administered.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which is, or after notice or passage of time or both would be, an Event of Default.</w:t>
      </w:r>
    </w:p>
    <w:p>
      <w:pPr>
        <w:spacing w:after="0" w:line="25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Depositary</w:t>
      </w:r>
      <w:r>
        <w:rPr>
          <w:rFonts w:ascii="Arial" w:cs="Arial" w:eastAsia="Arial" w:hAnsi="Arial"/>
          <w:sz w:val="19"/>
          <w:szCs w:val="19"/>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42"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Discount Security</w:t>
      </w:r>
      <w:r>
        <w:rPr>
          <w:rFonts w:ascii="Arial" w:cs="Arial" w:eastAsia="Arial" w:hAnsi="Arial"/>
          <w:sz w:val="21"/>
          <w:szCs w:val="21"/>
          <w:color w:val="auto"/>
        </w:rPr>
        <w:t>” means any Security that provides for an amount less than the stated principal amount thereof to be due and payable upon declaration of acceleration of the maturity thereof pursuant to Section 6.2.</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and “</w:t>
      </w:r>
      <w:r>
        <w:rPr>
          <w:rFonts w:ascii="Arial" w:cs="Arial" w:eastAsia="Arial" w:hAnsi="Arial"/>
          <w:sz w:val="22"/>
          <w:szCs w:val="22"/>
          <w:i w:val="1"/>
          <w:iCs w:val="1"/>
          <w:color w:val="auto"/>
        </w:rPr>
        <w:t>$</w:t>
      </w:r>
      <w:r>
        <w:rPr>
          <w:rFonts w:ascii="Arial" w:cs="Arial" w:eastAsia="Arial" w:hAnsi="Arial"/>
          <w:sz w:val="22"/>
          <w:szCs w:val="22"/>
          <w:color w:val="auto"/>
        </w:rPr>
        <w:t>” means the currency of The United States of America.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Currency</w:t>
      </w:r>
      <w:r>
        <w:rPr>
          <w:rFonts w:ascii="Arial" w:cs="Arial" w:eastAsia="Arial" w:hAnsi="Arial"/>
          <w:sz w:val="22"/>
          <w:szCs w:val="22"/>
          <w:color w:val="auto"/>
        </w:rPr>
        <w:t>” means any currency or currency unit issued by a government other than the government of The United States of America.</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Government Obligations</w:t>
      </w:r>
      <w:r>
        <w:rPr>
          <w:rFonts w:ascii="Arial" w:cs="Arial" w:eastAsia="Arial" w:hAnsi="Arial"/>
          <w:sz w:val="22"/>
          <w:szCs w:val="22"/>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accounting principles generally accepted in the United States of America set forth in the opinions</w:t>
      </w:r>
      <w:r>
        <w:rPr>
          <w:rFonts w:ascii="Arial" w:cs="Arial" w:eastAsia="Arial" w:hAnsi="Arial"/>
          <w:sz w:val="19"/>
          <w:szCs w:val="19"/>
          <w:i w:val="1"/>
          <w:iCs w:val="1"/>
          <w:color w:val="auto"/>
        </w:rPr>
        <w:t xml:space="preserve"> </w:t>
      </w:r>
      <w:r>
        <w:rPr>
          <w:rFonts w:ascii="Arial" w:cs="Arial" w:eastAsia="Arial" w:hAnsi="Arial"/>
          <w:sz w:val="19"/>
          <w:szCs w:val="19"/>
          <w:color w:val="auto"/>
        </w:rPr>
        <w:t>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Security</w:t>
      </w:r>
      <w:r>
        <w:rPr>
          <w:rFonts w:ascii="Arial" w:cs="Arial" w:eastAsia="Arial" w:hAnsi="Arial"/>
          <w:sz w:val="22"/>
          <w:szCs w:val="22"/>
          <w:color w:val="auto"/>
        </w:rPr>
        <w:t>” or “</w:t>
      </w:r>
      <w:r>
        <w:rPr>
          <w:rFonts w:ascii="Arial" w:cs="Arial" w:eastAsia="Arial" w:hAnsi="Arial"/>
          <w:sz w:val="22"/>
          <w:szCs w:val="22"/>
          <w:i w:val="1"/>
          <w:iCs w:val="1"/>
          <w:color w:val="auto"/>
        </w:rPr>
        <w:t>Global Securities</w:t>
      </w:r>
      <w:r>
        <w:rPr>
          <w:rFonts w:ascii="Arial" w:cs="Arial" w:eastAsia="Arial" w:hAnsi="Arial"/>
          <w:sz w:val="22"/>
          <w:szCs w:val="22"/>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or “</w:t>
      </w:r>
      <w:r>
        <w:rPr>
          <w:rFonts w:ascii="Arial" w:cs="Arial" w:eastAsia="Arial" w:hAnsi="Arial"/>
          <w:sz w:val="22"/>
          <w:szCs w:val="22"/>
          <w:i w:val="1"/>
          <w:iCs w:val="1"/>
          <w:color w:val="auto"/>
        </w:rPr>
        <w:t>Securityholder</w:t>
      </w:r>
      <w:r>
        <w:rPr>
          <w:rFonts w:ascii="Arial" w:cs="Arial" w:eastAsia="Arial" w:hAnsi="Arial"/>
          <w:sz w:val="22"/>
          <w:szCs w:val="22"/>
          <w:color w:val="auto"/>
        </w:rPr>
        <w:t>” means a person in whose name a Security is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6" w:name="page67"/>
    <w:bookmarkEnd w:id="66"/>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 and shall include the form and terms of particular Series of Securities established as contemplated hereunder.</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w:t>
      </w:r>
      <w:r>
        <w:rPr>
          <w:rFonts w:ascii="Arial" w:cs="Arial" w:eastAsia="Arial" w:hAnsi="Arial"/>
          <w:sz w:val="22"/>
          <w:szCs w:val="22"/>
          <w:color w:val="auto"/>
        </w:rPr>
        <w:t>” with respect to any Discount Security which by its terms bears interest only after Maturity, means interest payable after Maturity.</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w:t>
      </w:r>
      <w:r>
        <w:rPr>
          <w:rFonts w:ascii="Arial" w:cs="Arial" w:eastAsia="Arial" w:hAnsi="Arial"/>
          <w:sz w:val="22"/>
          <w:szCs w:val="22"/>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 the Chief Executive Officer, President, the Chief Financial Officer, the Treasurer or any Assistant Treasurer, the Secretary or any Assistant Secretary, and any Vice President of the Company.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by any Officer.</w:t>
      </w:r>
    </w:p>
    <w:p>
      <w:pPr>
        <w:spacing w:after="0" w:line="22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Opinion of Counsel</w:t>
      </w:r>
      <w:r>
        <w:rPr>
          <w:rFonts w:ascii="Arial" w:cs="Arial" w:eastAsia="Arial" w:hAnsi="Arial"/>
          <w:sz w:val="19"/>
          <w:szCs w:val="19"/>
          <w:color w:val="auto"/>
        </w:rPr>
        <w:t>” means a written opinion of legal counsel who is acceptable to the Trustee. The counsel may be an employee of or counsel to the Company. The opinion may contain customary limitations, conditions and exceptions.</w:t>
      </w:r>
    </w:p>
    <w:p>
      <w:pPr>
        <w:spacing w:after="0" w:line="104"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means any individual, corporation, partnership, joint venture, association, limited liability company, joint-stock company, trust, unincorporated organization or government or any agency or political subdivision thereof.</w:t>
      </w:r>
    </w:p>
    <w:p>
      <w:pPr>
        <w:spacing w:after="0" w:line="10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of a Security means the principal of the Security plus, when appropriate, the premium, if any, on, and any Additional Amounts in respect of, the Security.</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Responsible Officer</w:t>
      </w:r>
      <w:r>
        <w:rPr>
          <w:rFonts w:ascii="Arial" w:cs="Arial" w:eastAsia="Arial" w:hAnsi="Arial"/>
          <w:sz w:val="21"/>
          <w:szCs w:val="21"/>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w:t>
      </w:r>
      <w:r>
        <w:rPr>
          <w:rFonts w:ascii="Arial" w:cs="Arial" w:eastAsia="Arial" w:hAnsi="Arial"/>
          <w:sz w:val="22"/>
          <w:szCs w:val="22"/>
          <w:color w:val="auto"/>
        </w:rPr>
        <w:t>” means the debentures, notes or other debt instruments of the Company of any Series authenticated and delivered under this Indenture.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Series</w:t>
      </w:r>
      <w:r>
        <w:rPr>
          <w:rFonts w:ascii="Arial" w:cs="Arial" w:eastAsia="Arial" w:hAnsi="Arial"/>
          <w:sz w:val="22"/>
          <w:szCs w:val="22"/>
          <w:color w:val="auto"/>
        </w:rPr>
        <w:t>” or “</w:t>
      </w:r>
      <w:r>
        <w:rPr>
          <w:rFonts w:ascii="Arial" w:cs="Arial" w:eastAsia="Arial" w:hAnsi="Arial"/>
          <w:sz w:val="22"/>
          <w:szCs w:val="22"/>
          <w:i w:val="1"/>
          <w:iCs w:val="1"/>
          <w:color w:val="auto"/>
        </w:rPr>
        <w:t>Series of Securities</w:t>
      </w:r>
      <w:r>
        <w:rPr>
          <w:rFonts w:ascii="Arial" w:cs="Arial" w:eastAsia="Arial" w:hAnsi="Arial"/>
          <w:sz w:val="22"/>
          <w:szCs w:val="22"/>
          <w:color w:val="auto"/>
        </w:rPr>
        <w:t>” means each series of debentures, notes or other debt instruments of the Company created pursuant to Sections 2.1 and 2.2 hereof.</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when used with respect to any Security, means the date specified in such Security as the fixed date on which the principal of such Security or interest is due and payable.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of any specified person means any corporation, association or other business entity of which more than 50% of the total voting power of shares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 xml:space="preserve">” means the Trust Indenture Act of 1939 (15 U.S. Code §§ 77aaa-77bbbb) as in effect on the date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the Trust Indenture Act of 1939 is amended after such date, “TIA” means, to the extent required by any such amendment, the Trust Indenture Act as so amended.</w:t>
      </w:r>
    </w:p>
    <w:p>
      <w:pPr>
        <w:spacing w:after="0" w:line="18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Government Obligations</w:t>
      </w:r>
      <w:r>
        <w:rPr>
          <w:rFonts w:ascii="Arial" w:cs="Arial" w:eastAsia="Arial" w:hAnsi="Arial"/>
          <w:sz w:val="19"/>
          <w:szCs w:val="19"/>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Definitions</w:t>
      </w:r>
      <w:r>
        <w:rPr>
          <w:rFonts w:ascii="Arial" w:cs="Arial" w:eastAsia="Arial" w:hAnsi="Arial"/>
          <w:sz w:val="19"/>
          <w:szCs w:val="19"/>
          <w:color w:val="auto"/>
        </w:rPr>
        <w:t>.</w:t>
      </w:r>
    </w:p>
    <w:p>
      <w:pPr>
        <w:spacing w:after="0" w:line="234"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120" w:type="dxa"/>
            <w:vAlign w:val="bottom"/>
            <w:gridSpan w:val="2"/>
          </w:tcPr>
          <w:p>
            <w:pPr>
              <w:spacing w:after="0"/>
              <w:rPr>
                <w:sz w:val="20"/>
                <w:szCs w:val="20"/>
                <w:color w:val="auto"/>
              </w:rPr>
            </w:pPr>
            <w:r>
              <w:rPr>
                <w:rFonts w:ascii="Arial" w:cs="Arial" w:eastAsia="Arial" w:hAnsi="Arial"/>
                <w:sz w:val="20"/>
                <w:szCs w:val="20"/>
                <w:color w:val="auto"/>
              </w:rPr>
              <w:t>TERM</w:t>
            </w:r>
          </w:p>
        </w:tc>
        <w:tc>
          <w:tcPr>
            <w:tcW w:w="3200" w:type="dxa"/>
            <w:vAlign w:val="bottom"/>
            <w:gridSpan w:val="4"/>
          </w:tcPr>
          <w:p>
            <w:pPr>
              <w:jc w:val="center"/>
              <w:ind w:left="2001"/>
              <w:spacing w:after="0"/>
              <w:rPr>
                <w:sz w:val="20"/>
                <w:szCs w:val="20"/>
                <w:color w:val="auto"/>
              </w:rPr>
            </w:pPr>
            <w:r>
              <w:rPr>
                <w:rFonts w:ascii="Arial" w:cs="Arial" w:eastAsia="Arial" w:hAnsi="Arial"/>
                <w:sz w:val="20"/>
                <w:szCs w:val="20"/>
                <w:color w:val="auto"/>
                <w:w w:val="97"/>
              </w:rPr>
              <w:t>DEFINED IN</w:t>
            </w:r>
          </w:p>
        </w:tc>
      </w:tr>
      <w:tr>
        <w:trPr>
          <w:trHeight w:val="243"/>
        </w:trPr>
        <w:tc>
          <w:tcPr>
            <w:tcW w:w="540" w:type="dxa"/>
            <w:vAlign w:val="bottom"/>
            <w:tcBorders>
              <w:top w:val="single" w:sz="8" w:color="auto"/>
            </w:tcBorders>
          </w:tcPr>
          <w:p>
            <w:pPr>
              <w:spacing w:after="0"/>
              <w:rPr>
                <w:sz w:val="21"/>
                <w:szCs w:val="21"/>
                <w:color w:val="auto"/>
              </w:rPr>
            </w:pPr>
          </w:p>
        </w:tc>
        <w:tc>
          <w:tcPr>
            <w:tcW w:w="4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4"/>
              </w:rPr>
              <w:t>SECTION</w:t>
            </w: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w:t>
            </w:r>
          </w:p>
        </w:tc>
        <w:tc>
          <w:tcPr>
            <w:tcW w:w="2240" w:type="dxa"/>
            <w:vAlign w:val="bottom"/>
            <w:gridSpan w:val="2"/>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6.1</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6.1</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6.1</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1"/>
              </w:rPr>
              <w:t>10.16</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87"/>
              </w:rPr>
              <w:t>10.7</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mandatory sinking fund payment</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87"/>
              </w:rPr>
              <w:t>11.1</w:t>
            </w:r>
          </w:p>
        </w:tc>
        <w:tc>
          <w:tcPr>
            <w:tcW w:w="140" w:type="dxa"/>
            <w:vAlign w:val="bottom"/>
          </w:tcPr>
          <w:p>
            <w:pPr>
              <w:spacing w:after="0"/>
              <w:rPr>
                <w:sz w:val="24"/>
                <w:szCs w:val="24"/>
                <w:color w:val="auto"/>
              </w:rPr>
            </w:pPr>
          </w:p>
        </w:tc>
      </w:tr>
      <w:tr>
        <w:trPr>
          <w:trHeight w:val="311"/>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York Banking Day</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1"/>
              </w:rPr>
              <w:t>10.16</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Notice Agent</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2.4</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optional sinking fund payment</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87"/>
              </w:rPr>
              <w:t>11.1</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2.4</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2.4</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1"/>
              </w:rPr>
              <w:t>10.16</w:t>
            </w:r>
          </w:p>
        </w:tc>
        <w:tc>
          <w:tcPr>
            <w:tcW w:w="140" w:type="dxa"/>
            <w:vAlign w:val="bottom"/>
          </w:tcPr>
          <w:p>
            <w:pPr>
              <w:spacing w:after="0"/>
              <w:rPr>
                <w:sz w:val="24"/>
                <w:szCs w:val="24"/>
                <w:color w:val="auto"/>
              </w:rPr>
            </w:pPr>
          </w:p>
        </w:tc>
      </w:tr>
      <w:tr>
        <w:trPr>
          <w:trHeight w:val="310"/>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Courts</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1"/>
              </w:rPr>
              <w:t>10.10</w:t>
            </w:r>
          </w:p>
        </w:tc>
        <w:tc>
          <w:tcPr>
            <w:tcW w:w="140" w:type="dxa"/>
            <w:vAlign w:val="bottom"/>
          </w:tcPr>
          <w:p>
            <w:pPr>
              <w:spacing w:after="0"/>
              <w:rPr>
                <w:sz w:val="24"/>
                <w:szCs w:val="24"/>
                <w:color w:val="auto"/>
              </w:rPr>
            </w:pPr>
          </w:p>
        </w:tc>
      </w:tr>
      <w:tr>
        <w:trPr>
          <w:trHeight w:val="311"/>
        </w:trPr>
        <w:tc>
          <w:tcPr>
            <w:tcW w:w="51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successor person</w:t>
            </w:r>
            <w:r>
              <w:rPr>
                <w:rFonts w:ascii="Arial" w:cs="Arial" w:eastAsia="Arial" w:hAnsi="Arial"/>
                <w:sz w:val="22"/>
                <w:szCs w:val="22"/>
                <w:color w:val="auto"/>
              </w:rPr>
              <w:t>”</w:t>
            </w:r>
          </w:p>
        </w:tc>
        <w:tc>
          <w:tcPr>
            <w:tcW w:w="3060" w:type="dxa"/>
            <w:vAlign w:val="bottom"/>
            <w:gridSpan w:val="3"/>
          </w:tcPr>
          <w:p>
            <w:pPr>
              <w:jc w:val="center"/>
              <w:ind w:left="2141"/>
              <w:spacing w:after="0"/>
              <w:rPr>
                <w:sz w:val="20"/>
                <w:szCs w:val="20"/>
                <w:color w:val="auto"/>
              </w:rPr>
            </w:pPr>
            <w:r>
              <w:rPr>
                <w:rFonts w:ascii="Arial" w:cs="Arial" w:eastAsia="Arial" w:hAnsi="Arial"/>
                <w:sz w:val="20"/>
                <w:szCs w:val="20"/>
                <w:color w:val="auto"/>
                <w:w w:val="93"/>
              </w:rPr>
              <w:t>5.1</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8" w:name="page69"/>
    <w:bookmarkEnd w:id="68"/>
    <w:p>
      <w:pPr>
        <w:ind w:left="660"/>
        <w:spacing w:after="0"/>
        <w:tabs>
          <w:tab w:leader="none" w:pos="19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Incorporation by Reference of Trust Indenture Act</w:t>
      </w:r>
      <w:r>
        <w:rPr>
          <w:rFonts w:ascii="Arial" w:cs="Arial" w:eastAsia="Arial" w:hAnsi="Arial"/>
          <w:sz w:val="19"/>
          <w:szCs w:val="19"/>
          <w:color w:val="auto"/>
        </w:rPr>
        <w:t>.</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 The following TIA terms used in this Indenture have the following meanings: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Securities.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Securityholder.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means this Indenture.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w:t>
      </w:r>
      <w:r>
        <w:rPr>
          <w:rFonts w:ascii="Arial" w:cs="Arial" w:eastAsia="Arial" w:hAnsi="Arial"/>
          <w:sz w:val="22"/>
          <w:szCs w:val="22"/>
          <w:i w:val="1"/>
          <w:iCs w:val="1"/>
          <w:color w:val="auto"/>
        </w:rPr>
        <w:t>institutional trustee</w:t>
      </w:r>
      <w:r>
        <w:rPr>
          <w:rFonts w:ascii="Arial" w:cs="Arial" w:eastAsia="Arial" w:hAnsi="Arial"/>
          <w:sz w:val="22"/>
          <w:szCs w:val="22"/>
          <w:color w:val="auto"/>
        </w:rPr>
        <w:t>” means the Trustee.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obligor</w:t>
      </w:r>
      <w:r>
        <w:rPr>
          <w:rFonts w:ascii="Arial" w:cs="Arial" w:eastAsia="Arial" w:hAnsi="Arial"/>
          <w:sz w:val="21"/>
          <w:szCs w:val="21"/>
          <w:color w:val="auto"/>
        </w:rPr>
        <w:t>” on the indenture securities means the Company and any successor obligor upon the Securities.</w:t>
      </w:r>
    </w:p>
    <w:p>
      <w:pPr>
        <w:spacing w:after="0" w:line="23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All other terms used in this Indenture that are defined by the TIA, defined by TIA reference to another statute or defined by SEC rule under the TIA and not otherwise defined herein are used herein as so defined.</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20" w:hanging="616"/>
        <w:spacing w:after="0"/>
        <w:tabs>
          <w:tab w:leader="none" w:pos="19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31" w:lineRule="exact"/>
        <w:rPr>
          <w:rFonts w:ascii="Arial" w:cs="Arial" w:eastAsia="Arial" w:hAnsi="Arial"/>
          <w:sz w:val="21"/>
          <w:szCs w:val="21"/>
          <w:color w:val="auto"/>
        </w:rPr>
      </w:pPr>
    </w:p>
    <w:p>
      <w:pPr>
        <w:ind w:left="1920" w:hanging="616"/>
        <w:spacing w:after="0"/>
        <w:tabs>
          <w:tab w:leader="none" w:pos="19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 is not exclusive;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 and</w:t>
      </w:r>
    </w:p>
    <w:p>
      <w:pPr>
        <w:spacing w:after="0" w:line="219" w:lineRule="exact"/>
        <w:rPr>
          <w:rFonts w:ascii="Arial" w:cs="Arial" w:eastAsia="Arial" w:hAnsi="Arial"/>
          <w:sz w:val="22"/>
          <w:szCs w:val="22"/>
          <w:color w:val="auto"/>
        </w:rPr>
      </w:pPr>
    </w:p>
    <w:p>
      <w:pPr>
        <w:ind w:left="1920" w:hanging="616"/>
        <w:spacing w:after="0"/>
        <w:tabs>
          <w:tab w:leader="none" w:pos="19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SECURITIES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Issuable in Series</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9" w:name="page70"/>
    <w:bookmarkEnd w:id="69"/>
    <w:p>
      <w:pPr>
        <w:jc w:val="both"/>
        <w:spacing w:after="0" w:line="247" w:lineRule="auto"/>
        <w:rPr>
          <w:sz w:val="20"/>
          <w:szCs w:val="20"/>
          <w:color w:val="auto"/>
        </w:rPr>
      </w:pPr>
      <w:r>
        <w:rPr>
          <w:rFonts w:ascii="Arial" w:cs="Arial" w:eastAsia="Arial" w:hAnsi="Arial"/>
          <w:sz w:val="22"/>
          <w:szCs w:val="22"/>
          <w:color w:val="auto"/>
        </w:rPr>
        <w:t>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Establishment of Terms of Series of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2.2.1. the title (which shall distinguish the Securities of that particular Series from the Securities of any other Series) and ranking (including the terms of any subordination provisions) of the Series;</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2.2.2. the price or prices (expressed as a percentage of the principal amount thereof) at which the Securities of the Series will be issued;</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67"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the date or dates on which the principal of the Securities of the Series is payable;</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0" w:name="page71"/>
    <w:bookmarkEnd w:id="70"/>
    <w:p>
      <w:pPr>
        <w:jc w:val="both"/>
        <w:ind w:firstLine="1296"/>
        <w:spacing w:after="0" w:line="287" w:lineRule="auto"/>
        <w:rPr>
          <w:sz w:val="20"/>
          <w:szCs w:val="20"/>
          <w:color w:val="auto"/>
        </w:rPr>
      </w:pPr>
      <w:r>
        <w:rPr>
          <w:rFonts w:ascii="Arial" w:cs="Arial" w:eastAsia="Arial" w:hAnsi="Arial"/>
          <w:sz w:val="21"/>
          <w:szCs w:val="21"/>
          <w:color w:val="auto"/>
        </w:rPr>
        <w:t>2.2.7. if applicable, the period or periods within which, the price or prices at which and the terms and conditions upon which the Securities of the Series may be redeemed, in whole or in part, at the option of the Company;</w:t>
      </w:r>
    </w:p>
    <w:p>
      <w:pPr>
        <w:spacing w:after="0" w:line="15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2.2.10. if other than denominations of $1,000 and any integral multiple thereof, the denominations in which the Securities of the Series shall be issuable;</w:t>
      </w:r>
    </w:p>
    <w:p>
      <w:pPr>
        <w:spacing w:after="0" w:line="17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2.2.11.</w:t>
      </w:r>
      <w:r>
        <w:rPr>
          <w:sz w:val="20"/>
          <w:szCs w:val="20"/>
          <w:color w:val="auto"/>
        </w:rPr>
        <w:tab/>
      </w:r>
      <w:r>
        <w:rPr>
          <w:rFonts w:ascii="Arial" w:cs="Arial" w:eastAsia="Arial" w:hAnsi="Arial"/>
          <w:sz w:val="19"/>
          <w:szCs w:val="19"/>
          <w:color w:val="auto"/>
        </w:rPr>
        <w:t>the forms of the Securities of the Series and whether the Securities will be issuable as Global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8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2.2.14. the designation of the currency, currencies or currency units in which payment of the principal of and interest, if any, on the Securities of the Series will be made;</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5"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2"/>
          <w:szCs w:val="22"/>
          <w:color w:val="auto"/>
        </w:rPr>
        <w:t>2.2.17.</w:t>
      </w:r>
      <w:r>
        <w:rPr>
          <w:sz w:val="20"/>
          <w:szCs w:val="20"/>
          <w:color w:val="auto"/>
        </w:rPr>
        <w:tab/>
      </w:r>
      <w:r>
        <w:rPr>
          <w:rFonts w:ascii="Arial" w:cs="Arial" w:eastAsia="Arial" w:hAnsi="Arial"/>
          <w:sz w:val="19"/>
          <w:szCs w:val="19"/>
          <w:color w:val="auto"/>
        </w:rPr>
        <w:t>the provisions, if any, relating to any security provided for the Securities of the Series;</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2.2.18. any addition to, deletion of or change in the Events of Default which applies to any Securities of the Series and any change in the right of the Trustee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1" w:name="page72"/>
    <w:bookmarkEnd w:id="71"/>
    <w:p>
      <w:pPr>
        <w:spacing w:after="0"/>
        <w:rPr>
          <w:sz w:val="20"/>
          <w:szCs w:val="20"/>
          <w:color w:val="auto"/>
        </w:rPr>
      </w:pPr>
      <w:r>
        <w:rPr>
          <w:rFonts w:ascii="Arial" w:cs="Arial" w:eastAsia="Arial" w:hAnsi="Arial"/>
          <w:sz w:val="21"/>
          <w:szCs w:val="21"/>
          <w:color w:val="auto"/>
        </w:rPr>
        <w:t>requisite Holders of such Securities to declare the principal amount thereof due and payable pursuant to Section 6.2;</w:t>
      </w:r>
    </w:p>
    <w:p>
      <w:pPr>
        <w:spacing w:after="0" w:line="23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2.2.19. any addition to, deletion of or change in the covenants set forth in Articles IV or V which applies to Securities of the Series;</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2.2.20. any Depositaries, interest rate calculation agents, exchange rate calculation agents or other agents with respect to Securities of such Series if other than those appointed herein;</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9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2.2.23. whether any of the Company’s direct or indirect Subsidiaries will guarantee the Securities of that Series, including the terms of subordination, if any, of such guarantees.</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Execution and Authentication</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 Officer shall sign the Securities for the Company by manual or facsimile signature.</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If an Officer whose signature is on a Security no longer holds that office at the time the Security is authenticated, the Security shall nevertheless be valid.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Security shall not be valid until authenticated by the manual signature of the Trustee or an authenticating agent.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signature shall be conclusive evidence that the Security has been authenticated under this Indenture.</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2" w:name="page73"/>
    <w:bookmarkEnd w:id="72"/>
    <w:p>
      <w:pPr>
        <w:jc w:val="both"/>
        <w:ind w:firstLine="1296"/>
        <w:spacing w:after="0" w:line="253" w:lineRule="auto"/>
        <w:rPr>
          <w:sz w:val="20"/>
          <w:szCs w:val="20"/>
          <w:color w:val="auto"/>
        </w:rPr>
      </w:pPr>
      <w:r>
        <w:rPr>
          <w:rFonts w:ascii="Arial" w:cs="Arial" w:eastAsia="Arial" w:hAnsi="Arial"/>
          <w:sz w:val="22"/>
          <w:szCs w:val="22"/>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where Securities of such Series may be surrendered for registration of transfer 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where notices and demands to or upon the Company in respect of the Securities of such Series and this Indenture may be delivered (“</w:t>
      </w:r>
      <w:r>
        <w:rPr>
          <w:rFonts w:ascii="Arial" w:cs="Arial" w:eastAsia="Arial" w:hAnsi="Arial"/>
          <w:sz w:val="19"/>
          <w:szCs w:val="19"/>
          <w:i w:val="1"/>
          <w:iCs w:val="1"/>
          <w:color w:val="auto"/>
        </w:rPr>
        <w:t>Notice Agent</w:t>
      </w:r>
      <w:r>
        <w:rPr>
          <w:rFonts w:ascii="Arial" w:cs="Arial" w:eastAsia="Arial" w:hAnsi="Arial"/>
          <w:sz w:val="19"/>
          <w:szCs w:val="19"/>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appointment of the Trustee as the Notice Agent shall exclude the appointment of the Trustee or any office of the Trustee as an agent to receive the service of legal process on the Company.</w:t>
      </w:r>
    </w:p>
    <w:p>
      <w:pPr>
        <w:spacing w:after="0" w:line="15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Company may also from time to time designate one or more co-registrars, additional paying agents or additional notice agents and may from time to time rescind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46" w:lineRule="auto"/>
        <w:rPr>
          <w:sz w:val="20"/>
          <w:szCs w:val="20"/>
          <w:color w:val="auto"/>
        </w:rPr>
      </w:pPr>
      <w:r>
        <w:rPr>
          <w:rFonts w:ascii="Arial" w:cs="Arial" w:eastAsia="Arial" w:hAnsi="Arial"/>
          <w:sz w:val="22"/>
          <w:szCs w:val="22"/>
          <w:color w:val="auto"/>
        </w:rPr>
        <w:t xml:space="preserve">designations;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22"/>
          <w:szCs w:val="22"/>
          <w:i w:val="1"/>
          <w:iCs w:val="1"/>
          <w:color w:val="auto"/>
        </w:rPr>
        <w:t>Registrar</w:t>
      </w:r>
      <w:r>
        <w:rPr>
          <w:rFonts w:ascii="Arial" w:cs="Arial" w:eastAsia="Arial" w:hAnsi="Arial"/>
          <w:sz w:val="22"/>
          <w:szCs w:val="22"/>
          <w:color w:val="auto"/>
        </w:rPr>
        <w:t>” includes any co-registrar; the term “</w:t>
      </w:r>
      <w:r>
        <w:rPr>
          <w:rFonts w:ascii="Arial" w:cs="Arial" w:eastAsia="Arial" w:hAnsi="Arial"/>
          <w:sz w:val="22"/>
          <w:szCs w:val="22"/>
          <w:i w:val="1"/>
          <w:iCs w:val="1"/>
          <w:color w:val="auto"/>
        </w:rPr>
        <w:t>Paying Agent</w:t>
      </w:r>
      <w:r>
        <w:rPr>
          <w:rFonts w:ascii="Arial" w:cs="Arial" w:eastAsia="Arial" w:hAnsi="Arial"/>
          <w:sz w:val="22"/>
          <w:szCs w:val="22"/>
          <w:color w:val="auto"/>
        </w:rPr>
        <w:t>” includes any additional paying agent; and the term “</w:t>
      </w:r>
      <w:r>
        <w:rPr>
          <w:rFonts w:ascii="Arial" w:cs="Arial" w:eastAsia="Arial" w:hAnsi="Arial"/>
          <w:sz w:val="22"/>
          <w:szCs w:val="22"/>
          <w:i w:val="1"/>
          <w:iCs w:val="1"/>
          <w:color w:val="auto"/>
        </w:rPr>
        <w:t>Notice Agent</w:t>
      </w:r>
      <w:r>
        <w:rPr>
          <w:rFonts w:ascii="Arial" w:cs="Arial" w:eastAsia="Arial" w:hAnsi="Arial"/>
          <w:sz w:val="22"/>
          <w:szCs w:val="22"/>
          <w:color w:val="auto"/>
        </w:rPr>
        <w:t>” includes any additional notice agent. The Company or any of its Affiliates may serve as Registrar or Paying Agent.</w:t>
      </w:r>
    </w:p>
    <w:p>
      <w:pPr>
        <w:spacing w:after="0" w:line="19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Securityholder Lists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4" w:name="page75"/>
    <w:bookmarkEnd w:id="74"/>
    <w:p>
      <w:pPr>
        <w:jc w:val="both"/>
        <w:spacing w:after="0" w:line="265" w:lineRule="auto"/>
        <w:rPr>
          <w:sz w:val="20"/>
          <w:szCs w:val="20"/>
          <w:color w:val="auto"/>
        </w:rPr>
      </w:pPr>
      <w:r>
        <w:rPr>
          <w:rFonts w:ascii="Arial" w:cs="Arial" w:eastAsia="Arial" w:hAnsi="Arial"/>
          <w:sz w:val="21"/>
          <w:szCs w:val="21"/>
          <w:color w:val="auto"/>
        </w:rPr>
        <w:t>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Mutilated, Destroyed, Lost and Stolen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such Security.</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5" w:name="page76"/>
    <w:bookmarkEnd w:id="75"/>
    <w:p>
      <w:pPr>
        <w:jc w:val="both"/>
        <w:ind w:right="20" w:firstLine="1296"/>
        <w:spacing w:after="0" w:line="263"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Outstanding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6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a Security is replaced pursuant to Section 2.8, it ceases to be outstanding until the Trustee receives proof satisfactory to it that the replaced Security is held by a bona fide purchaser.</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6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8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Treasury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Until definitive Securities are ready for delivery, the Company may prepare and the Trustee shall authenticate temporary Securities upon a Company Order.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302" w:lineRule="auto"/>
        <w:rPr>
          <w:sz w:val="20"/>
          <w:szCs w:val="20"/>
          <w:color w:val="auto"/>
        </w:rPr>
      </w:pPr>
      <w:r>
        <w:rPr>
          <w:rFonts w:ascii="Arial" w:cs="Arial" w:eastAsia="Arial" w:hAnsi="Arial"/>
          <w:sz w:val="19"/>
          <w:szCs w:val="19"/>
          <w:color w:val="auto"/>
        </w:rPr>
        <w:t>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4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Cancellation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Defaulted Interest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Global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2.14.1. </w:t>
      </w:r>
      <w:r>
        <w:rPr>
          <w:rFonts w:ascii="Arial" w:cs="Arial" w:eastAsia="Arial" w:hAnsi="Arial"/>
          <w:sz w:val="22"/>
          <w:szCs w:val="22"/>
          <w:u w:val="single" w:color="auto"/>
          <w:color w:val="auto"/>
        </w:rPr>
        <w:t>Terms of Securities</w:t>
      </w:r>
      <w:r>
        <w:rPr>
          <w:rFonts w:ascii="Arial" w:cs="Arial" w:eastAsia="Arial" w:hAnsi="Arial"/>
          <w:sz w:val="22"/>
          <w:szCs w:val="22"/>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2.14.2. </w:t>
      </w:r>
      <w:r>
        <w:rPr>
          <w:rFonts w:ascii="Arial" w:cs="Arial" w:eastAsia="Arial" w:hAnsi="Arial"/>
          <w:sz w:val="21"/>
          <w:szCs w:val="21"/>
          <w:u w:val="single" w:color="auto"/>
          <w:color w:val="auto"/>
        </w:rPr>
        <w:t>Transfer and Exchange</w:t>
      </w:r>
      <w:r>
        <w:rPr>
          <w:rFonts w:ascii="Arial" w:cs="Arial" w:eastAsia="Arial" w:hAnsi="Arial"/>
          <w:sz w:val="21"/>
          <w:szCs w:val="21"/>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22"/>
          <w:szCs w:val="22"/>
          <w:color w:val="auto"/>
        </w:rPr>
        <w:t>Depositary shall direct in writing in an aggregate principal amount equal to the principal amount of the Global Security with like tenor and terms.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auto"/>
        </w:rPr>
        <w:t>2.14.3.</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Any Global Security issued hereunder shall bear a legend in substantially the following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addition, so long as the Depository Trust Company (“DTC”) is the Depositary, each Global Note registered in the name of DTC or its nominee shall bear a legend in substantially the following form:</w:t>
      </w:r>
    </w:p>
    <w:p>
      <w:pPr>
        <w:spacing w:after="0" w:line="17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2.14.4. </w:t>
      </w:r>
      <w:r>
        <w:rPr>
          <w:rFonts w:ascii="Arial" w:cs="Arial" w:eastAsia="Arial" w:hAnsi="Arial"/>
          <w:sz w:val="22"/>
          <w:szCs w:val="22"/>
          <w:u w:val="single" w:color="auto"/>
          <w:color w:val="auto"/>
        </w:rPr>
        <w:t>Acts of Holders</w:t>
      </w:r>
      <w:r>
        <w:rPr>
          <w:rFonts w:ascii="Arial" w:cs="Arial" w:eastAsia="Arial" w:hAnsi="Arial"/>
          <w:sz w:val="22"/>
          <w:szCs w:val="22"/>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8" w:name="page79"/>
    <w:bookmarkEnd w:id="78"/>
    <w:p>
      <w:pPr>
        <w:jc w:val="both"/>
        <w:ind w:firstLine="1296"/>
        <w:spacing w:after="0" w:line="253" w:lineRule="auto"/>
        <w:rPr>
          <w:sz w:val="20"/>
          <w:szCs w:val="20"/>
          <w:color w:val="auto"/>
        </w:rPr>
      </w:pPr>
      <w:r>
        <w:rPr>
          <w:rFonts w:ascii="Arial" w:cs="Arial" w:eastAsia="Arial" w:hAnsi="Arial"/>
          <w:sz w:val="22"/>
          <w:szCs w:val="22"/>
          <w:color w:val="auto"/>
        </w:rPr>
        <w:t xml:space="preserve">2.14.5. </w:t>
      </w:r>
      <w:r>
        <w:rPr>
          <w:rFonts w:ascii="Arial" w:cs="Arial" w:eastAsia="Arial" w:hAnsi="Arial"/>
          <w:sz w:val="22"/>
          <w:szCs w:val="22"/>
          <w:u w:val="single" w:color="auto"/>
          <w:color w:val="auto"/>
        </w:rPr>
        <w:t>Payments</w:t>
      </w:r>
      <w:r>
        <w:rPr>
          <w:rFonts w:ascii="Arial" w:cs="Arial" w:eastAsia="Arial" w:hAnsi="Arial"/>
          <w:sz w:val="22"/>
          <w:szCs w:val="22"/>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2.14.6. </w:t>
      </w:r>
      <w:r>
        <w:rPr>
          <w:rFonts w:ascii="Arial" w:cs="Arial" w:eastAsia="Arial" w:hAnsi="Arial"/>
          <w:sz w:val="22"/>
          <w:szCs w:val="22"/>
          <w:u w:val="single" w:color="auto"/>
          <w:color w:val="auto"/>
        </w:rPr>
        <w:t>Consents, Declaration and Directions</w:t>
      </w:r>
      <w:r>
        <w:rPr>
          <w:rFonts w:ascii="Arial" w:cs="Arial" w:eastAsia="Arial" w:hAnsi="Arial"/>
          <w:sz w:val="22"/>
          <w:szCs w:val="22"/>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CUSIP Numbers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Notice to Trustee</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w:t>
      </w:r>
    </w:p>
    <w:p>
      <w:pPr>
        <w:spacing w:after="0" w:line="3"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or (b) in the manner that the Trustee deems fair and appropriate, including by lot or other method, unless otherwise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46" w:lineRule="auto"/>
        <w:rPr>
          <w:sz w:val="20"/>
          <w:szCs w:val="20"/>
          <w:color w:val="auto"/>
        </w:rPr>
      </w:pPr>
      <w:r>
        <w:rPr>
          <w:rFonts w:ascii="Arial" w:cs="Arial" w:eastAsia="Arial" w:hAnsi="Arial"/>
          <w:sz w:val="22"/>
          <w:szCs w:val="22"/>
          <w:color w:val="auto"/>
        </w:rPr>
        <w:t>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notice shall identify the Securities of the Series to be redeemed and shall state:</w:t>
      </w:r>
    </w:p>
    <w:p>
      <w:pPr>
        <w:spacing w:after="0" w:line="220" w:lineRule="exact"/>
        <w:rPr>
          <w:sz w:val="20"/>
          <w:szCs w:val="20"/>
          <w:color w:val="auto"/>
        </w:rPr>
      </w:pPr>
    </w:p>
    <w:p>
      <w:pPr>
        <w:ind w:left="1920" w:hanging="616"/>
        <w:spacing w:after="0"/>
        <w:tabs>
          <w:tab w:leader="none" w:pos="19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19" w:lineRule="exact"/>
        <w:rPr>
          <w:rFonts w:ascii="Arial" w:cs="Arial" w:eastAsia="Arial" w:hAnsi="Arial"/>
          <w:sz w:val="22"/>
          <w:szCs w:val="22"/>
          <w:color w:val="auto"/>
        </w:rPr>
      </w:pPr>
    </w:p>
    <w:p>
      <w:pPr>
        <w:ind w:left="1920" w:hanging="616"/>
        <w:spacing w:after="0"/>
        <w:tabs>
          <w:tab w:leader="none" w:pos="19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2036"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7" w:lineRule="exact"/>
        <w:rPr>
          <w:rFonts w:ascii="Arial" w:cs="Arial" w:eastAsia="Arial" w:hAnsi="Arial"/>
          <w:sz w:val="22"/>
          <w:szCs w:val="22"/>
          <w:color w:val="auto"/>
        </w:rPr>
      </w:pPr>
    </w:p>
    <w:p>
      <w:pPr>
        <w:ind w:left="660" w:firstLine="644"/>
        <w:spacing w:after="0" w:line="263" w:lineRule="auto"/>
        <w:tabs>
          <w:tab w:leader="none" w:pos="200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that Securities of the Series called for redemption must be surrendered to the Paying Agent to collect the redemption price;</w:t>
      </w:r>
    </w:p>
    <w:p>
      <w:pPr>
        <w:spacing w:after="0" w:line="174" w:lineRule="exact"/>
        <w:rPr>
          <w:rFonts w:ascii="Arial" w:cs="Arial" w:eastAsia="Arial" w:hAnsi="Arial"/>
          <w:sz w:val="22"/>
          <w:szCs w:val="22"/>
          <w:color w:val="auto"/>
        </w:rPr>
      </w:pPr>
    </w:p>
    <w:p>
      <w:pPr>
        <w:ind w:left="660" w:firstLine="644"/>
        <w:spacing w:after="0" w:line="263" w:lineRule="auto"/>
        <w:tabs>
          <w:tab w:leader="none" w:pos="196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that interest on Securities of the Series called for redemption ceases to accrue on and after the redemption date unless the Company defaults in the deposit of the redemption price;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CUSIP number, if any; and</w:t>
      </w:r>
    </w:p>
    <w:p>
      <w:pPr>
        <w:spacing w:after="0" w:line="219" w:lineRule="exact"/>
        <w:rPr>
          <w:rFonts w:ascii="Arial" w:cs="Arial" w:eastAsia="Arial" w:hAnsi="Arial"/>
          <w:sz w:val="22"/>
          <w:szCs w:val="22"/>
          <w:color w:val="auto"/>
        </w:rPr>
      </w:pPr>
    </w:p>
    <w:p>
      <w:pPr>
        <w:ind w:left="660" w:firstLine="644"/>
        <w:spacing w:after="0" w:line="263" w:lineRule="auto"/>
        <w:tabs>
          <w:tab w:leader="none" w:pos="1981"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other information as may be required by the terms of the particular Series or the Securities of a Series being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80" w:name="page81"/>
    <w:bookmarkEnd w:id="80"/>
    <w:p>
      <w:pPr>
        <w:jc w:val="both"/>
        <w:ind w:firstLine="1296"/>
        <w:spacing w:after="0" w:line="250" w:lineRule="auto"/>
        <w:rPr>
          <w:sz w:val="20"/>
          <w:szCs w:val="20"/>
          <w:color w:val="auto"/>
        </w:rPr>
      </w:pPr>
      <w:r>
        <w:rPr>
          <w:rFonts w:ascii="Arial" w:cs="Arial" w:eastAsia="Arial" w:hAnsi="Arial"/>
          <w:sz w:val="22"/>
          <w:szCs w:val="22"/>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w:t>
      </w:r>
    </w:p>
    <w:p>
      <w:pPr>
        <w:spacing w:after="0" w:line="220"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0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Payment of Principal and Interest</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2"/>
          <w:szCs w:val="22"/>
          <w:color w:val="auto"/>
        </w:rPr>
        <w:t>with the SEC via the EDGAR system will be deemed to be delivered to the Trustee as of the time of such filing via EDGAR for purposes of this Section 4.2.</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Compliance Certificate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Stay, Extension and Usury Laws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SUCCESSORS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When Company May Merge, Etc</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Company shall not consolidate with or merge with or into, or convey, transfer or lease all or substantially all of its properties and assets to, any person (a “</w:t>
      </w:r>
      <w:r>
        <w:rPr>
          <w:rFonts w:ascii="Arial" w:cs="Arial" w:eastAsia="Arial" w:hAnsi="Arial"/>
          <w:sz w:val="22"/>
          <w:szCs w:val="22"/>
          <w:i w:val="1"/>
          <w:iCs w:val="1"/>
          <w:color w:val="auto"/>
        </w:rPr>
        <w:t>successor person</w:t>
      </w:r>
      <w:r>
        <w:rPr>
          <w:rFonts w:ascii="Arial" w:cs="Arial" w:eastAsia="Arial" w:hAnsi="Arial"/>
          <w:sz w:val="22"/>
          <w:szCs w:val="22"/>
          <w:color w:val="auto"/>
        </w:rPr>
        <w:t>”) unless:</w:t>
      </w:r>
    </w:p>
    <w:p>
      <w:pPr>
        <w:spacing w:after="0" w:line="175" w:lineRule="exact"/>
        <w:rPr>
          <w:sz w:val="20"/>
          <w:szCs w:val="20"/>
          <w:color w:val="auto"/>
        </w:rPr>
      </w:pPr>
    </w:p>
    <w:p>
      <w:pPr>
        <w:ind w:left="660" w:right="20" w:firstLine="644"/>
        <w:spacing w:after="0" w:line="263" w:lineRule="auto"/>
        <w:tabs>
          <w:tab w:leader="none" w:pos="2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is the surviving corporation or the successor person (if other than the Company) is a corporation organized and validly existing under the laws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82" w:name="page83"/>
    <w:bookmarkEnd w:id="82"/>
    <w:p>
      <w:pPr>
        <w:ind w:left="660"/>
        <w:spacing w:after="0" w:line="263" w:lineRule="auto"/>
        <w:rPr>
          <w:sz w:val="20"/>
          <w:szCs w:val="20"/>
          <w:color w:val="auto"/>
        </w:rPr>
      </w:pPr>
      <w:r>
        <w:rPr>
          <w:rFonts w:ascii="Arial" w:cs="Arial" w:eastAsia="Arial" w:hAnsi="Arial"/>
          <w:sz w:val="22"/>
          <w:szCs w:val="22"/>
          <w:color w:val="auto"/>
        </w:rPr>
        <w:t>U.S. domestic jurisdiction and expressly assumes the Company’s obligations on the Securities and under this Indenture; and</w:t>
      </w:r>
    </w:p>
    <w:p>
      <w:pPr>
        <w:spacing w:after="0" w:line="175" w:lineRule="exact"/>
        <w:rPr>
          <w:sz w:val="20"/>
          <w:szCs w:val="20"/>
          <w:color w:val="auto"/>
        </w:rPr>
      </w:pPr>
    </w:p>
    <w:p>
      <w:pPr>
        <w:ind w:left="1980" w:hanging="676"/>
        <w:spacing w:after="0"/>
        <w:tabs>
          <w:tab w:leader="none" w:pos="19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immediately after giving effect to the transaction, no Default or Event of Default, shall have occurred and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be continuing.</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Successor Corporation Substituted</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predecessor Company in the case of a sale, conveyance or other disposition (other than a lease) shall be released from all obligations and covenants under this Indenture and the Securities.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5" w:lineRule="exact"/>
        <w:rPr>
          <w:sz w:val="20"/>
          <w:szCs w:val="20"/>
          <w:color w:val="auto"/>
        </w:rPr>
      </w:pPr>
    </w:p>
    <w:p>
      <w:pPr>
        <w:jc w:val="both"/>
        <w:ind w:left="660" w:firstLine="644"/>
        <w:spacing w:after="0" w:line="231" w:lineRule="auto"/>
        <w:tabs>
          <w:tab w:leader="none" w:pos="1951"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such period); or</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default in the payment of principal of any Security of that Series at its Maturity; or</w:t>
      </w:r>
    </w:p>
    <w:p>
      <w:pPr>
        <w:spacing w:after="0" w:line="219" w:lineRule="exact"/>
        <w:rPr>
          <w:rFonts w:ascii="Arial" w:cs="Arial" w:eastAsia="Arial" w:hAnsi="Arial"/>
          <w:sz w:val="22"/>
          <w:szCs w:val="22"/>
          <w:color w:val="auto"/>
        </w:rPr>
      </w:pPr>
    </w:p>
    <w:p>
      <w:pPr>
        <w:ind w:left="660" w:firstLine="644"/>
        <w:spacing w:after="0" w:line="263" w:lineRule="auto"/>
        <w:tabs>
          <w:tab w:leader="none" w:pos="1981"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default in the performance or breach of any covenant or warranty of the Company in this Indenture (other than defaults pursuant to paragraphs (a) or (b)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83" w:name="page84"/>
    <w:bookmarkEnd w:id="83"/>
    <w:p>
      <w:pPr>
        <w:jc w:val="both"/>
        <w:ind w:left="660"/>
        <w:spacing w:after="0" w:line="297" w:lineRule="auto"/>
        <w:rPr>
          <w:sz w:val="20"/>
          <w:szCs w:val="20"/>
          <w:color w:val="auto"/>
        </w:rPr>
      </w:pPr>
      <w:r>
        <w:rPr>
          <w:rFonts w:ascii="Arial" w:cs="Arial" w:eastAsia="Arial" w:hAnsi="Arial"/>
          <w:sz w:val="19"/>
          <w:szCs w:val="19"/>
          <w:color w:val="auto"/>
        </w:rPr>
        <w:t>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47" w:lineRule="exact"/>
        <w:rPr>
          <w:sz w:val="20"/>
          <w:szCs w:val="20"/>
          <w:color w:val="auto"/>
        </w:rPr>
      </w:pPr>
    </w:p>
    <w:p>
      <w:pPr>
        <w:ind w:left="1940" w:hanging="636"/>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pursuant to or within the meaning of any Bankruptcy Law:</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19" w:lineRule="exact"/>
        <w:rPr>
          <w:rFonts w:ascii="Arial" w:cs="Arial" w:eastAsia="Arial" w:hAnsi="Arial"/>
          <w:sz w:val="22"/>
          <w:szCs w:val="22"/>
          <w:color w:val="auto"/>
        </w:rPr>
      </w:pPr>
    </w:p>
    <w:p>
      <w:pPr>
        <w:ind w:left="2500" w:hanging="548"/>
        <w:spacing w:after="0"/>
        <w:tabs>
          <w:tab w:leader="none" w:pos="25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consents to the appointment of a Custodian of it or for all or substantially all of its property,</w:t>
      </w:r>
    </w:p>
    <w:p>
      <w:pPr>
        <w:spacing w:after="0" w:line="231" w:lineRule="exact"/>
        <w:rPr>
          <w:rFonts w:ascii="Arial" w:cs="Arial" w:eastAsia="Arial" w:hAnsi="Arial"/>
          <w:sz w:val="21"/>
          <w:szCs w:val="21"/>
          <w:color w:val="auto"/>
        </w:rPr>
      </w:pPr>
    </w:p>
    <w:p>
      <w:pPr>
        <w:ind w:left="2480" w:hanging="528"/>
        <w:spacing w:after="0"/>
        <w:tabs>
          <w:tab w:leader="none" w:pos="24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generally is unable to pay its debts as the same become due; or</w:t>
      </w:r>
    </w:p>
    <w:p>
      <w:pPr>
        <w:spacing w:after="0" w:line="219" w:lineRule="exact"/>
        <w:rPr>
          <w:rFonts w:ascii="Arial" w:cs="Arial" w:eastAsia="Arial" w:hAnsi="Arial"/>
          <w:sz w:val="22"/>
          <w:szCs w:val="22"/>
          <w:color w:val="auto"/>
        </w:rPr>
      </w:pPr>
    </w:p>
    <w:p>
      <w:pPr>
        <w:ind w:left="1920" w:hanging="616"/>
        <w:spacing w:after="0"/>
        <w:tabs>
          <w:tab w:leader="none" w:pos="19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is for relief against the Company in an involuntary case,</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appoints a Custodian of the Company or for all or substantially all of its property, or</w:t>
      </w:r>
    </w:p>
    <w:p>
      <w:pPr>
        <w:spacing w:after="0" w:line="219" w:lineRule="exact"/>
        <w:rPr>
          <w:rFonts w:ascii="Arial" w:cs="Arial" w:eastAsia="Arial" w:hAnsi="Arial"/>
          <w:sz w:val="22"/>
          <w:szCs w:val="22"/>
          <w:color w:val="auto"/>
        </w:rPr>
      </w:pPr>
    </w:p>
    <w:p>
      <w:pPr>
        <w:ind w:left="2500" w:hanging="548"/>
        <w:spacing w:after="0"/>
        <w:tabs>
          <w:tab w:leader="none" w:pos="25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orders the liquidation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the order or decree remains unstayed and in effect for 60 days; or</w:t>
      </w:r>
    </w:p>
    <w:p>
      <w:pPr>
        <w:spacing w:after="0" w:line="220" w:lineRule="exact"/>
        <w:rPr>
          <w:sz w:val="20"/>
          <w:szCs w:val="20"/>
          <w:color w:val="auto"/>
        </w:rPr>
      </w:pPr>
    </w:p>
    <w:p>
      <w:pPr>
        <w:ind w:left="660" w:firstLine="644"/>
        <w:spacing w:after="0" w:line="287" w:lineRule="auto"/>
        <w:tabs>
          <w:tab w:leader="none" w:pos="1947" w:val="left"/>
        </w:tabs>
        <w:numPr>
          <w:ilvl w:val="0"/>
          <w:numId w:val="47"/>
        </w:numPr>
        <w:rPr>
          <w:rFonts w:ascii="Arial" w:cs="Arial" w:eastAsia="Arial" w:hAnsi="Arial"/>
          <w:sz w:val="21"/>
          <w:szCs w:val="21"/>
          <w:color w:val="auto"/>
        </w:rPr>
      </w:pPr>
      <w:r>
        <w:rPr>
          <w:rFonts w:ascii="Arial" w:cs="Arial" w:eastAsia="Arial" w:hAnsi="Arial"/>
          <w:sz w:val="21"/>
          <w:szCs w:val="21"/>
          <w:color w:val="auto"/>
        </w:rPr>
        <w:t>any other Event of Default provided with respect to Securities of that Series, which is specified in a Board Resolution, a supplemental indenture hereto or an Officer’s Certificate, in accordance with Section 2.2.18.</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Bankruptcy Law</w:t>
      </w:r>
      <w:r>
        <w:rPr>
          <w:rFonts w:ascii="Arial" w:cs="Arial" w:eastAsia="Arial" w:hAnsi="Arial"/>
          <w:sz w:val="19"/>
          <w:szCs w:val="19"/>
          <w:color w:val="auto"/>
        </w:rPr>
        <w:t>” means title 11, U.S. Code or any similar Federal or State law for the relief of debtors.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Custodian</w:t>
      </w:r>
      <w:r>
        <w:rPr>
          <w:rFonts w:ascii="Arial" w:cs="Arial" w:eastAsia="Arial" w:hAnsi="Arial"/>
          <w:sz w:val="22"/>
          <w:szCs w:val="22"/>
          <w:color w:val="auto"/>
        </w:rPr>
        <w:t>” means any receiver, trustee, assignee, liquidator or similar official under any Bankruptcy Law.</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84" w:name="page85"/>
    <w:bookmarkEnd w:id="84"/>
    <w:p>
      <w:pPr>
        <w:ind w:left="660"/>
        <w:spacing w:after="0"/>
        <w:tabs>
          <w:tab w:leader="none" w:pos="19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9"/>
          <w:szCs w:val="19"/>
          <w:i w:val="1"/>
          <w:iCs w:val="1"/>
          <w:color w:val="auto"/>
        </w:rPr>
        <w:t>ipso facto</w:t>
      </w:r>
      <w:r>
        <w:rPr>
          <w:rFonts w:ascii="Arial" w:cs="Arial" w:eastAsia="Arial" w:hAnsi="Arial"/>
          <w:sz w:val="19"/>
          <w:szCs w:val="19"/>
          <w:color w:val="auto"/>
        </w:rPr>
        <w:t xml:space="preserve"> become and be immediately due and payable without any declaration or other act on the part of the Trustee or any Holder.</w:t>
      </w:r>
    </w:p>
    <w:p>
      <w:pPr>
        <w:spacing w:after="0" w:line="200" w:lineRule="exact"/>
        <w:rPr>
          <w:sz w:val="20"/>
          <w:szCs w:val="20"/>
          <w:color w:val="auto"/>
        </w:rPr>
      </w:pPr>
    </w:p>
    <w:p>
      <w:pPr>
        <w:spacing w:after="0" w:line="21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Collection of Indebtedness and Suits for Enforcement by Trustee</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covenants that if</w:t>
      </w:r>
    </w:p>
    <w:p>
      <w:pPr>
        <w:spacing w:after="0" w:line="220" w:lineRule="exact"/>
        <w:rPr>
          <w:sz w:val="20"/>
          <w:szCs w:val="20"/>
          <w:color w:val="auto"/>
        </w:rPr>
      </w:pPr>
    </w:p>
    <w:p>
      <w:pPr>
        <w:ind w:left="660" w:firstLine="644"/>
        <w:spacing w:after="0" w:line="263" w:lineRule="auto"/>
        <w:tabs>
          <w:tab w:leader="none" w:pos="1933"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Security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default is made in the payment of principal of any Security at the Maturity thereof, or</w:t>
      </w:r>
    </w:p>
    <w:p>
      <w:pPr>
        <w:spacing w:after="0" w:line="219" w:lineRule="exact"/>
        <w:rPr>
          <w:rFonts w:ascii="Arial" w:cs="Arial" w:eastAsia="Arial" w:hAnsi="Arial"/>
          <w:sz w:val="22"/>
          <w:szCs w:val="22"/>
          <w:color w:val="auto"/>
        </w:rPr>
      </w:pPr>
    </w:p>
    <w:p>
      <w:pPr>
        <w:ind w:left="2080" w:hanging="776"/>
        <w:spacing w:after="0"/>
        <w:tabs>
          <w:tab w:leader="none" w:pos="20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default is made in the deposit of any sinking fund payment, if any, when and as due by the terms of a</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Security,</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 xml:space="preserve">then, </w:t>
      </w:r>
      <w:r>
        <w:rPr>
          <w:rFonts w:ascii="Arial" w:cs="Arial" w:eastAsia="Arial" w:hAnsi="Arial"/>
          <w:sz w:val="19"/>
          <w:szCs w:val="19"/>
          <w:color w:val="auto"/>
        </w:rPr>
        <w:t>the Company will, upon demand of the Trustee, pay to it, for the benefit of the Holders of such Securities, the whole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2"/>
          <w:szCs w:val="22"/>
          <w:color w:val="auto"/>
        </w:rPr>
        <w:t>and expenses of collection, including the compensation, reasonable expenses, disbursements and advances of the Trustee, its agents and counsel.</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9" w:lineRule="exact"/>
        <w:rPr>
          <w:sz w:val="20"/>
          <w:szCs w:val="20"/>
          <w:color w:val="auto"/>
        </w:rPr>
      </w:pPr>
    </w:p>
    <w:p>
      <w:pPr>
        <w:jc w:val="both"/>
        <w:ind w:left="660" w:firstLine="644"/>
        <w:spacing w:after="0" w:line="265" w:lineRule="auto"/>
        <w:tabs>
          <w:tab w:leader="none" w:pos="196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5" w:lineRule="exact"/>
        <w:rPr>
          <w:rFonts w:ascii="Arial" w:cs="Arial" w:eastAsia="Arial" w:hAnsi="Arial"/>
          <w:sz w:val="21"/>
          <w:szCs w:val="21"/>
          <w:color w:val="auto"/>
        </w:rPr>
      </w:pPr>
    </w:p>
    <w:p>
      <w:pPr>
        <w:ind w:left="660" w:right="20" w:firstLine="644"/>
        <w:spacing w:after="0" w:line="263" w:lineRule="auto"/>
        <w:tabs>
          <w:tab w:leader="none" w:pos="210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86" w:name="page87"/>
    <w:bookmarkEnd w:id="86"/>
    <w:p>
      <w:pPr>
        <w:jc w:val="both"/>
        <w:ind w:firstLine="1296"/>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Trustee May Enforce Claims Without Possession of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Application of Money Collected.</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19"/>
          <w:szCs w:val="19"/>
          <w:color w:val="auto"/>
        </w:rPr>
        <w:t>To the payment of all amounts due the Trustee under Section 7.7; and</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Arial" w:cs="Arial" w:eastAsia="Arial" w:hAnsi="Arial"/>
          <w:sz w:val="21"/>
          <w:szCs w:val="21"/>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6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Third:</w:t>
      </w:r>
      <w:r>
        <w:rPr>
          <w:sz w:val="20"/>
          <w:szCs w:val="20"/>
          <w:color w:val="auto"/>
        </w:rPr>
        <w:tab/>
      </w:r>
      <w:r>
        <w:rPr>
          <w:rFonts w:ascii="Arial" w:cs="Arial" w:eastAsia="Arial" w:hAnsi="Arial"/>
          <w:sz w:val="19"/>
          <w:szCs w:val="19"/>
          <w:color w:val="auto"/>
        </w:rPr>
        <w:t>To the Company.</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04" w:lineRule="exact"/>
        <w:rPr>
          <w:sz w:val="20"/>
          <w:szCs w:val="20"/>
          <w:color w:val="auto"/>
        </w:rPr>
      </w:pPr>
    </w:p>
    <w:p>
      <w:pPr>
        <w:ind w:left="660" w:firstLine="644"/>
        <w:spacing w:after="0" w:line="263" w:lineRule="auto"/>
        <w:tabs>
          <w:tab w:leader="none" w:pos="2123"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87" w:name="page88"/>
    <w:bookmarkEnd w:id="87"/>
    <w:p>
      <w:pPr>
        <w:ind w:left="660" w:firstLine="644"/>
        <w:spacing w:after="0" w:line="343" w:lineRule="auto"/>
        <w:tabs>
          <w:tab w:leader="none" w:pos="19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such Holder or Holders have offered to the Trustee indemnity or security satisfactory to the Trustee against the costs, expenses and liabilities which might be incurred by the Trustee in compliance with such request;</w:t>
      </w:r>
    </w:p>
    <w:p>
      <w:pPr>
        <w:spacing w:after="0" w:line="104" w:lineRule="exact"/>
        <w:rPr>
          <w:rFonts w:ascii="Arial" w:cs="Arial" w:eastAsia="Arial" w:hAnsi="Arial"/>
          <w:sz w:val="19"/>
          <w:szCs w:val="19"/>
          <w:color w:val="auto"/>
        </w:rPr>
      </w:pPr>
    </w:p>
    <w:p>
      <w:pPr>
        <w:ind w:left="660" w:firstLine="644"/>
        <w:spacing w:after="0" w:line="263" w:lineRule="auto"/>
        <w:tabs>
          <w:tab w:leader="none" w:pos="196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4" w:lineRule="exact"/>
        <w:rPr>
          <w:rFonts w:ascii="Arial" w:cs="Arial" w:eastAsia="Arial" w:hAnsi="Arial"/>
          <w:sz w:val="22"/>
          <w:szCs w:val="22"/>
          <w:color w:val="auto"/>
        </w:rPr>
      </w:pPr>
    </w:p>
    <w:p>
      <w:pPr>
        <w:ind w:left="660" w:firstLine="644"/>
        <w:spacing w:after="0" w:line="263" w:lineRule="auto"/>
        <w:tabs>
          <w:tab w:leader="none" w:pos="1942"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Holders of a majority in principal amount of the outstanding Securities of that Series;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Unconditional Right of Holders to Receive Principal and Interest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Restoration of Rights and Remedies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22"/>
          <w:szCs w:val="22"/>
          <w:color w:val="auto"/>
        </w:rPr>
        <w:t>otherwise, shall not, to the extent permitted by law, prevent the concurrent assertion or employment of any other appropriate right or remedy.</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Delay or Omission Not Waiver</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Control by Holders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67" w:lineRule="exact"/>
        <w:rPr>
          <w:sz w:val="20"/>
          <w:szCs w:val="20"/>
          <w:color w:val="auto"/>
        </w:rPr>
      </w:pPr>
    </w:p>
    <w:p>
      <w:pPr>
        <w:ind w:left="1920" w:hanging="616"/>
        <w:spacing w:after="0"/>
        <w:tabs>
          <w:tab w:leader="none" w:pos="19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19" w:lineRule="exact"/>
        <w:rPr>
          <w:rFonts w:ascii="Arial" w:cs="Arial" w:eastAsia="Arial" w:hAnsi="Arial"/>
          <w:sz w:val="22"/>
          <w:szCs w:val="22"/>
          <w:color w:val="auto"/>
        </w:rPr>
      </w:pPr>
    </w:p>
    <w:p>
      <w:pPr>
        <w:ind w:left="2040" w:hanging="736"/>
        <w:spacing w:after="0"/>
        <w:tabs>
          <w:tab w:leader="none" w:pos="20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 such</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direction,</w:t>
      </w:r>
    </w:p>
    <w:p>
      <w:pPr>
        <w:spacing w:after="0" w:line="201" w:lineRule="exact"/>
        <w:rPr>
          <w:rFonts w:ascii="Arial" w:cs="Arial" w:eastAsia="Arial" w:hAnsi="Arial"/>
          <w:sz w:val="19"/>
          <w:szCs w:val="19"/>
          <w:color w:val="auto"/>
        </w:rPr>
      </w:pPr>
    </w:p>
    <w:p>
      <w:pPr>
        <w:jc w:val="both"/>
        <w:ind w:left="660" w:firstLine="644"/>
        <w:spacing w:after="0" w:line="253" w:lineRule="auto"/>
        <w:tabs>
          <w:tab w:leader="none" w:pos="2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2068"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89" w:name="page90"/>
    <w:bookmarkEnd w:id="89"/>
    <w:p>
      <w:pPr>
        <w:ind w:left="660"/>
        <w:spacing w:after="0"/>
        <w:tabs>
          <w:tab w:leader="none" w:pos="204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u w:val="single" w:color="auto"/>
          <w:color w:val="auto"/>
        </w:rPr>
        <w:t>Undertaking for Costs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2" w:lineRule="exact"/>
        <w:rPr>
          <w:sz w:val="20"/>
          <w:szCs w:val="20"/>
          <w:color w:val="auto"/>
        </w:rPr>
      </w:pPr>
    </w:p>
    <w:p>
      <w:pPr>
        <w:jc w:val="both"/>
        <w:ind w:left="660" w:firstLine="644"/>
        <w:spacing w:after="0" w:line="253" w:lineRule="auto"/>
        <w:tabs>
          <w:tab w:leader="none" w:pos="2079"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Trustee need perform only those duties that are specifically set forth in this Indenture and no</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others.</w:t>
      </w:r>
    </w:p>
    <w:p>
      <w:pPr>
        <w:spacing w:after="0" w:line="201" w:lineRule="exact"/>
        <w:rPr>
          <w:rFonts w:ascii="Arial" w:cs="Arial" w:eastAsia="Arial" w:hAnsi="Arial"/>
          <w:sz w:val="19"/>
          <w:szCs w:val="19"/>
          <w:color w:val="auto"/>
        </w:rPr>
      </w:pPr>
    </w:p>
    <w:p>
      <w:pPr>
        <w:jc w:val="both"/>
        <w:ind w:left="1300" w:firstLine="652"/>
        <w:spacing w:after="0" w:line="294" w:lineRule="auto"/>
        <w:tabs>
          <w:tab w:leader="none" w:pos="2557"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49" w:lineRule="exact"/>
        <w:rPr>
          <w:rFonts w:ascii="Arial" w:cs="Arial" w:eastAsia="Arial" w:hAnsi="Arial"/>
          <w:sz w:val="19"/>
          <w:szCs w:val="19"/>
          <w:color w:val="auto"/>
        </w:rPr>
      </w:pPr>
    </w:p>
    <w:p>
      <w:pPr>
        <w:ind w:left="660" w:firstLine="644"/>
        <w:spacing w:after="0" w:line="263" w:lineRule="auto"/>
        <w:tabs>
          <w:tab w:leader="none" w:pos="196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90" w:name="page91"/>
    <w:bookmarkEnd w:id="90"/>
    <w:p>
      <w:pPr>
        <w:ind w:left="1704" w:hanging="408"/>
        <w:spacing w:after="0"/>
        <w:tabs>
          <w:tab w:leader="none" w:pos="1704"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w:t>
      </w:r>
    </w:p>
    <w:p>
      <w:pPr>
        <w:spacing w:after="0" w:line="219" w:lineRule="exact"/>
        <w:rPr>
          <w:rFonts w:ascii="Arial" w:cs="Arial" w:eastAsia="Arial" w:hAnsi="Arial"/>
          <w:sz w:val="22"/>
          <w:szCs w:val="22"/>
          <w:color w:val="auto"/>
        </w:rPr>
      </w:pPr>
    </w:p>
    <w:p>
      <w:pPr>
        <w:ind w:left="644" w:firstLine="652"/>
        <w:spacing w:after="0" w:line="287" w:lineRule="auto"/>
        <w:tabs>
          <w:tab w:leader="none" w:pos="1770" w:val="left"/>
        </w:tabs>
        <w:numPr>
          <w:ilvl w:val="2"/>
          <w:numId w:val="54"/>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negligent in ascertaining the pertinent facts.</w:t>
      </w:r>
    </w:p>
    <w:p>
      <w:pPr>
        <w:spacing w:after="0" w:line="151" w:lineRule="exact"/>
        <w:rPr>
          <w:rFonts w:ascii="Arial" w:cs="Arial" w:eastAsia="Arial" w:hAnsi="Arial"/>
          <w:sz w:val="21"/>
          <w:szCs w:val="21"/>
          <w:color w:val="auto"/>
        </w:rPr>
      </w:pPr>
    </w:p>
    <w:p>
      <w:pPr>
        <w:jc w:val="both"/>
        <w:ind w:left="644" w:firstLine="652"/>
        <w:spacing w:after="0" w:line="247" w:lineRule="auto"/>
        <w:tabs>
          <w:tab w:leader="none" w:pos="1851"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92" w:lineRule="exact"/>
        <w:rPr>
          <w:rFonts w:ascii="Arial" w:cs="Arial" w:eastAsia="Arial" w:hAnsi="Arial"/>
          <w:sz w:val="22"/>
          <w:szCs w:val="22"/>
          <w:color w:val="auto"/>
        </w:rPr>
      </w:pPr>
    </w:p>
    <w:p>
      <w:pPr>
        <w:ind w:left="1324" w:hanging="676"/>
        <w:spacing w:after="0"/>
        <w:tabs>
          <w:tab w:leader="none" w:pos="13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 (a), (b) and</w:t>
      </w:r>
    </w:p>
    <w:p>
      <w:pPr>
        <w:spacing w:after="0" w:line="55" w:lineRule="exact"/>
        <w:rPr>
          <w:rFonts w:ascii="Arial" w:cs="Arial" w:eastAsia="Arial" w:hAnsi="Arial"/>
          <w:sz w:val="19"/>
          <w:szCs w:val="19"/>
          <w:color w:val="auto"/>
        </w:rPr>
      </w:pPr>
    </w:p>
    <w:p>
      <w:pPr>
        <w:ind w:left="284" w:hanging="284"/>
        <w:spacing w:after="0"/>
        <w:tabs>
          <w:tab w:leader="none" w:pos="284" w:val="left"/>
        </w:tabs>
        <w:numPr>
          <w:ilvl w:val="0"/>
          <w:numId w:val="56"/>
        </w:numPr>
        <w:rPr>
          <w:rFonts w:ascii="Arial" w:cs="Arial" w:eastAsia="Arial" w:hAnsi="Arial"/>
          <w:sz w:val="22"/>
          <w:szCs w:val="22"/>
          <w:color w:val="auto"/>
        </w:rPr>
      </w:pPr>
      <w:r>
        <w:rPr>
          <w:rFonts w:ascii="Arial" w:cs="Arial" w:eastAsia="Arial" w:hAnsi="Arial"/>
          <w:sz w:val="22"/>
          <w:szCs w:val="22"/>
          <w:color w:val="auto"/>
        </w:rPr>
        <w:t>of this Section.</w:t>
      </w:r>
    </w:p>
    <w:p>
      <w:pPr>
        <w:spacing w:after="0" w:line="201" w:lineRule="exact"/>
        <w:rPr>
          <w:rFonts w:ascii="Arial" w:cs="Arial" w:eastAsia="Arial" w:hAnsi="Arial"/>
          <w:sz w:val="22"/>
          <w:szCs w:val="22"/>
          <w:color w:val="auto"/>
        </w:rPr>
      </w:pPr>
    </w:p>
    <w:p>
      <w:pPr>
        <w:jc w:val="both"/>
        <w:ind w:left="4" w:firstLine="644"/>
        <w:spacing w:after="0" w:line="253" w:lineRule="auto"/>
        <w:tabs>
          <w:tab w:leader="none" w:pos="13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85" w:lineRule="exact"/>
        <w:rPr>
          <w:rFonts w:ascii="Arial" w:cs="Arial" w:eastAsia="Arial" w:hAnsi="Arial"/>
          <w:sz w:val="22"/>
          <w:szCs w:val="22"/>
          <w:color w:val="auto"/>
        </w:rPr>
      </w:pPr>
    </w:p>
    <w:p>
      <w:pPr>
        <w:jc w:val="both"/>
        <w:ind w:left="4" w:firstLine="644"/>
        <w:spacing w:after="0" w:line="253" w:lineRule="auto"/>
        <w:tabs>
          <w:tab w:leader="none" w:pos="1291"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85" w:lineRule="exact"/>
        <w:rPr>
          <w:rFonts w:ascii="Arial" w:cs="Arial" w:eastAsia="Arial" w:hAnsi="Arial"/>
          <w:sz w:val="22"/>
          <w:szCs w:val="22"/>
          <w:color w:val="auto"/>
        </w:rPr>
      </w:pPr>
    </w:p>
    <w:p>
      <w:pPr>
        <w:jc w:val="both"/>
        <w:ind w:left="4" w:firstLine="644"/>
        <w:spacing w:after="0" w:line="253" w:lineRule="auto"/>
        <w:tabs>
          <w:tab w:leader="none" w:pos="1494" w:val="left"/>
        </w:tabs>
        <w:numPr>
          <w:ilvl w:val="1"/>
          <w:numId w:val="56"/>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85" w:lineRule="exact"/>
        <w:rPr>
          <w:rFonts w:ascii="Arial" w:cs="Arial" w:eastAsia="Arial" w:hAnsi="Arial"/>
          <w:sz w:val="22"/>
          <w:szCs w:val="22"/>
          <w:color w:val="auto"/>
        </w:rPr>
      </w:pPr>
    </w:p>
    <w:p>
      <w:pPr>
        <w:jc w:val="both"/>
        <w:ind w:left="4" w:firstLine="644"/>
        <w:spacing w:after="0" w:line="253" w:lineRule="auto"/>
        <w:tabs>
          <w:tab w:leader="none" w:pos="14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85"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w:t>
      </w:r>
    </w:p>
    <w:p>
      <w:pPr>
        <w:spacing w:after="0" w:line="220" w:lineRule="exact"/>
        <w:rPr>
          <w:sz w:val="20"/>
          <w:szCs w:val="20"/>
          <w:color w:val="auto"/>
        </w:rPr>
      </w:pPr>
    </w:p>
    <w:p>
      <w:pPr>
        <w:jc w:val="both"/>
        <w:ind w:left="4" w:firstLine="644"/>
        <w:spacing w:after="0" w:line="253" w:lineRule="auto"/>
        <w:tabs>
          <w:tab w:leader="none" w:pos="141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5" w:lineRule="exact"/>
        <w:rPr>
          <w:rFonts w:ascii="Arial" w:cs="Arial" w:eastAsia="Arial" w:hAnsi="Arial"/>
          <w:sz w:val="22"/>
          <w:szCs w:val="22"/>
          <w:color w:val="auto"/>
        </w:rPr>
      </w:pPr>
    </w:p>
    <w:p>
      <w:pPr>
        <w:ind w:left="4" w:right="20" w:firstLine="644"/>
        <w:spacing w:after="0" w:line="263" w:lineRule="auto"/>
        <w:tabs>
          <w:tab w:leader="none" w:pos="1412" w:val="left"/>
        </w:tabs>
        <w:numPr>
          <w:ilvl w:val="0"/>
          <w:numId w:val="57"/>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84"/>
          </w:cols>
          <w:pgMar w:left="976" w:top="1428"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action it takes or omits to take in good faith in reliance on such Officer’s Certificate or Opinion of Counsel.</w:t>
      </w:r>
    </w:p>
    <w:p>
      <w:pPr>
        <w:spacing w:after="0" w:line="220" w:lineRule="exact"/>
        <w:rPr>
          <w:sz w:val="20"/>
          <w:szCs w:val="20"/>
          <w:color w:val="auto"/>
        </w:rPr>
      </w:pPr>
    </w:p>
    <w:p>
      <w:pPr>
        <w:jc w:val="both"/>
        <w:ind w:firstLine="644"/>
        <w:spacing w:after="0" w:line="253" w:lineRule="auto"/>
        <w:tabs>
          <w:tab w:leader="none" w:pos="13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32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3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5" w:lineRule="exact"/>
        <w:rPr>
          <w:rFonts w:ascii="Arial" w:cs="Arial" w:eastAsia="Arial" w:hAnsi="Arial"/>
          <w:sz w:val="22"/>
          <w:szCs w:val="22"/>
          <w:color w:val="auto"/>
        </w:rPr>
      </w:pPr>
    </w:p>
    <w:p>
      <w:pPr>
        <w:jc w:val="both"/>
        <w:ind w:firstLine="644"/>
        <w:spacing w:after="0" w:line="250" w:lineRule="auto"/>
        <w:tabs>
          <w:tab w:leader="none" w:pos="1467"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7" w:lineRule="exact"/>
        <w:rPr>
          <w:rFonts w:ascii="Arial" w:cs="Arial" w:eastAsia="Arial" w:hAnsi="Arial"/>
          <w:sz w:val="22"/>
          <w:szCs w:val="22"/>
          <w:color w:val="auto"/>
        </w:rPr>
      </w:pPr>
    </w:p>
    <w:p>
      <w:pPr>
        <w:jc w:val="both"/>
        <w:ind w:firstLine="644"/>
        <w:spacing w:after="0" w:line="250" w:lineRule="auto"/>
        <w:tabs>
          <w:tab w:leader="none" w:pos="131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87" w:lineRule="exact"/>
        <w:rPr>
          <w:rFonts w:ascii="Arial" w:cs="Arial" w:eastAsia="Arial" w:hAnsi="Arial"/>
          <w:sz w:val="22"/>
          <w:szCs w:val="22"/>
          <w:color w:val="auto"/>
        </w:rPr>
      </w:pPr>
    </w:p>
    <w:p>
      <w:pPr>
        <w:jc w:val="both"/>
        <w:ind w:firstLine="644"/>
        <w:spacing w:after="0" w:line="250" w:lineRule="auto"/>
        <w:tabs>
          <w:tab w:leader="none" w:pos="1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87" w:lineRule="exact"/>
        <w:rPr>
          <w:rFonts w:ascii="Arial" w:cs="Arial" w:eastAsia="Arial" w:hAnsi="Arial"/>
          <w:sz w:val="22"/>
          <w:szCs w:val="22"/>
          <w:color w:val="auto"/>
        </w:rPr>
      </w:pPr>
    </w:p>
    <w:p>
      <w:pPr>
        <w:jc w:val="both"/>
        <w:ind w:firstLine="644"/>
        <w:spacing w:after="0" w:line="253" w:lineRule="auto"/>
        <w:tabs>
          <w:tab w:leader="none" w:pos="1481"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85" w:lineRule="exact"/>
        <w:rPr>
          <w:rFonts w:ascii="Arial" w:cs="Arial" w:eastAsia="Arial" w:hAnsi="Arial"/>
          <w:sz w:val="22"/>
          <w:szCs w:val="22"/>
          <w:color w:val="auto"/>
        </w:rPr>
      </w:pPr>
    </w:p>
    <w:p>
      <w:pPr>
        <w:ind w:firstLine="644"/>
        <w:spacing w:after="0" w:line="263" w:lineRule="auto"/>
        <w:tabs>
          <w:tab w:leader="none" w:pos="12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80"/>
          </w:cols>
          <w:pgMar w:left="980" w:top="1428" w:right="339" w:bottom="1440" w:gutter="0" w:footer="0" w:header="0"/>
        </w:sectPr>
      </w:pPr>
    </w:p>
    <w:bookmarkStart w:id="92" w:name="page93"/>
    <w:bookmarkEnd w:id="92"/>
    <w:p>
      <w:pPr>
        <w:ind w:left="660"/>
        <w:spacing w:after="0"/>
        <w:tabs>
          <w:tab w:leader="none" w:pos="194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Individual Rights of Trustee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Trustee’s Disclaimer</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Notice of Defaults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Reports by Trustee to Holders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93" w:name="page94"/>
    <w:bookmarkEnd w:id="93"/>
    <w:p>
      <w:pPr>
        <w:jc w:val="both"/>
        <w:ind w:firstLine="1296"/>
        <w:spacing w:after="0" w:line="289" w:lineRule="auto"/>
        <w:rPr>
          <w:sz w:val="20"/>
          <w:szCs w:val="20"/>
          <w:color w:val="auto"/>
        </w:rPr>
      </w:pPr>
      <w:r>
        <w:rPr>
          <w:rFonts w:ascii="Arial" w:cs="Arial" w:eastAsia="Arial" w:hAnsi="Arial"/>
          <w:sz w:val="19"/>
          <w:szCs w:val="19"/>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57"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0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provisions of this Section shall survive the termination of this Indenture.</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Replacement of Trustee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5" w:lineRule="exact"/>
        <w:rPr>
          <w:sz w:val="20"/>
          <w:szCs w:val="20"/>
          <w:color w:val="auto"/>
        </w:rPr>
      </w:pPr>
    </w:p>
    <w:p>
      <w:pPr>
        <w:ind w:left="1920" w:hanging="616"/>
        <w:spacing w:after="0"/>
        <w:tabs>
          <w:tab w:leader="none" w:pos="19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210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94" w:name="page95"/>
    <w:bookmarkEnd w:id="94"/>
    <w:p>
      <w:pPr>
        <w:ind w:left="1920" w:hanging="616"/>
        <w:spacing w:after="0"/>
        <w:tabs>
          <w:tab w:leader="none" w:pos="19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7.9.</w:t>
      </w:r>
      <w:r>
        <w:rPr>
          <w:sz w:val="20"/>
          <w:szCs w:val="20"/>
          <w:color w:val="auto"/>
        </w:rPr>
        <w:tab/>
      </w:r>
      <w:r>
        <w:rPr>
          <w:rFonts w:ascii="Arial" w:cs="Arial" w:eastAsia="Arial" w:hAnsi="Arial"/>
          <w:sz w:val="19"/>
          <w:szCs w:val="19"/>
          <w:u w:val="single" w:color="auto"/>
          <w:color w:val="auto"/>
        </w:rPr>
        <w:t>Successor Trustee by Merger, Etc</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Preferential Collection of Claims Against Company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Trustee is subject to TIA § 311(a), excluding any creditor relationship listed in TIA § 311(b). A Trustee who has resigned or been removed shall be subject to TIA § 311(a) to the extent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95" w:name="page96"/>
    <w:bookmarkEnd w:id="95"/>
    <w:p>
      <w:pPr>
        <w:ind w:left="4940"/>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SATISFACTION AND DISCHARGE; DEFEASANCE</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Satisfaction and Discharge of Indenture</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33" w:lineRule="exact"/>
        <w:rPr>
          <w:sz w:val="20"/>
          <w:szCs w:val="20"/>
          <w:color w:val="auto"/>
        </w:rPr>
      </w:pPr>
    </w:p>
    <w:p>
      <w:pPr>
        <w:ind w:left="1920" w:hanging="616"/>
        <w:spacing w:after="0"/>
        <w:tabs>
          <w:tab w:leader="none" w:pos="19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either</w:t>
      </w:r>
    </w:p>
    <w:p>
      <w:pPr>
        <w:spacing w:after="0" w:line="219" w:lineRule="exact"/>
        <w:rPr>
          <w:rFonts w:ascii="Arial" w:cs="Arial" w:eastAsia="Arial" w:hAnsi="Arial"/>
          <w:sz w:val="22"/>
          <w:szCs w:val="22"/>
          <w:color w:val="auto"/>
        </w:rPr>
      </w:pPr>
    </w:p>
    <w:p>
      <w:pPr>
        <w:jc w:val="both"/>
        <w:ind w:left="1300" w:firstLine="652"/>
        <w:spacing w:after="0" w:line="253" w:lineRule="auto"/>
        <w:tabs>
          <w:tab w:leader="none" w:pos="2438" w:val="left"/>
        </w:tabs>
        <w:numPr>
          <w:ilvl w:val="1"/>
          <w:numId w:val="61"/>
        </w:numPr>
        <w:rPr>
          <w:rFonts w:ascii="Arial" w:cs="Arial" w:eastAsia="Arial" w:hAnsi="Arial"/>
          <w:sz w:val="22"/>
          <w:szCs w:val="22"/>
          <w:color w:val="auto"/>
        </w:rPr>
      </w:pPr>
      <w:r>
        <w:rPr>
          <w:rFonts w:ascii="Arial" w:cs="Arial" w:eastAsia="Arial" w:hAnsi="Arial"/>
          <w:sz w:val="22"/>
          <w:szCs w:val="22"/>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85" w:lineRule="exact"/>
        <w:rPr>
          <w:rFonts w:ascii="Arial" w:cs="Arial" w:eastAsia="Arial" w:hAnsi="Arial"/>
          <w:sz w:val="22"/>
          <w:szCs w:val="22"/>
          <w:color w:val="auto"/>
        </w:rPr>
      </w:pPr>
    </w:p>
    <w:p>
      <w:pPr>
        <w:ind w:left="2440" w:hanging="488"/>
        <w:spacing w:after="0"/>
        <w:tabs>
          <w:tab w:leader="none" w:pos="24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all such Securities of such Series not theretofore delivered to the Trustee for cancellation</w:t>
      </w:r>
    </w:p>
    <w:p>
      <w:pPr>
        <w:spacing w:after="0" w:line="219" w:lineRule="exact"/>
        <w:rPr>
          <w:rFonts w:ascii="Arial" w:cs="Arial" w:eastAsia="Arial" w:hAnsi="Arial"/>
          <w:sz w:val="22"/>
          <w:szCs w:val="22"/>
          <w:color w:val="auto"/>
        </w:rPr>
      </w:pPr>
    </w:p>
    <w:p>
      <w:pPr>
        <w:ind w:left="3060" w:hanging="460"/>
        <w:spacing w:after="0"/>
        <w:tabs>
          <w:tab w:leader="none" w:pos="3060" w:val="left"/>
        </w:tabs>
        <w:numPr>
          <w:ilvl w:val="2"/>
          <w:numId w:val="61"/>
        </w:numPr>
        <w:rPr>
          <w:rFonts w:ascii="Arial" w:cs="Arial" w:eastAsia="Arial" w:hAnsi="Arial"/>
          <w:sz w:val="19"/>
          <w:szCs w:val="19"/>
          <w:color w:val="auto"/>
        </w:rPr>
      </w:pPr>
      <w:r>
        <w:rPr>
          <w:rFonts w:ascii="Arial" w:cs="Arial" w:eastAsia="Arial" w:hAnsi="Arial"/>
          <w:sz w:val="19"/>
          <w:szCs w:val="19"/>
          <w:color w:val="auto"/>
        </w:rPr>
        <w:t>have become due and payable by reason of sending a notice of redemption or otherwise, or</w:t>
      </w:r>
    </w:p>
    <w:p>
      <w:pPr>
        <w:spacing w:after="0" w:line="254" w:lineRule="exact"/>
        <w:rPr>
          <w:rFonts w:ascii="Arial" w:cs="Arial" w:eastAsia="Arial" w:hAnsi="Arial"/>
          <w:sz w:val="19"/>
          <w:szCs w:val="19"/>
          <w:color w:val="auto"/>
        </w:rPr>
      </w:pPr>
    </w:p>
    <w:p>
      <w:pPr>
        <w:ind w:left="3060" w:hanging="460"/>
        <w:spacing w:after="0"/>
        <w:tabs>
          <w:tab w:leader="none" w:pos="3060" w:val="left"/>
        </w:tabs>
        <w:numPr>
          <w:ilvl w:val="2"/>
          <w:numId w:val="61"/>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19" w:lineRule="exact"/>
        <w:rPr>
          <w:rFonts w:ascii="Arial" w:cs="Arial" w:eastAsia="Arial" w:hAnsi="Arial"/>
          <w:sz w:val="22"/>
          <w:szCs w:val="22"/>
          <w:color w:val="auto"/>
        </w:rPr>
      </w:pPr>
    </w:p>
    <w:p>
      <w:pPr>
        <w:jc w:val="both"/>
        <w:ind w:left="1960" w:firstLine="640"/>
        <w:spacing w:after="0" w:line="253" w:lineRule="auto"/>
        <w:tabs>
          <w:tab w:leader="none" w:pos="3181" w:val="left"/>
        </w:tabs>
        <w:numPr>
          <w:ilvl w:val="2"/>
          <w:numId w:val="61"/>
        </w:numPr>
        <w:rPr>
          <w:rFonts w:ascii="Arial" w:cs="Arial" w:eastAsia="Arial" w:hAnsi="Arial"/>
          <w:sz w:val="22"/>
          <w:szCs w:val="22"/>
          <w:color w:val="auto"/>
        </w:rPr>
      </w:pPr>
      <w:r>
        <w:rPr>
          <w:rFonts w:ascii="Arial" w:cs="Arial" w:eastAsia="Arial" w:hAnsi="Arial"/>
          <w:sz w:val="22"/>
          <w:szCs w:val="22"/>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5" w:lineRule="exact"/>
        <w:rPr>
          <w:rFonts w:ascii="Arial" w:cs="Arial" w:eastAsia="Arial" w:hAnsi="Arial"/>
          <w:sz w:val="22"/>
          <w:szCs w:val="22"/>
          <w:color w:val="auto"/>
        </w:rPr>
      </w:pPr>
    </w:p>
    <w:p>
      <w:pPr>
        <w:ind w:left="3060" w:hanging="460"/>
        <w:spacing w:after="0"/>
        <w:tabs>
          <w:tab w:leader="none" w:pos="3060" w:val="left"/>
        </w:tabs>
        <w:numPr>
          <w:ilvl w:val="2"/>
          <w:numId w:val="61"/>
        </w:numPr>
        <w:rPr>
          <w:rFonts w:ascii="Arial" w:cs="Arial" w:eastAsia="Arial" w:hAnsi="Arial"/>
          <w:sz w:val="22"/>
          <w:szCs w:val="22"/>
          <w:color w:val="auto"/>
        </w:rPr>
      </w:pPr>
      <w:r>
        <w:rPr>
          <w:rFonts w:ascii="Arial" w:cs="Arial" w:eastAsia="Arial" w:hAnsi="Arial"/>
          <w:sz w:val="22"/>
          <w:szCs w:val="22"/>
          <w:color w:val="auto"/>
        </w:rPr>
        <w:t>are deemed paid and discharged pursuant to Section 8.3, as applicable;</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42" w:lineRule="exact"/>
        <w:rPr>
          <w:sz w:val="20"/>
          <w:szCs w:val="20"/>
          <w:color w:val="auto"/>
        </w:rPr>
      </w:pPr>
    </w:p>
    <w:p>
      <w:pPr>
        <w:ind w:left="1940" w:hanging="636"/>
        <w:spacing w:after="0"/>
        <w:tabs>
          <w:tab w:leader="none" w:pos="19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Company has paid or caused to be paid all other sums payable hereunder by the Company; and</w:t>
      </w:r>
    </w:p>
    <w:p>
      <w:pPr>
        <w:spacing w:after="0" w:line="231" w:lineRule="exact"/>
        <w:rPr>
          <w:rFonts w:ascii="Arial" w:cs="Arial" w:eastAsia="Arial" w:hAnsi="Arial"/>
          <w:sz w:val="21"/>
          <w:szCs w:val="21"/>
          <w:color w:val="auto"/>
        </w:rPr>
      </w:pPr>
    </w:p>
    <w:p>
      <w:pPr>
        <w:jc w:val="both"/>
        <w:ind w:left="660" w:firstLine="644"/>
        <w:spacing w:after="0" w:line="253" w:lineRule="auto"/>
        <w:tabs>
          <w:tab w:leader="none" w:pos="198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96" w:name="page97"/>
    <w:bookmarkEnd w:id="96"/>
    <w:p>
      <w:pPr>
        <w:jc w:val="both"/>
        <w:ind w:right="20" w:firstLine="1296"/>
        <w:spacing w:after="0" w:line="253"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Application of Trust Funds; Indemnification</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4"/>
        <w:spacing w:after="0" w:line="290" w:lineRule="auto"/>
        <w:tabs>
          <w:tab w:leader="none" w:pos="2254"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55" w:lineRule="exact"/>
        <w:rPr>
          <w:rFonts w:ascii="Arial" w:cs="Arial" w:eastAsia="Arial" w:hAnsi="Arial"/>
          <w:sz w:val="19"/>
          <w:szCs w:val="19"/>
          <w:color w:val="auto"/>
        </w:rPr>
      </w:pPr>
    </w:p>
    <w:p>
      <w:pPr>
        <w:jc w:val="both"/>
        <w:ind w:left="660" w:firstLine="644"/>
        <w:spacing w:after="0" w:line="250" w:lineRule="auto"/>
        <w:tabs>
          <w:tab w:leader="none" w:pos="1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7" w:lineRule="exact"/>
        <w:rPr>
          <w:rFonts w:ascii="Arial" w:cs="Arial" w:eastAsia="Arial" w:hAnsi="Arial"/>
          <w:sz w:val="22"/>
          <w:szCs w:val="22"/>
          <w:color w:val="auto"/>
        </w:rPr>
      </w:pPr>
    </w:p>
    <w:p>
      <w:pPr>
        <w:jc w:val="both"/>
        <w:ind w:left="660" w:firstLine="644"/>
        <w:spacing w:after="0" w:line="292" w:lineRule="auto"/>
        <w:tabs>
          <w:tab w:leader="none" w:pos="216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Legal Defeasance of Securities of any Series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97" w:name="page98"/>
    <w:bookmarkEnd w:id="97"/>
    <w:p>
      <w:pPr>
        <w:ind w:left="1940" w:hanging="636"/>
        <w:spacing w:after="0"/>
        <w:tabs>
          <w:tab w:leader="none" w:pos="19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rights of Holders of Securities of such Series to receive, from the trust funds described in subparagraph</w:t>
      </w:r>
    </w:p>
    <w:p>
      <w:pPr>
        <w:spacing w:after="0" w:line="55" w:lineRule="exact"/>
        <w:rPr>
          <w:rFonts w:ascii="Arial" w:cs="Arial" w:eastAsia="Arial" w:hAnsi="Arial"/>
          <w:sz w:val="19"/>
          <w:szCs w:val="19"/>
          <w:color w:val="auto"/>
        </w:rPr>
      </w:pPr>
    </w:p>
    <w:p>
      <w:pPr>
        <w:jc w:val="both"/>
        <w:ind w:left="660" w:hanging="4"/>
        <w:spacing w:after="0" w:line="259" w:lineRule="auto"/>
        <w:tabs>
          <w:tab w:leader="none" w:pos="968" w:val="left"/>
        </w:tabs>
        <w:numPr>
          <w:ilvl w:val="0"/>
          <w:numId w:val="65"/>
        </w:numPr>
        <w:rPr>
          <w:rFonts w:ascii="Arial" w:cs="Arial" w:eastAsia="Arial" w:hAnsi="Arial"/>
          <w:sz w:val="21"/>
          <w:szCs w:val="21"/>
          <w:color w:val="auto"/>
        </w:rPr>
      </w:pPr>
      <w:r>
        <w:rPr>
          <w:rFonts w:ascii="Arial" w:cs="Arial" w:eastAsia="Arial" w:hAnsi="Arial"/>
          <w:sz w:val="21"/>
          <w:szCs w:val="21"/>
          <w:color w:val="auto"/>
        </w:rPr>
        <w:t>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81" w:lineRule="exact"/>
        <w:rPr>
          <w:rFonts w:ascii="Arial" w:cs="Arial" w:eastAsia="Arial" w:hAnsi="Arial"/>
          <w:sz w:val="21"/>
          <w:szCs w:val="21"/>
          <w:color w:val="auto"/>
        </w:rPr>
      </w:pPr>
    </w:p>
    <w:p>
      <w:pPr>
        <w:ind w:left="1940" w:hanging="636"/>
        <w:spacing w:after="0"/>
        <w:tabs>
          <w:tab w:leader="none" w:pos="19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provisions of Sections 2.4, 2.5, 2.7, 2.8, 7.7, 8.2, 8.3, 8.5 and 8.6; and</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2151"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rights, powers, trusts and immunities of the Trustee hereunder and the Company’s obligations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provided that, the following conditions shall have been satisfied:</w:t>
      </w:r>
    </w:p>
    <w:p>
      <w:pPr>
        <w:spacing w:after="0" w:line="220" w:lineRule="exact"/>
        <w:rPr>
          <w:sz w:val="20"/>
          <w:szCs w:val="20"/>
          <w:color w:val="auto"/>
        </w:rPr>
      </w:pPr>
    </w:p>
    <w:p>
      <w:pPr>
        <w:jc w:val="both"/>
        <w:ind w:left="660" w:firstLine="644"/>
        <w:spacing w:after="0" w:line="287" w:lineRule="auto"/>
        <w:tabs>
          <w:tab w:leader="none" w:pos="2062"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63" w:lineRule="exact"/>
        <w:rPr>
          <w:rFonts w:ascii="Arial" w:cs="Arial" w:eastAsia="Arial" w:hAnsi="Arial"/>
          <w:sz w:val="19"/>
          <w:szCs w:val="19"/>
          <w:color w:val="auto"/>
        </w:rPr>
      </w:pPr>
    </w:p>
    <w:p>
      <w:pPr>
        <w:ind w:left="660" w:firstLine="644"/>
        <w:spacing w:after="0" w:line="263" w:lineRule="auto"/>
        <w:tabs>
          <w:tab w:leader="none" w:pos="1998" w:val="left"/>
        </w:tabs>
        <w:numPr>
          <w:ilvl w:val="1"/>
          <w:numId w:val="66"/>
        </w:numPr>
        <w:rPr>
          <w:rFonts w:ascii="Arial" w:cs="Arial" w:eastAsia="Arial" w:hAnsi="Arial"/>
          <w:sz w:val="22"/>
          <w:szCs w:val="22"/>
          <w:color w:val="auto"/>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ind w:left="660" w:right="20" w:firstLine="644"/>
        <w:spacing w:after="0" w:line="287" w:lineRule="auto"/>
        <w:tabs>
          <w:tab w:leader="none" w:pos="2045" w:val="left"/>
        </w:tabs>
        <w:numPr>
          <w:ilvl w:val="1"/>
          <w:numId w:val="66"/>
        </w:numPr>
        <w:rPr>
          <w:rFonts w:ascii="Arial" w:cs="Arial" w:eastAsia="Arial" w:hAnsi="Arial"/>
          <w:sz w:val="21"/>
          <w:szCs w:val="21"/>
          <w:color w:val="auto"/>
        </w:rPr>
      </w:pPr>
      <w:r>
        <w:rPr>
          <w:rFonts w:ascii="Arial" w:cs="Arial" w:eastAsia="Arial" w:hAnsi="Arial"/>
          <w:sz w:val="21"/>
          <w:szCs w:val="21"/>
          <w:color w:val="auto"/>
        </w:rPr>
        <w:t>no Default or Event of Default with respect to the Securities of such Series shall have occurred and be continuing on the date of such deposit or during the period ending on the 91st day after such date;</w:t>
      </w:r>
    </w:p>
    <w:p>
      <w:pPr>
        <w:spacing w:after="0" w:line="151" w:lineRule="exact"/>
        <w:rPr>
          <w:rFonts w:ascii="Arial" w:cs="Arial" w:eastAsia="Arial" w:hAnsi="Arial"/>
          <w:sz w:val="21"/>
          <w:szCs w:val="21"/>
          <w:color w:val="auto"/>
        </w:rPr>
      </w:pPr>
    </w:p>
    <w:p>
      <w:pPr>
        <w:jc w:val="both"/>
        <w:ind w:left="660" w:firstLine="644"/>
        <w:spacing w:after="0" w:line="291" w:lineRule="auto"/>
        <w:tabs>
          <w:tab w:leader="none" w:pos="1985"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to the effect that (i) the Company has received from, or there has been published by, the Internal Revenue Service a ruling, or</w:t>
      </w:r>
    </w:p>
    <w:p>
      <w:pPr>
        <w:spacing w:after="0" w:line="1" w:lineRule="exact"/>
        <w:rPr>
          <w:rFonts w:ascii="Arial" w:cs="Arial" w:eastAsia="Arial" w:hAnsi="Arial"/>
          <w:sz w:val="19"/>
          <w:szCs w:val="19"/>
          <w:color w:val="auto"/>
        </w:rPr>
      </w:pPr>
    </w:p>
    <w:p>
      <w:pPr>
        <w:jc w:val="both"/>
        <w:ind w:left="660" w:hanging="4"/>
        <w:spacing w:after="0" w:line="244" w:lineRule="auto"/>
        <w:tabs>
          <w:tab w:leader="none" w:pos="1002" w:val="left"/>
        </w:tabs>
        <w:numPr>
          <w:ilvl w:val="0"/>
          <w:numId w:val="67"/>
        </w:numPr>
        <w:rPr>
          <w:rFonts w:ascii="Arial" w:cs="Arial" w:eastAsia="Arial" w:hAnsi="Arial"/>
          <w:sz w:val="22"/>
          <w:szCs w:val="22"/>
          <w:color w:val="auto"/>
        </w:rPr>
      </w:pPr>
      <w:r>
        <w:rPr>
          <w:rFonts w:ascii="Arial" w:cs="Arial" w:eastAsia="Arial" w:hAnsi="Arial"/>
          <w:sz w:val="22"/>
          <w:szCs w:val="22"/>
          <w:color w:val="auto"/>
        </w:rPr>
        <w:t>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98" w:name="page99"/>
    <w:bookmarkEnd w:id="98"/>
    <w:p>
      <w:pPr>
        <w:ind w:left="660"/>
        <w:spacing w:after="0" w:line="263" w:lineRule="auto"/>
        <w:rPr>
          <w:sz w:val="20"/>
          <w:szCs w:val="20"/>
          <w:color w:val="auto"/>
        </w:rPr>
      </w:pPr>
      <w:r>
        <w:rPr>
          <w:rFonts w:ascii="Arial" w:cs="Arial" w:eastAsia="Arial" w:hAnsi="Arial"/>
          <w:sz w:val="22"/>
          <w:szCs w:val="22"/>
          <w:color w:val="auto"/>
        </w:rPr>
        <w:t>discharge and will be subject to Federal income tax on the same amount and in the same manner and at the same times as would have been the case if such deposit, defeasance and discharge had not occurred;</w:t>
      </w:r>
    </w:p>
    <w:p>
      <w:pPr>
        <w:spacing w:after="0" w:line="175" w:lineRule="exact"/>
        <w:rPr>
          <w:sz w:val="20"/>
          <w:szCs w:val="20"/>
          <w:color w:val="auto"/>
        </w:rPr>
      </w:pPr>
    </w:p>
    <w:p>
      <w:pPr>
        <w:jc w:val="both"/>
        <w:ind w:left="660" w:firstLine="644"/>
        <w:spacing w:after="0" w:line="253" w:lineRule="auto"/>
        <w:tabs>
          <w:tab w:leader="none" w:pos="204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64"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85" w:lineRule="exact"/>
        <w:rPr>
          <w:sz w:val="20"/>
          <w:szCs w:val="20"/>
          <w:color w:val="auto"/>
        </w:rPr>
      </w:pPr>
    </w:p>
    <w:p>
      <w:pPr>
        <w:jc w:val="both"/>
        <w:ind w:left="660" w:firstLine="644"/>
        <w:spacing w:after="0" w:line="287" w:lineRule="auto"/>
        <w:tabs>
          <w:tab w:leader="none" w:pos="2098" w:val="left"/>
        </w:tabs>
        <w:numPr>
          <w:ilvl w:val="0"/>
          <w:numId w:val="69"/>
        </w:numPr>
        <w:rPr>
          <w:rFonts w:ascii="Arial" w:cs="Arial" w:eastAsia="Arial" w:hAnsi="Arial"/>
          <w:sz w:val="19"/>
          <w:szCs w:val="19"/>
          <w:color w:val="auto"/>
        </w:rPr>
      </w:pPr>
      <w:r>
        <w:rPr>
          <w:rFonts w:ascii="Arial" w:cs="Arial" w:eastAsia="Arial" w:hAnsi="Arial"/>
          <w:sz w:val="19"/>
          <w:szCs w:val="19"/>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99" w:name="page100"/>
    <w:bookmarkEnd w:id="99"/>
    <w:p>
      <w:pPr>
        <w:ind w:left="660" w:firstLine="644"/>
        <w:spacing w:after="0" w:line="263" w:lineRule="auto"/>
        <w:tabs>
          <w:tab w:leader="none" w:pos="2007"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174" w:lineRule="exact"/>
        <w:rPr>
          <w:rFonts w:ascii="Arial" w:cs="Arial" w:eastAsia="Arial" w:hAnsi="Arial"/>
          <w:sz w:val="22"/>
          <w:szCs w:val="22"/>
          <w:color w:val="auto"/>
        </w:rPr>
      </w:pPr>
    </w:p>
    <w:p>
      <w:pPr>
        <w:ind w:left="660" w:firstLine="644"/>
        <w:spacing w:after="0" w:line="263" w:lineRule="auto"/>
        <w:tabs>
          <w:tab w:leader="none" w:pos="2066"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Default or Event of Default with respect to the Securities of such Series shall have occurred and be continuing on the date of such deposit;</w:t>
      </w:r>
    </w:p>
    <w:p>
      <w:pPr>
        <w:spacing w:after="0" w:line="174" w:lineRule="exact"/>
        <w:rPr>
          <w:rFonts w:ascii="Arial" w:cs="Arial" w:eastAsia="Arial" w:hAnsi="Arial"/>
          <w:sz w:val="22"/>
          <w:szCs w:val="22"/>
          <w:color w:val="auto"/>
        </w:rPr>
      </w:pPr>
    </w:p>
    <w:p>
      <w:pPr>
        <w:jc w:val="both"/>
        <w:ind w:left="660" w:firstLine="644"/>
        <w:spacing w:after="0" w:line="248" w:lineRule="auto"/>
        <w:tabs>
          <w:tab w:leader="none" w:pos="1981"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91" w:lineRule="exact"/>
        <w:rPr>
          <w:rFonts w:ascii="Arial" w:cs="Arial" w:eastAsia="Arial" w:hAnsi="Arial"/>
          <w:sz w:val="22"/>
          <w:szCs w:val="22"/>
          <w:color w:val="auto"/>
        </w:rPr>
      </w:pPr>
    </w:p>
    <w:p>
      <w:pPr>
        <w:ind w:left="660" w:right="20" w:firstLine="644"/>
        <w:spacing w:after="0" w:line="343" w:lineRule="auto"/>
        <w:tabs>
          <w:tab w:leader="none" w:pos="1967"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04" w:lineRule="exact"/>
        <w:rPr>
          <w:rFonts w:ascii="Arial" w:cs="Arial" w:eastAsia="Arial" w:hAnsi="Arial"/>
          <w:sz w:val="19"/>
          <w:szCs w:val="19"/>
          <w:color w:val="auto"/>
        </w:rPr>
      </w:pPr>
    </w:p>
    <w:p>
      <w:pPr>
        <w:jc w:val="both"/>
        <w:ind w:left="660" w:firstLine="644"/>
        <w:spacing w:after="0" w:line="253" w:lineRule="auto"/>
        <w:tabs>
          <w:tab w:leader="none" w:pos="194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8.5.</w:t>
      </w:r>
      <w:r>
        <w:rPr>
          <w:sz w:val="20"/>
          <w:szCs w:val="20"/>
          <w:color w:val="auto"/>
        </w:rPr>
        <w:tab/>
      </w:r>
      <w:r>
        <w:rPr>
          <w:rFonts w:ascii="Arial" w:cs="Arial" w:eastAsia="Arial" w:hAnsi="Arial"/>
          <w:sz w:val="19"/>
          <w:szCs w:val="19"/>
          <w:u w:val="single" w:color="auto"/>
          <w:color w:val="auto"/>
        </w:rPr>
        <w:t>Repayment to Company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Reinstatement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100" w:name="page101"/>
    <w:bookmarkEnd w:id="100"/>
    <w:p>
      <w:pPr>
        <w:ind w:left="5000"/>
        <w:spacing w:after="0"/>
        <w:rPr>
          <w:sz w:val="20"/>
          <w:szCs w:val="20"/>
          <w:color w:val="auto"/>
        </w:rPr>
      </w:pPr>
      <w:r>
        <w:rPr>
          <w:rFonts w:ascii="Arial" w:cs="Arial" w:eastAsia="Arial" w:hAnsi="Arial"/>
          <w:sz w:val="22"/>
          <w:szCs w:val="22"/>
          <w:color w:val="auto"/>
        </w:rPr>
        <w:t>ARTICLE IX.</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AMENDMENTS AND WAIVERS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Without Consent of Holders</w:t>
      </w:r>
      <w:r>
        <w:rPr>
          <w:rFonts w:ascii="Arial" w:cs="Arial" w:eastAsia="Arial" w:hAnsi="Arial"/>
          <w:sz w:val="19"/>
          <w:szCs w:val="19"/>
          <w:color w:val="auto"/>
        </w:rPr>
        <w:t>.</w:t>
      </w:r>
    </w:p>
    <w:p>
      <w:pPr>
        <w:spacing w:after="0" w:line="202"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Company and the Trustee may amend or supplement this Indenture or the Securities of one or more Series without the consent of any Securityholder:</w:t>
      </w:r>
    </w:p>
    <w:p>
      <w:pPr>
        <w:spacing w:after="0" w:line="175" w:lineRule="exact"/>
        <w:rPr>
          <w:sz w:val="20"/>
          <w:szCs w:val="20"/>
          <w:color w:val="auto"/>
        </w:rPr>
      </w:pPr>
    </w:p>
    <w:p>
      <w:pPr>
        <w:ind w:left="1920" w:hanging="616"/>
        <w:spacing w:after="0"/>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cure any ambiguity, defect or inconsistency;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comply with Article V;</w:t>
      </w:r>
    </w:p>
    <w:p>
      <w:pPr>
        <w:spacing w:after="0" w:line="219" w:lineRule="exact"/>
        <w:rPr>
          <w:rFonts w:ascii="Arial" w:cs="Arial" w:eastAsia="Arial" w:hAnsi="Arial"/>
          <w:sz w:val="22"/>
          <w:szCs w:val="22"/>
          <w:color w:val="auto"/>
        </w:rPr>
      </w:pPr>
    </w:p>
    <w:p>
      <w:pPr>
        <w:ind w:left="1920" w:hanging="616"/>
        <w:spacing w:after="0"/>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or in place of certificated Securities;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add guarantees with respect to Securities of any Series or secure Securities of any Series;</w:t>
      </w:r>
    </w:p>
    <w:p>
      <w:pPr>
        <w:spacing w:after="0" w:line="219" w:lineRule="exact"/>
        <w:rPr>
          <w:rFonts w:ascii="Arial" w:cs="Arial" w:eastAsia="Arial" w:hAnsi="Arial"/>
          <w:sz w:val="22"/>
          <w:szCs w:val="22"/>
          <w:color w:val="auto"/>
        </w:rPr>
      </w:pPr>
    </w:p>
    <w:p>
      <w:pPr>
        <w:ind w:left="1920" w:hanging="616"/>
        <w:spacing w:after="0"/>
        <w:tabs>
          <w:tab w:leader="none" w:pos="19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surrender any of the Company’s rights or powers under this Indenture;</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add covenants or events of default for the benefit of the holders of Securities of any Series;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comply with the applicable procedures of the applicable depositary;</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Securityholder;</w:t>
      </w:r>
    </w:p>
    <w:p>
      <w:pPr>
        <w:spacing w:after="0" w:line="219" w:lineRule="exact"/>
        <w:rPr>
          <w:rFonts w:ascii="Arial" w:cs="Arial" w:eastAsia="Arial" w:hAnsi="Arial"/>
          <w:sz w:val="22"/>
          <w:szCs w:val="22"/>
          <w:color w:val="auto"/>
        </w:rPr>
      </w:pPr>
    </w:p>
    <w:p>
      <w:pPr>
        <w:ind w:left="660" w:firstLine="644"/>
        <w:spacing w:after="0" w:line="263" w:lineRule="auto"/>
        <w:tabs>
          <w:tab w:leader="none" w:pos="191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provide for the issuance of and establish the form and terms and conditions of Securities of any Series as permitted by this Indenture;</w:t>
      </w:r>
    </w:p>
    <w:p>
      <w:pPr>
        <w:spacing w:after="0" w:line="174" w:lineRule="exact"/>
        <w:rPr>
          <w:rFonts w:ascii="Arial" w:cs="Arial" w:eastAsia="Arial" w:hAnsi="Arial"/>
          <w:sz w:val="22"/>
          <w:szCs w:val="22"/>
          <w:color w:val="auto"/>
        </w:rPr>
      </w:pPr>
    </w:p>
    <w:p>
      <w:pPr>
        <w:jc w:val="both"/>
        <w:ind w:left="660" w:firstLine="644"/>
        <w:spacing w:after="0" w:line="312" w:lineRule="auto"/>
        <w:tabs>
          <w:tab w:leader="none" w:pos="190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3" w:lineRule="exact"/>
        <w:rPr>
          <w:rFonts w:ascii="Arial" w:cs="Arial" w:eastAsia="Arial" w:hAnsi="Arial"/>
          <w:sz w:val="19"/>
          <w:szCs w:val="19"/>
          <w:color w:val="auto"/>
        </w:rPr>
      </w:pPr>
    </w:p>
    <w:p>
      <w:pPr>
        <w:ind w:left="2020" w:hanging="716"/>
        <w:spacing w:after="0"/>
        <w:tabs>
          <w:tab w:leader="none" w:pos="20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to comply with requirements of the SEC in order to effect or maintain the qualification of this Indenture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under the TIA.</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With Consent of Holders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101" w:name="page102"/>
    <w:bookmarkEnd w:id="101"/>
    <w:p>
      <w:pPr>
        <w:jc w:val="both"/>
        <w:ind w:right="20"/>
        <w:spacing w:after="0" w:line="250" w:lineRule="auto"/>
        <w:rPr>
          <w:sz w:val="20"/>
          <w:szCs w:val="20"/>
          <w:color w:val="auto"/>
        </w:rPr>
      </w:pPr>
      <w:r>
        <w:rPr>
          <w:rFonts w:ascii="Arial" w:cs="Arial" w:eastAsia="Arial" w:hAnsi="Arial"/>
          <w:sz w:val="22"/>
          <w:szCs w:val="22"/>
          <w:color w:val="auto"/>
        </w:rPr>
        <w:t>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Limitations</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the consent of each Securityholder affected, an amendment or waiver may not:</w:t>
      </w:r>
    </w:p>
    <w:p>
      <w:pPr>
        <w:spacing w:after="0" w:line="220" w:lineRule="exact"/>
        <w:rPr>
          <w:sz w:val="20"/>
          <w:szCs w:val="20"/>
          <w:color w:val="auto"/>
        </w:rPr>
      </w:pPr>
    </w:p>
    <w:p>
      <w:pPr>
        <w:ind w:left="2040" w:hanging="736"/>
        <w:spacing w:after="0"/>
        <w:tabs>
          <w:tab w:leader="none" w:pos="20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reduce the principal amount of Securities whose Holders must consent to an amendment, supplement or</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waiver;</w:t>
      </w:r>
    </w:p>
    <w:p>
      <w:pPr>
        <w:spacing w:after="0" w:line="202" w:lineRule="exact"/>
        <w:rPr>
          <w:sz w:val="20"/>
          <w:szCs w:val="20"/>
          <w:color w:val="auto"/>
        </w:rPr>
      </w:pPr>
    </w:p>
    <w:p>
      <w:pPr>
        <w:ind w:left="1940" w:hanging="636"/>
        <w:spacing w:after="0"/>
        <w:tabs>
          <w:tab w:leader="none" w:pos="19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rate of or extend the time for payment of interest (including default interest) on any Security;</w:t>
      </w:r>
    </w:p>
    <w:p>
      <w:pPr>
        <w:spacing w:after="0" w:line="254" w:lineRule="exact"/>
        <w:rPr>
          <w:rFonts w:ascii="Arial" w:cs="Arial" w:eastAsia="Arial" w:hAnsi="Arial"/>
          <w:sz w:val="19"/>
          <w:szCs w:val="19"/>
          <w:color w:val="auto"/>
        </w:rPr>
      </w:pPr>
    </w:p>
    <w:p>
      <w:pPr>
        <w:ind w:left="660" w:right="20" w:firstLine="644"/>
        <w:spacing w:after="0" w:line="263" w:lineRule="auto"/>
        <w:tabs>
          <w:tab w:leader="none" w:pos="1937"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reduce the principal or change the Stated Maturity of any Security or reduce the amount of, or postpone the date fixed for, the payment of any sinking fund or analogous obligation;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principal amount of Discount Securities payable upon acceleration of the maturity thereof;</w:t>
      </w:r>
    </w:p>
    <w:p>
      <w:pPr>
        <w:spacing w:after="0" w:line="254" w:lineRule="exact"/>
        <w:rPr>
          <w:rFonts w:ascii="Arial" w:cs="Arial" w:eastAsia="Arial" w:hAnsi="Arial"/>
          <w:sz w:val="19"/>
          <w:szCs w:val="19"/>
          <w:color w:val="auto"/>
        </w:rPr>
      </w:pPr>
    </w:p>
    <w:p>
      <w:pPr>
        <w:jc w:val="both"/>
        <w:ind w:left="660" w:firstLine="644"/>
        <w:spacing w:after="0" w:line="312" w:lineRule="auto"/>
        <w:tabs>
          <w:tab w:leader="none" w:pos="2003" w:val="left"/>
        </w:tabs>
        <w:numPr>
          <w:ilvl w:val="0"/>
          <w:numId w:val="73"/>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3" w:lineRule="exact"/>
        <w:rPr>
          <w:rFonts w:ascii="Arial" w:cs="Arial" w:eastAsia="Arial" w:hAnsi="Arial"/>
          <w:sz w:val="19"/>
          <w:szCs w:val="19"/>
          <w:color w:val="auto"/>
        </w:rPr>
      </w:pPr>
    </w:p>
    <w:p>
      <w:pPr>
        <w:ind w:left="1980" w:hanging="676"/>
        <w:spacing w:after="0"/>
        <w:tabs>
          <w:tab w:leader="none" w:pos="19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make the principal of or interest, if any, on any Security payable in any currency other than that stated in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Security;</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make any change in Sections 6.8, 6.13 or 9.3 (this sentence); or</w:t>
      </w:r>
    </w:p>
    <w:p>
      <w:pPr>
        <w:spacing w:after="0" w:line="219" w:lineRule="exact"/>
        <w:rPr>
          <w:rFonts w:ascii="Arial" w:cs="Arial" w:eastAsia="Arial" w:hAnsi="Arial"/>
          <w:sz w:val="22"/>
          <w:szCs w:val="22"/>
          <w:color w:val="auto"/>
        </w:rPr>
      </w:pPr>
    </w:p>
    <w:p>
      <w:pPr>
        <w:ind w:left="660" w:firstLine="644"/>
        <w:spacing w:after="0" w:line="263" w:lineRule="auto"/>
        <w:tabs>
          <w:tab w:leader="none" w:pos="20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waive a redemption payment with respect to any Security, provided that such redemption is made at the Company’s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102" w:name="page103"/>
    <w:bookmarkEnd w:id="102"/>
    <w:p>
      <w:pPr>
        <w:ind w:left="660"/>
        <w:spacing w:after="0"/>
        <w:tabs>
          <w:tab w:leader="none" w:pos="194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u w:val="single" w:color="auto"/>
          <w:color w:val="auto"/>
        </w:rPr>
        <w:t>Compliance with Trust Indenture Act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Every amendment to this Indenture or the Securities of one or more Series shall be set forth in a supplemental indenture hereto that complies with the TIA as then in effect.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Revocation and Effect of Consents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4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8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Notation on or Exchange of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9.7.</w:t>
      </w:r>
      <w:r>
        <w:rPr>
          <w:sz w:val="20"/>
          <w:szCs w:val="20"/>
          <w:color w:val="auto"/>
        </w:rPr>
        <w:tab/>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03" w:name="page104"/>
    <w:bookmarkEnd w:id="103"/>
    <w:p>
      <w:pPr>
        <w:jc w:val="center"/>
        <w:ind w:right="1880"/>
        <w:spacing w:after="0"/>
        <w:rPr>
          <w:sz w:val="20"/>
          <w:szCs w:val="20"/>
          <w:color w:val="auto"/>
        </w:rPr>
      </w:pPr>
      <w:r>
        <w:rPr>
          <w:rFonts w:ascii="Arial" w:cs="Arial" w:eastAsia="Arial" w:hAnsi="Arial"/>
          <w:sz w:val="19"/>
          <w:szCs w:val="19"/>
          <w:color w:val="auto"/>
        </w:rPr>
        <w:t>supplemental indenture that adversely affects its rights, duties, liabilities or immunities under this Indenture.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Trust Indenture Act Controls</w:t>
      </w:r>
      <w:r>
        <w:rPr>
          <w:rFonts w:ascii="Arial" w:cs="Arial" w:eastAsia="Arial" w:hAnsi="Arial"/>
          <w:sz w:val="19"/>
          <w:szCs w:val="19"/>
          <w:color w:val="auto"/>
        </w:rPr>
        <w:t>.</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any provision of this Indenture limits, qualifies, or conflicts with another provision which is required or deemed to be included in this Indenture by the TIA, such required or deemed provision shall control.</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Exagen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1261 Liberty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Vista, California 92081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(760) 560-1501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12670 High Bluff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Diego, CA 92130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Matthew T. Bush</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(858) 523-3962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[____]</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[____]</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04" w:name="page105"/>
    <w:bookmarkEnd w:id="104"/>
    <w:p>
      <w:pPr>
        <w:ind w:left="640"/>
        <w:spacing w:after="0"/>
        <w:rPr>
          <w:sz w:val="20"/>
          <w:szCs w:val="20"/>
          <w:color w:val="auto"/>
        </w:rPr>
      </w:pPr>
      <w:r>
        <w:rPr>
          <w:rFonts w:ascii="Arial" w:cs="Arial" w:eastAsia="Arial" w:hAnsi="Arial"/>
          <w:sz w:val="22"/>
          <w:szCs w:val="22"/>
          <w:color w:val="auto"/>
        </w:rPr>
        <w:t>Attention: [____]</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[____]</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a notice or communication is sent or published in the manner provided above, within the time prescribed, it is duly given, whether or not the Securityholder receives it.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the Company sends a notice or communication to Securityholders, it shall send a copy to the Trustee and each Agent at the same time.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Communication by Holders with Other Holders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Certificate and Opinion as to Conditions Precedent</w:t>
      </w:r>
      <w:r>
        <w:rPr>
          <w:rFonts w:ascii="Arial" w:cs="Arial" w:eastAsia="Arial" w:hAnsi="Arial"/>
          <w:sz w:val="19"/>
          <w:szCs w:val="19"/>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Upon any request or application by the Company to the Trustee to take any action under this Indenture,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shall furnish to the Trustee:</w:t>
      </w:r>
    </w:p>
    <w:p>
      <w:pPr>
        <w:spacing w:after="0" w:line="202" w:lineRule="exact"/>
        <w:rPr>
          <w:sz w:val="20"/>
          <w:szCs w:val="20"/>
          <w:color w:val="auto"/>
        </w:rPr>
      </w:pPr>
    </w:p>
    <w:p>
      <w:pPr>
        <w:ind w:left="660" w:firstLine="644"/>
        <w:spacing w:after="0" w:line="263" w:lineRule="auto"/>
        <w:tabs>
          <w:tab w:leader="none" w:pos="197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 Officer’s Certificate stating that, in the opinion of the signers, all conditions precedent, if any, provided for in this Indenture relating to the proposed action have been complied with; and</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 Opinion of Counsel stating that, in the opinion of such counsel, all such conditions precedent have been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05" w:name="page106"/>
    <w:bookmarkEnd w:id="105"/>
    <w:p>
      <w:pPr>
        <w:ind w:left="660"/>
        <w:spacing w:after="0"/>
        <w:tabs>
          <w:tab w:leader="none" w:pos="204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Statements Required in Certificate or Opinion</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85" w:lineRule="exact"/>
        <w:rPr>
          <w:sz w:val="20"/>
          <w:szCs w:val="20"/>
          <w:color w:val="auto"/>
        </w:rPr>
      </w:pPr>
    </w:p>
    <w:p>
      <w:pPr>
        <w:ind w:left="1920" w:hanging="616"/>
        <w:spacing w:after="0"/>
        <w:tabs>
          <w:tab w:leader="none" w:pos="1920" w:val="left"/>
        </w:tabs>
        <w:numPr>
          <w:ilvl w:val="0"/>
          <w:numId w:val="75"/>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pacing w:after="0" w:line="231" w:lineRule="exact"/>
        <w:rPr>
          <w:rFonts w:ascii="Arial" w:cs="Arial" w:eastAsia="Arial" w:hAnsi="Arial"/>
          <w:sz w:val="21"/>
          <w:szCs w:val="21"/>
          <w:color w:val="auto"/>
        </w:rPr>
      </w:pPr>
    </w:p>
    <w:p>
      <w:pPr>
        <w:ind w:left="660" w:right="20" w:firstLine="644"/>
        <w:spacing w:after="0" w:line="263" w:lineRule="auto"/>
        <w:tabs>
          <w:tab w:leader="none" w:pos="198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2146"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85" w:lineRule="exact"/>
        <w:rPr>
          <w:rFonts w:ascii="Arial" w:cs="Arial" w:eastAsia="Arial" w:hAnsi="Arial"/>
          <w:sz w:val="22"/>
          <w:szCs w:val="22"/>
          <w:color w:val="auto"/>
        </w:rPr>
      </w:pPr>
    </w:p>
    <w:p>
      <w:pPr>
        <w:ind w:left="2120" w:hanging="816"/>
        <w:spacing w:after="0"/>
        <w:tabs>
          <w:tab w:leader="none" w:pos="21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0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Rules by Trustee and Agents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Trustee may make reasonable rules for action by or a meeting of Securityholders of one or more Series. Any Agent may make reasonable rules and set reasonable requirements for its functions.</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Legal Holidays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 “</w:t>
      </w:r>
      <w:r>
        <w:rPr>
          <w:rFonts w:ascii="Arial" w:cs="Arial" w:eastAsia="Arial" w:hAnsi="Arial"/>
          <w:sz w:val="22"/>
          <w:szCs w:val="22"/>
          <w:i w:val="1"/>
          <w:iCs w:val="1"/>
          <w:color w:val="auto"/>
        </w:rPr>
        <w:t>Legal Holiday</w:t>
      </w:r>
      <w:r>
        <w:rPr>
          <w:rFonts w:ascii="Arial" w:cs="Arial" w:eastAsia="Arial" w:hAnsi="Arial"/>
          <w:sz w:val="22"/>
          <w:szCs w:val="2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06" w:name="page107"/>
    <w:bookmarkEnd w:id="106"/>
    <w:p>
      <w:pPr>
        <w:jc w:val="both"/>
        <w:ind w:right="20"/>
        <w:spacing w:after="0" w:line="263" w:lineRule="auto"/>
        <w:rPr>
          <w:sz w:val="20"/>
          <w:szCs w:val="20"/>
          <w:color w:val="auto"/>
        </w:rPr>
      </w:pPr>
      <w:r>
        <w:rPr>
          <w:rFonts w:ascii="Arial" w:cs="Arial" w:eastAsia="Arial" w:hAnsi="Arial"/>
          <w:sz w:val="22"/>
          <w:szCs w:val="22"/>
          <w:color w:val="auto"/>
        </w:rPr>
        <w:t>be used in lieu of the original Indenture for all purposes. Signatures of the parties hereto transmitted by facsimile or PDF shall be deemed to be their original signatures for all purposes.</w:t>
      </w:r>
    </w:p>
    <w:p>
      <w:pPr>
        <w:spacing w:after="0" w:line="1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19"/>
          <w:szCs w:val="19"/>
          <w:u w:val="single" w:color="auto"/>
          <w:color w:val="auto"/>
        </w:rPr>
        <w:t>Governing Law; Waiver of Jury Trial; Consent to Jurisdiction</w:t>
      </w:r>
      <w:r>
        <w:rPr>
          <w:rFonts w:ascii="Arial" w:cs="Arial" w:eastAsia="Arial" w:hAnsi="Arial"/>
          <w:sz w:val="19"/>
          <w:szCs w:val="19"/>
          <w:color w:val="auto"/>
        </w:rPr>
        <w:t>.</w:t>
      </w:r>
    </w:p>
    <w:p>
      <w:pPr>
        <w:spacing w:after="0" w:line="21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THIS INDENTURE AND THE SECURITIES, INCLUDING ANY CLAIM OR CONTROVERSY ARISING OUT OF OR RELATING TO THE INDENTURE OR THE SECURITIES, SHALL BE GOVERNED BY THE LAWS OF THE STATE OF NEW YORK.</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9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9"/>
          <w:szCs w:val="19"/>
          <w:i w:val="1"/>
          <w:iCs w:val="1"/>
          <w:color w:val="auto"/>
        </w:rPr>
        <w:t>Specified Courts</w:t>
      </w:r>
      <w:r>
        <w:rPr>
          <w:rFonts w:ascii="Arial" w:cs="Arial" w:eastAsia="Arial" w:hAnsi="Arial"/>
          <w:sz w:val="19"/>
          <w:szCs w:val="19"/>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19"/>
          <w:szCs w:val="19"/>
          <w:u w:val="single" w:color="auto"/>
          <w:color w:val="auto"/>
        </w:rPr>
        <w:t>No Adverse Interpretation of Other Agreements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5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All agreements of the Company in this Indenture and the Securities shall bind its successor. All agreements of the Trustee in this Indenture shall bind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07" w:name="page108"/>
    <w:bookmarkEnd w:id="107"/>
    <w:p>
      <w:pPr>
        <w:ind w:left="660"/>
        <w:spacing w:after="0"/>
        <w:tabs>
          <w:tab w:leader="none" w:pos="2140" w:val="left"/>
        </w:tabs>
        <w:rPr>
          <w:sz w:val="20"/>
          <w:szCs w:val="20"/>
          <w:color w:val="auto"/>
        </w:rPr>
      </w:pPr>
      <w:r>
        <w:rPr>
          <w:rFonts w:ascii="Arial" w:cs="Arial" w:eastAsia="Arial" w:hAnsi="Arial"/>
          <w:sz w:val="22"/>
          <w:szCs w:val="22"/>
          <w:color w:val="auto"/>
        </w:rPr>
        <w:t>Section 10.13.</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19"/>
          <w:szCs w:val="19"/>
          <w:u w:val="single" w:color="auto"/>
          <w:color w:val="auto"/>
        </w:rPr>
        <w:t>Table of Contents, Headings, Etc</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19"/>
          <w:szCs w:val="19"/>
          <w:u w:val="single" w:color="auto"/>
          <w:color w:val="auto"/>
        </w:rPr>
        <w:t>Securities in a Foreign Currency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0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10.16.</w:t>
      </w:r>
      <w:r>
        <w:rPr>
          <w:sz w:val="20"/>
          <w:szCs w:val="20"/>
          <w:color w:val="auto"/>
        </w:rPr>
        <w:tab/>
      </w:r>
      <w:r>
        <w:rPr>
          <w:rFonts w:ascii="Arial" w:cs="Arial" w:eastAsia="Arial" w:hAnsi="Arial"/>
          <w:sz w:val="19"/>
          <w:szCs w:val="19"/>
          <w:u w:val="single" w:color="auto"/>
          <w:color w:val="auto"/>
        </w:rPr>
        <w:t>Judgment Currency</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22"/>
          <w:szCs w:val="22"/>
          <w:i w:val="1"/>
          <w:iCs w:val="1"/>
          <w:color w:val="auto"/>
        </w:rPr>
        <w:t>Required Currency</w:t>
      </w:r>
      <w:r>
        <w:rPr>
          <w:rFonts w:ascii="Arial" w:cs="Arial" w:eastAsia="Arial" w:hAnsi="Arial"/>
          <w:sz w:val="22"/>
          <w:szCs w:val="22"/>
          <w:color w:val="auto"/>
        </w:rPr>
        <w:t>”) into a currency in which a judgment will be rendered (the “</w:t>
      </w:r>
      <w:r>
        <w:rPr>
          <w:rFonts w:ascii="Arial" w:cs="Arial" w:eastAsia="Arial" w:hAnsi="Arial"/>
          <w:sz w:val="22"/>
          <w:szCs w:val="22"/>
          <w:i w:val="1"/>
          <w:iCs w:val="1"/>
          <w:color w:val="auto"/>
        </w:rPr>
        <w:t>Judgment Currency</w:t>
      </w:r>
      <w:r>
        <w:rPr>
          <w:rFonts w:ascii="Arial" w:cs="Arial" w:eastAsia="Arial" w:hAnsi="Arial"/>
          <w:sz w:val="22"/>
          <w:szCs w:val="22"/>
          <w:color w:val="auto"/>
        </w:rPr>
        <w:t>”), the rate of exchange used shall be the rate at which in accordance with normal banking procedures the Trustee could purchase in The City of New York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87" w:lineRule="auto"/>
        <w:rPr>
          <w:sz w:val="20"/>
          <w:szCs w:val="20"/>
          <w:color w:val="auto"/>
        </w:rPr>
      </w:pPr>
      <w:r>
        <w:rPr>
          <w:rFonts w:ascii="Arial" w:cs="Arial" w:eastAsia="Arial" w:hAnsi="Arial"/>
          <w:sz w:val="19"/>
          <w:szCs w:val="19"/>
          <w:color w:val="auto"/>
        </w:rPr>
        <w:t>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9"/>
          <w:szCs w:val="19"/>
          <w:i w:val="1"/>
          <w:iCs w:val="1"/>
          <w:color w:val="auto"/>
        </w:rPr>
        <w:t>New York Banking Day</w:t>
      </w:r>
      <w:r>
        <w:rPr>
          <w:rFonts w:ascii="Arial" w:cs="Arial" w:eastAsia="Arial" w:hAnsi="Arial"/>
          <w:sz w:val="19"/>
          <w:szCs w:val="19"/>
          <w:color w:val="auto"/>
        </w:rPr>
        <w:t>” means any day except a Saturday, Sunday or a legal holiday in The City of New York on which banking institutions are authorized or required by law, regulation or executive order to close.</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u w:val="single" w:color="auto"/>
          <w:color w:val="auto"/>
        </w:rPr>
        <w:t>Force Majeure</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19"/>
          <w:szCs w:val="19"/>
          <w:u w:val="single" w:color="auto"/>
          <w:color w:val="auto"/>
        </w:rPr>
        <w:t>U.S.A. Patriot Act</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SINKING FUNDS</w:t>
      </w:r>
    </w:p>
    <w:p>
      <w:pPr>
        <w:spacing w:after="0" w:line="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21"/>
          <w:szCs w:val="21"/>
          <w:u w:val="single" w:color="auto"/>
          <w:color w:val="auto"/>
        </w:rPr>
        <w:t>Applicability of Article</w:t>
      </w:r>
      <w:r>
        <w:rPr>
          <w:rFonts w:ascii="Arial" w:cs="Arial" w:eastAsia="Arial" w:hAnsi="Arial"/>
          <w:sz w:val="21"/>
          <w:szCs w:val="21"/>
          <w:color w:val="auto"/>
        </w:rPr>
        <w: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09" w:name="page110"/>
    <w:bookmarkEnd w:id="109"/>
    <w:p>
      <w:pPr>
        <w:jc w:val="both"/>
        <w:ind w:firstLine="1296"/>
        <w:spacing w:after="0" w:line="297" w:lineRule="auto"/>
        <w:rPr>
          <w:sz w:val="20"/>
          <w:szCs w:val="20"/>
          <w:color w:val="auto"/>
        </w:rPr>
      </w:pPr>
      <w:r>
        <w:rPr>
          <w:rFonts w:ascii="Arial" w:cs="Arial" w:eastAsia="Arial" w:hAnsi="Arial"/>
          <w:sz w:val="19"/>
          <w:szCs w:val="19"/>
          <w:color w:val="auto"/>
        </w:rPr>
        <w:t>The minimum amount of any sinking fund payment provided for by the terms of the Securities of any Series is herein referred to as a “</w:t>
      </w:r>
      <w:r>
        <w:rPr>
          <w:rFonts w:ascii="Arial" w:cs="Arial" w:eastAsia="Arial" w:hAnsi="Arial"/>
          <w:sz w:val="19"/>
          <w:szCs w:val="19"/>
          <w:i w:val="1"/>
          <w:iCs w:val="1"/>
          <w:color w:val="auto"/>
        </w:rPr>
        <w:t>mandatory sinking fund payment</w:t>
      </w:r>
      <w:r>
        <w:rPr>
          <w:rFonts w:ascii="Arial" w:cs="Arial" w:eastAsia="Arial" w:hAnsi="Arial"/>
          <w:sz w:val="19"/>
          <w:szCs w:val="19"/>
          <w:color w:val="auto"/>
        </w:rPr>
        <w:t>” and any other amount provided for by the terms of Securities of such Series is herein referred to as an “</w:t>
      </w:r>
      <w:r>
        <w:rPr>
          <w:rFonts w:ascii="Arial" w:cs="Arial" w:eastAsia="Arial" w:hAnsi="Arial"/>
          <w:sz w:val="19"/>
          <w:szCs w:val="19"/>
          <w:i w:val="1"/>
          <w:iCs w:val="1"/>
          <w:color w:val="auto"/>
        </w:rPr>
        <w:t>optional sinking fund payment</w:t>
      </w:r>
      <w:r>
        <w:rPr>
          <w:rFonts w:ascii="Arial" w:cs="Arial" w:eastAsia="Arial" w:hAnsi="Arial"/>
          <w:sz w:val="19"/>
          <w:szCs w:val="19"/>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4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Satisfaction of Sinking Fund Payments with Securities</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Redemption of Securities for Sinking Fund</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92" w:lineRule="auto"/>
        <w:rPr>
          <w:sz w:val="20"/>
          <w:szCs w:val="20"/>
          <w:color w:val="auto"/>
        </w:rPr>
      </w:pPr>
      <w:r>
        <w:rPr>
          <w:rFonts w:ascii="Arial" w:cs="Arial" w:eastAsia="Arial" w:hAnsi="Arial"/>
          <w:sz w:val="19"/>
          <w:szCs w:val="19"/>
          <w:color w:val="auto"/>
        </w:rPr>
        <w:t>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11" w:name="page112"/>
    <w:bookmarkEnd w:id="111"/>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Indenture to be duly executed as of the day and year first above written.</w:t>
      </w:r>
    </w:p>
    <w:p>
      <w:pPr>
        <w:spacing w:after="0" w:line="233"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EXAGEN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36195</wp:posOffset>
            </wp:positionV>
            <wp:extent cx="20059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4" w:lineRule="exact"/>
        <w:rPr>
          <w:sz w:val="20"/>
          <w:szCs w:val="20"/>
          <w:color w:val="auto"/>
        </w:rPr>
      </w:pPr>
    </w:p>
    <w:p>
      <w:pPr>
        <w:ind w:left="810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8100"/>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[_____], as Trustee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36195</wp:posOffset>
            </wp:positionV>
            <wp:extent cx="20059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4" w:lineRule="exact"/>
        <w:rPr>
          <w:sz w:val="20"/>
          <w:szCs w:val="20"/>
          <w:color w:val="auto"/>
        </w:rPr>
      </w:pPr>
    </w:p>
    <w:p>
      <w:pPr>
        <w:ind w:left="810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8100"/>
        <w:spacing w:after="0"/>
        <w:rPr>
          <w:sz w:val="20"/>
          <w:szCs w:val="20"/>
          <w:color w:val="auto"/>
        </w:rPr>
      </w:pPr>
      <w:r>
        <w:rPr>
          <w:rFonts w:ascii="Arial" w:cs="Arial" w:eastAsia="Arial" w:hAnsi="Arial"/>
          <w:sz w:val="20"/>
          <w:szCs w:val="20"/>
          <w:color w:val="auto"/>
        </w:rPr>
        <w:t>Its:</w:t>
      </w:r>
    </w:p>
    <w:p>
      <w:pPr>
        <w:sectPr>
          <w:pgSz w:w="11900" w:h="16838" w:orient="portrait"/>
          <w:cols w:equalWidth="0" w:num="1">
            <w:col w:w="11240"/>
          </w:cols>
          <w:pgMar w:left="320" w:top="142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5349240" cy="256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1261 Liberty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Vista, California 92081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Registration Statement on Form S-3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100" w:firstLine="1296"/>
        <w:spacing w:after="0" w:line="286" w:lineRule="auto"/>
        <w:rPr>
          <w:sz w:val="20"/>
          <w:szCs w:val="20"/>
          <w:color w:val="auto"/>
        </w:rPr>
      </w:pPr>
      <w:r>
        <w:rPr>
          <w:rFonts w:ascii="Arial" w:cs="Arial" w:eastAsia="Arial" w:hAnsi="Arial"/>
          <w:sz w:val="19"/>
          <w:szCs w:val="19"/>
          <w:color w:val="auto"/>
        </w:rPr>
        <w:t>We have acted as special counsel to Exagen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its filing on the date hereof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on Form S-3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including a base prospectus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which provides that it will be supplemented by one or more prospectus supplements (each such prospectus supplement, together with the Base Prospectus, a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relating to the registration for issue and sale by the Company of up to $150,000,000 in aggregate principal amount of (i) shares of the Company’s common stock, $0.001 par value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(ii) shares of one or more series of the Company’s preferred stock, par value $0.001 per share (the “</w:t>
      </w:r>
      <w:r>
        <w:rPr>
          <w:rFonts w:ascii="Arial" w:cs="Arial" w:eastAsia="Arial" w:hAnsi="Arial"/>
          <w:sz w:val="19"/>
          <w:szCs w:val="19"/>
          <w:b w:val="1"/>
          <w:bCs w:val="1"/>
          <w:i w:val="1"/>
          <w:iCs w:val="1"/>
          <w:color w:val="auto"/>
        </w:rPr>
        <w:t>Preferred Stock</w:t>
      </w:r>
      <w:r>
        <w:rPr>
          <w:rFonts w:ascii="Arial" w:cs="Arial" w:eastAsia="Arial" w:hAnsi="Arial"/>
          <w:sz w:val="19"/>
          <w:szCs w:val="19"/>
          <w:color w:val="auto"/>
        </w:rPr>
        <w:t>”), (iii) one or more series of the Company’s debt securities (collectively, “</w:t>
      </w:r>
      <w:r>
        <w:rPr>
          <w:rFonts w:ascii="Arial" w:cs="Arial" w:eastAsia="Arial" w:hAnsi="Arial"/>
          <w:sz w:val="19"/>
          <w:szCs w:val="19"/>
          <w:b w:val="1"/>
          <w:bCs w:val="1"/>
          <w:i w:val="1"/>
          <w:iCs w:val="1"/>
          <w:color w:val="auto"/>
        </w:rPr>
        <w:t>Debt Securities</w:t>
      </w:r>
      <w:r>
        <w:rPr>
          <w:rFonts w:ascii="Arial" w:cs="Arial" w:eastAsia="Arial" w:hAnsi="Arial"/>
          <w:sz w:val="19"/>
          <w:szCs w:val="19"/>
          <w:color w:val="auto"/>
        </w:rPr>
        <w:t>”) to be issued under an indenture to be entered into between the Company, as issuer, and a trustee (a form of which is included as Exhibit 4.4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9"/>
          <w:szCs w:val="19"/>
          <w:b w:val="1"/>
          <w:bCs w:val="1"/>
          <w:i w:val="1"/>
          <w:iCs w:val="1"/>
          <w:color w:val="auto"/>
        </w:rPr>
        <w:t>Applicable Indenture</w:t>
      </w:r>
      <w:r>
        <w:rPr>
          <w:rFonts w:ascii="Arial" w:cs="Arial" w:eastAsia="Arial" w:hAnsi="Arial"/>
          <w:sz w:val="19"/>
          <w:szCs w:val="19"/>
          <w:color w:val="auto"/>
        </w:rPr>
        <w:t>”), (iv) warrants to purchase Debt Securities, Common Stock or Preferred Stock (“</w:t>
      </w:r>
      <w:r>
        <w:rPr>
          <w:rFonts w:ascii="Arial" w:cs="Arial" w:eastAsia="Arial" w:hAnsi="Arial"/>
          <w:sz w:val="19"/>
          <w:szCs w:val="19"/>
          <w:b w:val="1"/>
          <w:bCs w:val="1"/>
          <w:i w:val="1"/>
          <w:iCs w:val="1"/>
          <w:color w:val="auto"/>
        </w:rPr>
        <w:t>Warrants</w:t>
      </w:r>
      <w:r>
        <w:rPr>
          <w:rFonts w:ascii="Arial" w:cs="Arial" w:eastAsia="Arial" w:hAnsi="Arial"/>
          <w:sz w:val="19"/>
          <w:szCs w:val="19"/>
          <w:color w:val="auto"/>
        </w:rPr>
        <w:t>”), and (v) units consisting of two or more of the Securities (as defined below)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The Debt Securities, Common Stock, Preferred Stock, Warrants and Units, plus any additional Debt Securities, Common Stock, Preferred Stock,</w:t>
      </w:r>
    </w:p>
    <w:p>
      <w:pPr>
        <w:sectPr>
          <w:pgSz w:w="11900" w:h="16838" w:orient="portrait"/>
          <w:cols w:equalWidth="0" w:num="1">
            <w:col w:w="11240"/>
          </w:cols>
          <w:pgMar w:left="320" w:top="126" w:right="339" w:bottom="1440" w:gutter="0" w:footer="0" w:header="0"/>
        </w:sectPr>
      </w:pPr>
    </w:p>
    <w:bookmarkStart w:id="113" w:name="page114"/>
    <w:bookmarkEnd w:id="113"/>
    <w:p>
      <w:pPr>
        <w:ind w:left="20"/>
        <w:spacing w:after="0"/>
        <w:rPr>
          <w:sz w:val="20"/>
          <w:szCs w:val="20"/>
          <w:color w:val="auto"/>
        </w:rPr>
      </w:pPr>
      <w:r>
        <w:rPr>
          <w:rFonts w:ascii="Arial" w:cs="Arial" w:eastAsia="Arial" w:hAnsi="Arial"/>
          <w:sz w:val="13"/>
          <w:szCs w:val="13"/>
          <w:b w:val="1"/>
          <w:bCs w:val="1"/>
          <w:color w:val="auto"/>
        </w:rPr>
        <w:t>November 10, 2020</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874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5"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33" w:lineRule="exact"/>
        <w:rPr>
          <w:sz w:val="20"/>
          <w:szCs w:val="20"/>
          <w:color w:val="auto"/>
        </w:rPr>
      </w:pPr>
    </w:p>
    <w:p>
      <w:pPr>
        <w:ind w:right="40" w:firstLine="1296"/>
        <w:spacing w:after="0" w:line="260" w:lineRule="auto"/>
        <w:rPr>
          <w:sz w:val="20"/>
          <w:szCs w:val="20"/>
          <w:color w:val="auto"/>
        </w:rPr>
      </w:pPr>
      <w:r>
        <w:rPr>
          <w:rFonts w:ascii="Arial" w:cs="Arial" w:eastAsia="Arial" w:hAnsi="Arial"/>
          <w:sz w:val="21"/>
          <w:szCs w:val="21"/>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numbered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Subject to the foregoing and the other matters set forth herein, it is our opinion that, as of the date hereof:</w:t>
      </w:r>
    </w:p>
    <w:p>
      <w:pPr>
        <w:spacing w:after="0" w:line="231" w:lineRule="exact"/>
        <w:rPr>
          <w:sz w:val="20"/>
          <w:szCs w:val="20"/>
          <w:color w:val="auto"/>
        </w:rPr>
      </w:pPr>
    </w:p>
    <w:p>
      <w:pPr>
        <w:ind w:right="120" w:firstLine="1304"/>
        <w:spacing w:after="0" w:line="259" w:lineRule="auto"/>
        <w:tabs>
          <w:tab w:leader="none" w:pos="1670" w:val="left"/>
        </w:tabs>
        <w:numPr>
          <w:ilvl w:val="0"/>
          <w:numId w:val="76"/>
        </w:numPr>
        <w:rPr>
          <w:rFonts w:ascii="Arial" w:cs="Arial" w:eastAsia="Arial" w:hAnsi="Arial"/>
          <w:sz w:val="21"/>
          <w:szCs w:val="21"/>
          <w:color w:val="auto"/>
        </w:rPr>
      </w:pPr>
      <w:r>
        <w:rPr>
          <w:rFonts w:ascii="Arial" w:cs="Arial" w:eastAsia="Arial" w:hAnsi="Arial"/>
          <w:sz w:val="21"/>
          <w:szCs w:val="21"/>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3" w:lineRule="exact"/>
        <w:rPr>
          <w:rFonts w:ascii="Arial" w:cs="Arial" w:eastAsia="Arial" w:hAnsi="Arial"/>
          <w:sz w:val="21"/>
          <w:szCs w:val="21"/>
          <w:color w:val="auto"/>
        </w:rPr>
      </w:pPr>
    </w:p>
    <w:p>
      <w:pPr>
        <w:ind w:right="40" w:firstLine="1304"/>
        <w:spacing w:after="0" w:line="259" w:lineRule="auto"/>
        <w:tabs>
          <w:tab w:leader="none" w:pos="1670" w:val="left"/>
        </w:tabs>
        <w:numPr>
          <w:ilvl w:val="0"/>
          <w:numId w:val="76"/>
        </w:numPr>
        <w:rPr>
          <w:rFonts w:ascii="Arial" w:cs="Arial" w:eastAsia="Arial" w:hAnsi="Arial"/>
          <w:sz w:val="21"/>
          <w:szCs w:val="21"/>
          <w:color w:val="auto"/>
        </w:rPr>
      </w:pPr>
      <w:r>
        <w:rPr>
          <w:rFonts w:ascii="Arial" w:cs="Arial" w:eastAsia="Arial" w:hAnsi="Arial"/>
          <w:sz w:val="21"/>
          <w:szCs w:val="21"/>
          <w:color w:val="auto"/>
        </w:rPr>
        <w:t>When a series of Preferred Stock has been duly established in accordance with the terms of the Company’s Amended and Restated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ectPr>
          <w:pgSz w:w="11900" w:h="16838" w:orient="portrait"/>
          <w:cols w:equalWidth="0" w:num="1">
            <w:col w:w="11240"/>
          </w:cols>
          <w:pgMar w:left="320" w:top="171" w:right="339" w:bottom="1440" w:gutter="0" w:footer="0" w:header="0"/>
        </w:sectPr>
      </w:pPr>
    </w:p>
    <w:bookmarkStart w:id="114" w:name="page115"/>
    <w:bookmarkEnd w:id="114"/>
    <w:p>
      <w:pPr>
        <w:ind w:left="20"/>
        <w:spacing w:after="0"/>
        <w:rPr>
          <w:sz w:val="20"/>
          <w:szCs w:val="20"/>
          <w:color w:val="auto"/>
        </w:rPr>
      </w:pPr>
      <w:r>
        <w:rPr>
          <w:rFonts w:ascii="Arial" w:cs="Arial" w:eastAsia="Arial" w:hAnsi="Arial"/>
          <w:sz w:val="13"/>
          <w:szCs w:val="13"/>
          <w:b w:val="1"/>
          <w:bCs w:val="1"/>
          <w:color w:val="auto"/>
        </w:rPr>
        <w:t>November 10, 2020</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874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1295"/>
        <w:spacing w:after="0" w:line="260" w:lineRule="auto"/>
        <w:tabs>
          <w:tab w:leader="none" w:pos="1661" w:val="left"/>
        </w:tabs>
        <w:numPr>
          <w:ilvl w:val="0"/>
          <w:numId w:val="77"/>
        </w:numPr>
        <w:rPr>
          <w:rFonts w:ascii="Arial" w:cs="Arial" w:eastAsia="Arial" w:hAnsi="Arial"/>
          <w:sz w:val="21"/>
          <w:szCs w:val="21"/>
          <w:color w:val="auto"/>
        </w:rPr>
      </w:pPr>
      <w:r>
        <w:rPr>
          <w:rFonts w:ascii="Arial" w:cs="Arial" w:eastAsia="Arial" w:hAnsi="Arial"/>
          <w:sz w:val="21"/>
          <w:szCs w:val="21"/>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80" w:lineRule="exact"/>
        <w:rPr>
          <w:rFonts w:ascii="Arial" w:cs="Arial" w:eastAsia="Arial" w:hAnsi="Arial"/>
          <w:sz w:val="21"/>
          <w:szCs w:val="21"/>
          <w:color w:val="auto"/>
        </w:rPr>
      </w:pPr>
    </w:p>
    <w:p>
      <w:pPr>
        <w:ind w:right="80" w:firstLine="1295"/>
        <w:spacing w:after="0" w:line="290" w:lineRule="auto"/>
        <w:tabs>
          <w:tab w:leader="none" w:pos="1661" w:val="left"/>
        </w:tabs>
        <w:numPr>
          <w:ilvl w:val="0"/>
          <w:numId w:val="77"/>
        </w:numPr>
        <w:rPr>
          <w:rFonts w:ascii="Arial" w:cs="Arial" w:eastAsia="Arial" w:hAnsi="Arial"/>
          <w:sz w:val="19"/>
          <w:szCs w:val="19"/>
          <w:color w:val="auto"/>
        </w:rPr>
      </w:pPr>
      <w:r>
        <w:rPr>
          <w:rFonts w:ascii="Arial" w:cs="Arial" w:eastAsia="Arial" w:hAnsi="Arial"/>
          <w:sz w:val="19"/>
          <w:szCs w:val="19"/>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55" w:lineRule="exact"/>
        <w:rPr>
          <w:rFonts w:ascii="Arial" w:cs="Arial" w:eastAsia="Arial" w:hAnsi="Arial"/>
          <w:sz w:val="19"/>
          <w:szCs w:val="19"/>
          <w:color w:val="auto"/>
        </w:rPr>
      </w:pPr>
    </w:p>
    <w:p>
      <w:pPr>
        <w:ind w:firstLine="1304"/>
        <w:spacing w:after="0" w:line="259" w:lineRule="auto"/>
        <w:tabs>
          <w:tab w:leader="none" w:pos="167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83"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Our opinions are subject to: (i) the effects of bankruptcy, insolvency, reorganization, preference, fraudulent transfer, moratorium or other similar laws relating to or affecting the rights and remedies of creditors; (ii) the effects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w:t>
      </w:r>
    </w:p>
    <w:p>
      <w:pPr>
        <w:sectPr>
          <w:pgSz w:w="11900" w:h="16838" w:orient="portrait"/>
          <w:cols w:equalWidth="0" w:num="1">
            <w:col w:w="11220"/>
          </w:cols>
          <w:pgMar w:left="320" w:top="171" w:right="359" w:bottom="1440" w:gutter="0" w:footer="0" w:header="0"/>
        </w:sectPr>
      </w:pPr>
    </w:p>
    <w:bookmarkStart w:id="115" w:name="page116"/>
    <w:bookmarkEnd w:id="115"/>
    <w:p>
      <w:pPr>
        <w:ind w:left="20"/>
        <w:spacing w:after="0"/>
        <w:rPr>
          <w:sz w:val="20"/>
          <w:szCs w:val="20"/>
          <w:color w:val="auto"/>
        </w:rPr>
      </w:pPr>
      <w:r>
        <w:rPr>
          <w:rFonts w:ascii="Arial" w:cs="Arial" w:eastAsia="Arial" w:hAnsi="Arial"/>
          <w:sz w:val="13"/>
          <w:szCs w:val="13"/>
          <w:b w:val="1"/>
          <w:bCs w:val="1"/>
          <w:color w:val="auto"/>
        </w:rPr>
        <w:t>November 10, 2020</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8745"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63"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9"/>
          <w:szCs w:val="19"/>
          <w:color w:val="auto"/>
        </w:rPr>
        <w:t>With your consent, we have assumed (i) that each of the Debt Securities, Warrants and Units and the Applicable Indenture, warrant agreements and unit agreements governing such Securities (collectively, the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 (iv) 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57" w:lineRule="exact"/>
        <w:rPr>
          <w:sz w:val="20"/>
          <w:szCs w:val="20"/>
          <w:color w:val="auto"/>
        </w:rPr>
      </w:pPr>
    </w:p>
    <w:p>
      <w:pPr>
        <w:ind w:firstLine="428"/>
        <w:spacing w:after="0" w:line="260"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240"/>
          </w:cols>
          <w:pgMar w:left="320" w:top="17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5349240" cy="2606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349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1261 Liberty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Vista, California 92081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 Registration Statement on Form S-3; 6,042,679 Shares of Common Stock of Exagen Inc., par value $0.001 per share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have acted as special counsel to Exagen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registration for resale from time to time by certain selling stockholders (the “</w:t>
      </w:r>
      <w:r>
        <w:rPr>
          <w:rFonts w:ascii="Arial" w:cs="Arial" w:eastAsia="Arial" w:hAnsi="Arial"/>
          <w:sz w:val="19"/>
          <w:szCs w:val="19"/>
          <w:b w:val="1"/>
          <w:bCs w:val="1"/>
          <w:i w:val="1"/>
          <w:iCs w:val="1"/>
          <w:color w:val="auto"/>
        </w:rPr>
        <w:t>Selling Stockholders</w:t>
      </w:r>
      <w:r>
        <w:rPr>
          <w:rFonts w:ascii="Arial" w:cs="Arial" w:eastAsia="Arial" w:hAnsi="Arial"/>
          <w:sz w:val="19"/>
          <w:szCs w:val="19"/>
          <w:color w:val="auto"/>
        </w:rPr>
        <w:t>”) named in the Prospectus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defined below) of 6,042,679 shares (the “</w:t>
      </w:r>
      <w:r>
        <w:rPr>
          <w:rFonts w:ascii="Arial" w:cs="Arial" w:eastAsia="Arial" w:hAnsi="Arial"/>
          <w:sz w:val="19"/>
          <w:szCs w:val="19"/>
          <w:b w:val="1"/>
          <w:bCs w:val="1"/>
          <w:i w:val="1"/>
          <w:iCs w:val="1"/>
          <w:color w:val="auto"/>
        </w:rPr>
        <w:t>Shares</w:t>
      </w:r>
      <w:r>
        <w:rPr>
          <w:rFonts w:ascii="Arial" w:cs="Arial" w:eastAsia="Arial" w:hAnsi="Arial"/>
          <w:sz w:val="19"/>
          <w:szCs w:val="19"/>
          <w:i w:val="1"/>
          <w:iCs w:val="1"/>
          <w:color w:val="auto"/>
        </w:rPr>
        <w:t>”</w:t>
      </w:r>
      <w:r>
        <w:rPr>
          <w:rFonts w:ascii="Arial" w:cs="Arial" w:eastAsia="Arial" w:hAnsi="Arial"/>
          <w:sz w:val="19"/>
          <w:szCs w:val="19"/>
          <w:color w:val="auto"/>
        </w:rPr>
        <w:t>) of the Company’s common stock, $0.001 par value per share (the “</w:t>
      </w:r>
      <w:r>
        <w:rPr>
          <w:rFonts w:ascii="Arial" w:cs="Arial" w:eastAsia="Arial" w:hAnsi="Arial"/>
          <w:sz w:val="19"/>
          <w:szCs w:val="19"/>
          <w:b w:val="1"/>
          <w:bCs w:val="1"/>
          <w:i w:val="1"/>
          <w:iCs w:val="1"/>
          <w:color w:val="auto"/>
        </w:rPr>
        <w:t>Common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w:t>
      </w:r>
      <w:r>
        <w:rPr>
          <w:rFonts w:ascii="Arial" w:cs="Arial" w:eastAsia="Arial" w:hAnsi="Arial"/>
          <w:sz w:val="19"/>
          <w:szCs w:val="19"/>
          <w:color w:val="auto"/>
        </w:rPr>
        <w:t>”). The Shares include (i) 5,752,698 shares of Common Stock issued by the Company to the Selling Stockholders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Shares</w:t>
      </w:r>
      <w:r>
        <w:rPr>
          <w:rFonts w:ascii="Arial" w:cs="Arial" w:eastAsia="Arial" w:hAnsi="Arial"/>
          <w:sz w:val="19"/>
          <w:szCs w:val="19"/>
          <w:color w:val="auto"/>
        </w:rPr>
        <w:t>”) and (ii) 289,981 shares of Common Stock issuable upon the exercise of warrants issued to the Selling</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Stockholders (the “</w:t>
      </w:r>
      <w:r>
        <w:rPr>
          <w:rFonts w:ascii="Arial" w:cs="Arial" w:eastAsia="Arial" w:hAnsi="Arial"/>
          <w:sz w:val="21"/>
          <w:szCs w:val="21"/>
          <w:b w:val="1"/>
          <w:bCs w:val="1"/>
          <w:i w:val="1"/>
          <w:iCs w:val="1"/>
          <w:color w:val="auto"/>
        </w:rPr>
        <w:t>Warrant Holders</w:t>
      </w:r>
      <w:r>
        <w:rPr>
          <w:rFonts w:ascii="Arial" w:cs="Arial" w:eastAsia="Arial" w:hAnsi="Arial"/>
          <w:sz w:val="21"/>
          <w:szCs w:val="21"/>
          <w:color w:val="auto"/>
        </w:rPr>
        <w:t>”) by the Company (the “</w:t>
      </w:r>
      <w:r>
        <w:rPr>
          <w:rFonts w:ascii="Arial" w:cs="Arial" w:eastAsia="Arial" w:hAnsi="Arial"/>
          <w:sz w:val="21"/>
          <w:szCs w:val="21"/>
          <w:b w:val="1"/>
          <w:bCs w:val="1"/>
          <w:i w:val="1"/>
          <w:iCs w:val="1"/>
          <w:color w:val="auto"/>
        </w:rPr>
        <w:t>Warrants</w:t>
      </w:r>
      <w:r>
        <w:rPr>
          <w:rFonts w:ascii="Arial" w:cs="Arial" w:eastAsia="Arial" w:hAnsi="Arial"/>
          <w:sz w:val="21"/>
          <w:szCs w:val="21"/>
          <w:color w:val="auto"/>
        </w:rPr>
        <w:t>,” and the shares of Common Stock issuable upon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exercise of the Warrants, the “</w:t>
      </w:r>
      <w:r>
        <w:rPr>
          <w:rFonts w:ascii="Arial" w:cs="Arial" w:eastAsia="Arial" w:hAnsi="Arial"/>
          <w:sz w:val="21"/>
          <w:szCs w:val="21"/>
          <w:b w:val="1"/>
          <w:bCs w:val="1"/>
          <w:i w:val="1"/>
          <w:iCs w:val="1"/>
          <w:color w:val="auto"/>
        </w:rPr>
        <w:t>Warrant Shares</w:t>
      </w:r>
      <w:r>
        <w:rPr>
          <w:rFonts w:ascii="Arial" w:cs="Arial" w:eastAsia="Arial" w:hAnsi="Arial"/>
          <w:sz w:val="21"/>
          <w:szCs w:val="21"/>
          <w:color w:val="auto"/>
        </w:rPr>
        <w:t>”). The Shares are included in a registration statement on Form S-3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and the related prospectus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Registration Statement (the “</w:t>
      </w:r>
      <w:r>
        <w:rPr>
          <w:rFonts w:ascii="Arial" w:cs="Arial" w:eastAsia="Arial" w:hAnsi="Arial"/>
          <w:sz w:val="21"/>
          <w:szCs w:val="21"/>
          <w:b w:val="1"/>
          <w:bCs w:val="1"/>
          <w:i w:val="1"/>
          <w:iCs w:val="1"/>
          <w:color w:val="auto"/>
        </w:rPr>
        <w:t>Prospectus</w:t>
      </w:r>
      <w:r>
        <w:rPr>
          <w:rFonts w:ascii="Arial" w:cs="Arial" w:eastAsia="Arial" w:hAnsi="Arial"/>
          <w:sz w:val="21"/>
          <w:szCs w:val="21"/>
          <w:color w:val="auto"/>
        </w:rPr>
        <w:t>”), filed with the Securities and Exchange Commission (the “</w:t>
      </w:r>
      <w:r>
        <w:rPr>
          <w:rFonts w:ascii="Arial" w:cs="Arial" w:eastAsia="Arial" w:hAnsi="Arial"/>
          <w:sz w:val="21"/>
          <w:szCs w:val="21"/>
          <w:b w:val="1"/>
          <w:bCs w:val="1"/>
          <w:i w:val="1"/>
          <w:iCs w:val="1"/>
          <w:color w:val="auto"/>
        </w:rPr>
        <w:t>Commission</w:t>
      </w:r>
      <w:r>
        <w:rPr>
          <w:rFonts w:ascii="Arial" w:cs="Arial" w:eastAsia="Arial" w:hAnsi="Arial"/>
          <w:sz w:val="21"/>
          <w:szCs w:val="21"/>
          <w:color w:val="auto"/>
        </w:rPr>
        <w:t>”) 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November 10, 2020.</w:t>
      </w:r>
    </w:p>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ectPr>
          <w:pgSz w:w="11900" w:h="16838" w:orient="portrait"/>
          <w:cols w:equalWidth="0" w:num="1">
            <w:col w:w="11240"/>
          </w:cols>
          <w:pgMar w:left="320" w:top="126" w:right="339" w:bottom="1440" w:gutter="0" w:footer="0" w:header="0"/>
        </w:sectPr>
      </w:pPr>
    </w:p>
    <w:bookmarkStart w:id="117" w:name="page118"/>
    <w:bookmarkEnd w:id="117"/>
    <w:p>
      <w:pPr>
        <w:ind w:left="20"/>
        <w:spacing w:after="0"/>
        <w:rPr>
          <w:sz w:val="20"/>
          <w:szCs w:val="20"/>
          <w:color w:val="auto"/>
        </w:rPr>
      </w:pPr>
      <w:r>
        <w:rPr>
          <w:rFonts w:ascii="Arial" w:cs="Arial" w:eastAsia="Arial" w:hAnsi="Arial"/>
          <w:sz w:val="13"/>
          <w:szCs w:val="13"/>
          <w:b w:val="1"/>
          <w:bCs w:val="1"/>
          <w:color w:val="auto"/>
        </w:rPr>
        <w:t>November 10, 2020</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874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foregoing and the other matters set forth herein, it is our opinion that, as of the date hereof:</w:t>
      </w:r>
    </w:p>
    <w:p>
      <w:pPr>
        <w:spacing w:after="0" w:line="220" w:lineRule="exact"/>
        <w:rPr>
          <w:sz w:val="20"/>
          <w:szCs w:val="20"/>
          <w:color w:val="auto"/>
        </w:rPr>
      </w:pPr>
    </w:p>
    <w:p>
      <w:pPr>
        <w:ind w:right="480" w:firstLine="656"/>
        <w:spacing w:after="0" w:line="263"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issue and sale of the Common Shares have been duly authorized by all necessary corporate action of the Company and the Common Shares are validly issued, fully paid and nonassessable.</w:t>
      </w:r>
    </w:p>
    <w:p>
      <w:pPr>
        <w:spacing w:after="0" w:line="174" w:lineRule="exact"/>
        <w:rPr>
          <w:rFonts w:ascii="Arial" w:cs="Arial" w:eastAsia="Arial" w:hAnsi="Arial"/>
          <w:sz w:val="22"/>
          <w:szCs w:val="22"/>
          <w:color w:val="auto"/>
        </w:rPr>
      </w:pPr>
    </w:p>
    <w:p>
      <w:pPr>
        <w:ind w:right="60" w:firstLine="656"/>
        <w:spacing w:after="0" w:line="302"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issue of the Warrant Shares has been duly authorized by all necessary corporate action of the Company, and when the Warrant Shares have been duly registered on the books of the transfer agent and registrar therefor in the name or on behalf of the Warrant Holders, and have been issued by the Company upon exercise of the Warrants, against payment therefor in the manner contemplated by the Warrants, the Warrant Shares will be validly issued, fully paid and non-assessable.</w:t>
      </w:r>
    </w:p>
    <w:p>
      <w:pPr>
        <w:spacing w:after="0" w:line="142" w:lineRule="exact"/>
        <w:rPr>
          <w:sz w:val="20"/>
          <w:szCs w:val="20"/>
          <w:color w:val="auto"/>
        </w:rPr>
      </w:pPr>
    </w:p>
    <w:p>
      <w:pPr>
        <w:ind w:right="740" w:firstLine="729"/>
        <w:spacing w:after="0" w:line="343" w:lineRule="auto"/>
        <w:rPr>
          <w:sz w:val="20"/>
          <w:szCs w:val="20"/>
          <w:color w:val="auto"/>
        </w:rPr>
      </w:pPr>
      <w:r>
        <w:rPr>
          <w:rFonts w:ascii="Arial" w:cs="Arial" w:eastAsia="Arial" w:hAnsi="Arial"/>
          <w:sz w:val="19"/>
          <w:szCs w:val="19"/>
          <w:color w:val="auto"/>
        </w:rPr>
        <w:t>In rendering the foregoing opinion 2, we have assumed that the Company will comply with all applicable notice requirements regarding uncertificated shares provided in the General Corporation Law of the State of Delaware.</w:t>
      </w:r>
    </w:p>
    <w:p>
      <w:pPr>
        <w:spacing w:after="0" w:line="10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160"/>
          </w:cols>
          <w:pgMar w:left="320" w:top="171" w:right="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of our report dated March 25, 2020, relating to the financial statements of Exagen Inc. appearing in the Company’s Annual Report on Form 10-K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23F9C13C"/>
    <w:multiLevelType w:val="hybridMultilevel"/>
    <w:lvl w:ilvl="0">
      <w:lvlJc w:val="left"/>
      <w:lvlText w:val="(%1)"/>
      <w:numFmt w:val="decimal"/>
      <w:start w:val="2"/>
    </w:lvl>
  </w:abstractNum>
  <w:abstractNum w:abstractNumId="32">
    <w:nsid w:val="649BB77C"/>
    <w:multiLevelType w:val="hybridMultilevel"/>
    <w:lvl w:ilvl="0">
      <w:lvlJc w:val="left"/>
      <w:lvlText w:val="(%1)"/>
      <w:numFmt w:val="decimal"/>
      <w:start w:val="5"/>
    </w:lvl>
  </w:abstractNum>
  <w:abstractNum w:abstractNumId="33">
    <w:nsid w:val="275AC794"/>
    <w:multiLevelType w:val="hybridMultilevel"/>
    <w:lvl w:ilvl="0">
      <w:lvlJc w:val="left"/>
      <w:lvlText w:val="%1"/>
      <w:numFmt w:val="decimal"/>
      <w:start w:val="1"/>
    </w:lvl>
    <w:lvl w:ilvl="1">
      <w:lvlJc w:val="left"/>
      <w:lvlText w:val="(%2)"/>
      <w:numFmt w:val="upperLetter"/>
      <w:start w:val="1"/>
    </w:lvl>
  </w:abstractNum>
  <w:abstractNum w:abstractNumId="34">
    <w:nsid w:val="39386575"/>
    <w:multiLevelType w:val="hybridMultilevel"/>
    <w:lvl w:ilvl="0">
      <w:lvlJc w:val="left"/>
      <w:lvlText w:val="(%1)"/>
      <w:numFmt w:val="decimal"/>
      <w:start w:val="6"/>
    </w:lvl>
    <w:lvl w:ilvl="1">
      <w:lvlJc w:val="left"/>
      <w:lvlText w:val="%2"/>
      <w:numFmt w:val="upperLetter"/>
      <w:start w:val="1"/>
    </w:lvl>
  </w:abstractNum>
  <w:abstractNum w:abstractNumId="35">
    <w:nsid w:val="1CF10FD8"/>
    <w:multiLevelType w:val="hybridMultilevel"/>
    <w:lvl w:ilvl="0">
      <w:lvlJc w:val="left"/>
      <w:lvlText w:val="%1"/>
      <w:numFmt w:val="lowerLetter"/>
      <w:start w:val="1"/>
    </w:lvl>
    <w:lvl w:ilvl="1">
      <w:lvlJc w:val="left"/>
      <w:lvlText w:val="(%2)"/>
      <w:numFmt w:val="lowerRoman"/>
      <w:start w:val="1"/>
    </w:lvl>
  </w:abstractNum>
  <w:abstractNum w:abstractNumId="36">
    <w:nsid w:val="180115BE"/>
    <w:multiLevelType w:val="hybridMultilevel"/>
    <w:lvl w:ilvl="0">
      <w:lvlJc w:val="left"/>
      <w:lvlText w:val="(%1)"/>
      <w:numFmt w:val="lowerLetter"/>
      <w:start w:val="2"/>
    </w:lvl>
    <w:lvl w:ilvl="1">
      <w:lvlJc w:val="left"/>
      <w:lvlText w:val="%2"/>
      <w:numFmt w:val="lowerRoman"/>
      <w:start w:val="1"/>
    </w:lvl>
  </w:abstractNum>
  <w:abstractNum w:abstractNumId="37">
    <w:nsid w:val="235BA861"/>
    <w:multiLevelType w:val="hybridMultilevel"/>
    <w:lvl w:ilvl="0">
      <w:lvlJc w:val="left"/>
      <w:lvlText w:val="(%1)"/>
      <w:numFmt w:val="lowerLetter"/>
      <w:start w:val="8"/>
    </w:lvl>
  </w:abstractNum>
  <w:abstractNum w:abstractNumId="38">
    <w:nsid w:val="47398C89"/>
    <w:multiLevelType w:val="hybridMultilevel"/>
    <w:lvl w:ilvl="0">
      <w:lvlJc w:val="left"/>
      <w:lvlText w:val="(%1)"/>
      <w:numFmt w:val="lowerLetter"/>
      <w:start w:val="10"/>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2"/>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4"/>
    </w:lvl>
    <w:lvl w:ilvl="1">
      <w:lvlJc w:val="left"/>
      <w:lvlText w:val="(%2)"/>
      <w:numFmt w:val="lowerRoman"/>
      <w:start w:val="1"/>
    </w:lvl>
  </w:abstractNum>
  <w:abstractNum w:abstractNumId="46">
    <w:nsid w:val="7E0C57B1"/>
    <w:multiLevelType w:val="hybridMultilevel"/>
    <w:lvl w:ilvl="0">
      <w:lvlJc w:val="left"/>
      <w:lvlText w:val="(%1)"/>
      <w:numFmt w:val="lowerLetter"/>
      <w:start w:val="6"/>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3"/>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lvl w:ilvl="1">
      <w:lvlJc w:val="left"/>
      <w:lvlText w:val="(%2)"/>
      <w:numFmt w:val="lowerRoman"/>
      <w:start w:val="1"/>
    </w:lvl>
  </w:abstractNum>
  <w:abstractNum w:abstractNumId="53">
    <w:nsid w:val="1DBABF0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4">
    <w:nsid w:val="4AD084E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55">
    <w:nsid w:val="1F48EAA1"/>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3"/>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3"/>
    </w:lvl>
  </w:abstractNum>
  <w:abstractNum w:abstractNumId="60">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lvl w:ilvl="1">
      <w:lvlJc w:val="left"/>
      <w:lvlText w:val="(%2)"/>
      <w:numFmt w:val="lowerLetter"/>
      <w:start w:val="1"/>
    </w:lvl>
  </w:abstractNum>
  <w:abstractNum w:abstractNumId="64">
    <w:nsid w:val="6B94764"/>
    <w:multiLevelType w:val="hybridMultilevel"/>
    <w:lvl w:ilvl="0">
      <w:lvlJc w:val="left"/>
      <w:lvlText w:val="(%1)"/>
      <w:numFmt w:val="lowerLetter"/>
      <w:start w:val="4"/>
    </w:lvl>
    <w:lvl w:ilvl="1">
      <w:lvlJc w:val="left"/>
      <w:lvlText w:val="(%2)"/>
      <w:numFmt w:val="lowerLetter"/>
      <w:start w:val="2"/>
    </w:lvl>
  </w:abstractNum>
  <w:abstractNum w:abstractNumId="65">
    <w:nsid w:val="42C296BD"/>
    <w:multiLevelType w:val="hybridMultilevel"/>
    <w:lvl w:ilvl="0">
      <w:lvlJc w:val="left"/>
      <w:lvlText w:val="%1"/>
      <w:numFmt w:val="lowerLetter"/>
      <w:start w:val="1"/>
    </w:lvl>
    <w:lvl w:ilvl="1">
      <w:lvlJc w:val="left"/>
      <w:lvlText w:val="(%2)"/>
      <w:numFmt w:val="lowerLetter"/>
      <w:start w:val="4"/>
    </w:lvl>
  </w:abstractNum>
  <w:abstractNum w:abstractNumId="66">
    <w:nsid w:val="168E121F"/>
    <w:multiLevelType w:val="hybridMultilevel"/>
    <w:lvl w:ilvl="0">
      <w:lvlJc w:val="left"/>
      <w:lvlText w:val="(%1)"/>
      <w:numFmt w:val="lowerLetter"/>
      <w:start w:val="35"/>
    </w:lvl>
    <w:lvl w:ilvl="1">
      <w:lvlJc w:val="left"/>
      <w:lvlText w:val="%2"/>
      <w:numFmt w:val="lowerLetter"/>
      <w:start w:val="1"/>
    </w:lvl>
  </w:abstractNum>
  <w:abstractNum w:abstractNumId="67">
    <w:nsid w:val="1EBA5D23"/>
    <w:multiLevelType w:val="hybridMultilevel"/>
    <w:lvl w:ilvl="0">
      <w:lvlJc w:val="left"/>
      <w:lvlText w:val="(%1)"/>
      <w:numFmt w:val="lowerLetter"/>
      <w:start w:val="8"/>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2"/>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2"/>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3"/>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jpeg"/><Relationship Id="rId50" Type="http://schemas.openxmlformats.org/officeDocument/2006/relationships/image" Target="media/image33.jpeg"/><Relationship Id="rId27" Type="http://schemas.openxmlformats.org/officeDocument/2006/relationships/hyperlink" Target="http://www.sec.gov/Archives/edgar/data/1274737/000119312519252366/d769261dex31.htm" TargetMode="External"/><Relationship Id="rId28" Type="http://schemas.openxmlformats.org/officeDocument/2006/relationships/hyperlink" Target="http://www.sec.gov/Archives/edgar/data/1274737/000119312519252366/d769261dex32.htm" TargetMode="External"/><Relationship Id="rId29" Type="http://schemas.openxmlformats.org/officeDocument/2006/relationships/hyperlink" Target="http://www.sec.gov/Archives/edgar/data/1274737/000119312519240403/d692844dex41.htm" TargetMode="External"/><Relationship Id="rId30" Type="http://schemas.openxmlformats.org/officeDocument/2006/relationships/hyperlink" Target="http://www.sec.gov/Archives/edgar/data/1274737/000119312519228011/d692844dex42.htm" TargetMode="External"/><Relationship Id="rId31" Type="http://schemas.openxmlformats.org/officeDocument/2006/relationships/hyperlink" Target="http://www.sec.gov/Archives/edgar/data/1274737/000119312519228011/d692844dex44.htm" TargetMode="External"/><Relationship Id="rId32" Type="http://schemas.openxmlformats.org/officeDocument/2006/relationships/hyperlink" Target="http://www.sec.gov/Archives/edgar/data/1274737/000119312519228011/d692844dex45.htm" TargetMode="External"/><Relationship Id="rId33" Type="http://schemas.openxmlformats.org/officeDocument/2006/relationships/hyperlink" Target="http://www.sec.gov/Archives/edgar/data/1274737/000119312519228011/d692844dex46.htm" TargetMode="External"/><Relationship Id="rId34" Type="http://schemas.openxmlformats.org/officeDocument/2006/relationships/hyperlink" Target="http://www.sec.gov/Archives/edgar/data/1274737/000119312519228011/d692844dex47.htm" TargetMode="External"/><Relationship Id="rId35" Type="http://schemas.openxmlformats.org/officeDocument/2006/relationships/hyperlink" Target="http://www.sec.gov/Archives/edgar/data/1274737/000119312519228011/d692844dex48.htm" TargetMode="External"/><Relationship Id="rId36" Type="http://schemas.openxmlformats.org/officeDocument/2006/relationships/hyperlink" Target="http://www.sec.gov/Archives/edgar/data/1274737/000119312519228011/d692844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2020-11-10T16:23:15Z</dcterms:created>
  <dcterms:modified xsi:type="dcterms:W3CDTF">2020-11-10T16:23:15Z</dcterms:modified>
</cp:coreProperties>
</file>