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11, 2022</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2" w:lineRule="exact"/>
        <w:rPr>
          <w:sz w:val="24"/>
          <w:szCs w:val="24"/>
          <w:color w:val="auto"/>
        </w:rPr>
      </w:pPr>
    </w:p>
    <w:p>
      <w:pPr>
        <w:ind w:right="5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May 11, 2022, the Company reported its financial results for the three months ended March 31, 2022. A copy of the press release issued by the Company is furnished as Exhibit 99.1 to this report.</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2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Press Release dated May 11, 2022</w:t>
            </w:r>
          </w:p>
        </w:tc>
        <w:tc>
          <w:tcPr>
            <w:tcW w:w="7320" w:type="dxa"/>
            <w:vAlign w:val="bottom"/>
          </w:tcPr>
          <w:p>
            <w:pPr>
              <w:spacing w:after="0"/>
              <w:rPr>
                <w:sz w:val="24"/>
                <w:szCs w:val="24"/>
                <w:color w:val="auto"/>
              </w:rPr>
            </w:pPr>
          </w:p>
        </w:tc>
      </w:tr>
      <w:tr>
        <w:trPr>
          <w:trHeight w:val="52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Kamal Adawi</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Calibri" w:cs="Calibri" w:eastAsia="Calibri" w:hAnsi="Calibri"/>
          <w:sz w:val="25"/>
          <w:szCs w:val="25"/>
          <w:b w:val="1"/>
          <w:bCs w:val="1"/>
          <w:color w:val="auto"/>
        </w:rPr>
        <w:t>Exagen Inc. Reports First Quarter 2022 Results</w:t>
      </w:r>
    </w:p>
    <w:p>
      <w:pPr>
        <w:spacing w:after="0" w:line="250"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i w:val="1"/>
          <w:iCs w:val="1"/>
          <w:color w:val="auto"/>
        </w:rPr>
        <w:t>Records in Ordering Healthcare Providers and Adopters, Set All-Time Record for AVISE® CTD Monthly Volume in March</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alibri" w:cs="Calibri" w:eastAsia="Calibri" w:hAnsi="Calibri"/>
          <w:sz w:val="20"/>
          <w:szCs w:val="20"/>
          <w:color w:val="auto"/>
        </w:rPr>
        <w:t>May 11, 2022</w:t>
      </w:r>
    </w:p>
    <w:p>
      <w:pPr>
        <w:spacing w:after="0" w:line="265" w:lineRule="exact"/>
        <w:rPr>
          <w:sz w:val="20"/>
          <w:szCs w:val="20"/>
          <w:color w:val="auto"/>
        </w:rPr>
      </w:pPr>
    </w:p>
    <w:p>
      <w:pPr>
        <w:ind w:right="380"/>
        <w:spacing w:after="0" w:line="234" w:lineRule="auto"/>
        <w:rPr>
          <w:sz w:val="20"/>
          <w:szCs w:val="20"/>
          <w:color w:val="auto"/>
        </w:rPr>
      </w:pPr>
      <w:r>
        <w:rPr>
          <w:rFonts w:ascii="Calibri" w:cs="Calibri" w:eastAsia="Calibri" w:hAnsi="Calibri"/>
          <w:sz w:val="20"/>
          <w:szCs w:val="20"/>
          <w:color w:val="auto"/>
        </w:rPr>
        <w:t>SAN DIEGO – Exagen Inc. (Nasdaq: XGN), a leading provider of autoimmune testng solutons, today reported fnancial results for the quarter ended March 31, 2022.</w:t>
      </w:r>
    </w:p>
    <w:p>
      <w:pPr>
        <w:spacing w:after="0" w:line="14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First Quarter Highlights:</w:t>
      </w:r>
    </w:p>
    <w:p>
      <w:pPr>
        <w:spacing w:after="0" w:line="157" w:lineRule="exact"/>
        <w:rPr>
          <w:sz w:val="20"/>
          <w:szCs w:val="20"/>
          <w:color w:val="auto"/>
        </w:rPr>
      </w:pPr>
    </w:p>
    <w:p>
      <w:pPr>
        <w:ind w:left="980" w:right="120" w:hanging="324"/>
        <w:spacing w:after="0" w:line="234" w:lineRule="auto"/>
        <w:tabs>
          <w:tab w:leader="none" w:pos="973"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Generated total revenue of $10.4 million for the frst quarter of 2022. Our fagship AVISE® CTD test, including AVISE® Lupus, generated revenue of $8.7 million for the frst quarter of 2022.</w:t>
      </w:r>
    </w:p>
    <w:p>
      <w:pPr>
        <w:spacing w:after="0" w:line="148" w:lineRule="exact"/>
        <w:rPr>
          <w:rFonts w:ascii="Calibri" w:cs="Calibri" w:eastAsia="Calibri" w:hAnsi="Calibri"/>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Delivered 30,903 AVISE® CTD tests, including AVISE® Lupus, in the frst quarter of 2022, a 6.5% increase over the frst quarter</w:t>
      </w:r>
    </w:p>
    <w:p>
      <w:pPr>
        <w:spacing w:after="0" w:line="22" w:lineRule="exact"/>
        <w:rPr>
          <w:rFonts w:ascii="Calibri" w:cs="Calibri" w:eastAsia="Calibri" w:hAnsi="Calibri"/>
          <w:sz w:val="20"/>
          <w:szCs w:val="20"/>
          <w:color w:val="auto"/>
        </w:rPr>
      </w:pPr>
    </w:p>
    <w:p>
      <w:pPr>
        <w:ind w:left="980" w:right="16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of 2021. Since the launch of AVISE® CTD in 2012 through the frst quarter of 2022, we have delivered over 646,000 of these tests.</w:t>
      </w:r>
    </w:p>
    <w:p>
      <w:pPr>
        <w:spacing w:after="0" w:line="158" w:lineRule="exact"/>
        <w:rPr>
          <w:rFonts w:ascii="Calibri" w:cs="Calibri" w:eastAsia="Calibri" w:hAnsi="Calibri"/>
          <w:sz w:val="20"/>
          <w:szCs w:val="20"/>
          <w:color w:val="auto"/>
        </w:rPr>
      </w:pPr>
    </w:p>
    <w:p>
      <w:pPr>
        <w:ind w:left="980" w:right="240" w:hanging="324"/>
        <w:spacing w:after="0"/>
        <w:tabs>
          <w:tab w:leader="none" w:pos="973"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Record number of ordering healthcare providers totaling 2,175 in the frst quarter of 2022, including a record of 761 adopters for the AVISE® CTD and AVISE® Lupus tests, and sequental quarterly retenton rate of approximately 99% among adoptng healthcare providers from the prior quarter.</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alibri" w:cs="Calibri" w:eastAsia="Calibri" w:hAnsi="Calibri"/>
          <w:sz w:val="20"/>
          <w:szCs w:val="20"/>
          <w:color w:val="auto"/>
        </w:rPr>
        <w:t>“Exagen once again set records in the frst quarter for the number of adopters and healthcare providers. We were very encouraged to see that March was an all-tme record for AVISE® CTD tests delivered, especially afer Omicron's impact on the frst half of the quarter. The American Medical Associaton's decision to issue and price a Proprietary Laboratory Analyses code for AVISE® Lupus is a major milestone for Exagen as it demonstrates the potental efectveness of Cell-Bound Complement Actvaton Products technology and sets us up for long-term success. We are pleased with our contnued progress with payors and are expected to have over 90 million in-network lives with the additon of Centene and WellCare efectve June 1, 2022. Additonally, our research and development team contnues to advance our autoimmune pipeline products to bring much needed tests to the market," said Ron Rocca, President and Chief Executve Ofcer of Exagen.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First Quarter 2022 Financial Results</w:t>
      </w:r>
    </w:p>
    <w:p>
      <w:pPr>
        <w:spacing w:after="0" w:line="157"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color w:val="auto"/>
        </w:rPr>
        <w:t>Testng revenue was $10.4 million for the frst quarter of 2022, compared to $10.3 million in the frst quarter of 2021, due to increased AVISE® CTD volumes despite the disrupton caused by COVID-19</w:t>
      </w:r>
    </w:p>
    <w:p>
      <w:pPr>
        <w:sectPr>
          <w:pgSz w:w="11900" w:h="16838" w:orient="portrait"/>
          <w:cols w:equalWidth="0" w:num="1">
            <w:col w:w="11220"/>
          </w:cols>
          <w:pgMar w:left="320" w:top="1440" w:right="359" w:bottom="1440" w:gutter="0" w:footer="0" w:header="0"/>
        </w:sectPr>
      </w:pPr>
    </w:p>
    <w:bookmarkStart w:id="4" w:name="page5"/>
    <w:bookmarkEnd w:id="4"/>
    <w:p>
      <w:pPr>
        <w:spacing w:after="0" w:line="242" w:lineRule="auto"/>
        <w:rPr>
          <w:sz w:val="20"/>
          <w:szCs w:val="20"/>
          <w:color w:val="auto"/>
        </w:rPr>
      </w:pPr>
      <w:r>
        <w:rPr>
          <w:rFonts w:ascii="Calibri" w:cs="Calibri" w:eastAsia="Calibri" w:hAnsi="Calibri"/>
          <w:sz w:val="20"/>
          <w:szCs w:val="20"/>
          <w:color w:val="auto"/>
        </w:rPr>
        <w:t>through mid-February 2022, partally ofset by a decrease in average reimbursement per AVISE® CTD test related to payor mix. Our revenue resultng from the Janssen Agreement contributed no revenue in the frst quarter of 2022, compared to $0.3 million in the frst quarter of 2021. Total revenue for the three months ended March 31, 2022 was $10.4 million, compared with $10.6 million in the frst quarter of 2021. Gross margin was 44.0% in the frst quarter of 2022, compared to 55.5% in the frst quarter of 2021, due to an increase in cost per test, a decrease in average reimbursement per AVISE® CTD test related to payor mix, and a decrease in revenue resultng from the Janssen Agreement. Testng gross margin was 44.0% in the frst quarter of 2022, compared to 54.2% in the frst quarter of 2021.</w:t>
      </w:r>
    </w:p>
    <w:p>
      <w:pPr>
        <w:spacing w:after="0" w:line="156" w:lineRule="exact"/>
        <w:rPr>
          <w:sz w:val="20"/>
          <w:szCs w:val="20"/>
          <w:color w:val="auto"/>
        </w:rPr>
      </w:pPr>
    </w:p>
    <w:p>
      <w:pPr>
        <w:spacing w:after="0"/>
        <w:rPr>
          <w:sz w:val="20"/>
          <w:szCs w:val="20"/>
          <w:color w:val="auto"/>
        </w:rPr>
      </w:pPr>
      <w:r>
        <w:rPr>
          <w:rFonts w:ascii="Calibri" w:cs="Calibri" w:eastAsia="Calibri" w:hAnsi="Calibri"/>
          <w:sz w:val="20"/>
          <w:szCs w:val="20"/>
          <w:color w:val="auto"/>
        </w:rPr>
        <w:t>Operatng expenses were $20.1 million in the frst quarter of 2022, compared with $16.2 million in the frst quarter of 2021, due to increases in employee related expenses from headcount growth, including stock-based compensaton and recruitment expenses, cost of revenue due to the increase in testng volumes and cost per test, research and development expenses, as well as overall increases due to infatonary factors.</w:t>
      </w:r>
    </w:p>
    <w:p>
      <w:pPr>
        <w:spacing w:after="0" w:line="148" w:lineRule="exact"/>
        <w:rPr>
          <w:sz w:val="20"/>
          <w:szCs w:val="20"/>
          <w:color w:val="auto"/>
        </w:rPr>
      </w:pPr>
    </w:p>
    <w:p>
      <w:pPr>
        <w:spacing w:after="0"/>
        <w:rPr>
          <w:sz w:val="20"/>
          <w:szCs w:val="20"/>
          <w:color w:val="auto"/>
        </w:rPr>
      </w:pPr>
      <w:r>
        <w:rPr>
          <w:rFonts w:ascii="Calibri" w:cs="Calibri" w:eastAsia="Calibri" w:hAnsi="Calibri"/>
          <w:sz w:val="20"/>
          <w:szCs w:val="20"/>
          <w:color w:val="auto"/>
        </w:rPr>
        <w:t>For the frst quarter of 2022, net loss was $10.3 million, compared to a net loss of $6.2 million for the frst quarter of 2021.</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Cash and cash equivalents were $89.8 million as of March 31, 2022.</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2022 Guidance</w:t>
      </w:r>
    </w:p>
    <w:p>
      <w:pPr>
        <w:spacing w:after="0" w:line="157" w:lineRule="exact"/>
        <w:rPr>
          <w:sz w:val="20"/>
          <w:szCs w:val="20"/>
          <w:color w:val="auto"/>
        </w:rPr>
      </w:pPr>
    </w:p>
    <w:p>
      <w:pPr>
        <w:ind w:right="500"/>
        <w:spacing w:after="0" w:line="234" w:lineRule="auto"/>
        <w:rPr>
          <w:sz w:val="20"/>
          <w:szCs w:val="20"/>
          <w:color w:val="auto"/>
        </w:rPr>
      </w:pPr>
      <w:r>
        <w:rPr>
          <w:rFonts w:ascii="Calibri" w:cs="Calibri" w:eastAsia="Calibri" w:hAnsi="Calibri"/>
          <w:sz w:val="20"/>
          <w:szCs w:val="20"/>
          <w:color w:val="auto"/>
        </w:rPr>
        <w:t>For the full year 2022, Exagen raises its guidance and expects revenue to be in the range of $53 million to $55 million, compared to previously provided guidance of $51 million to $53 million.</w:t>
      </w:r>
    </w:p>
    <w:p>
      <w:pPr>
        <w:spacing w:after="0" w:line="14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Conference Call</w:t>
      </w:r>
    </w:p>
    <w:p>
      <w:pPr>
        <w:spacing w:after="0" w:line="157" w:lineRule="exact"/>
        <w:rPr>
          <w:sz w:val="20"/>
          <w:szCs w:val="20"/>
          <w:color w:val="auto"/>
        </w:rPr>
      </w:pPr>
    </w:p>
    <w:p>
      <w:pPr>
        <w:ind w:right="100"/>
        <w:spacing w:after="0"/>
        <w:rPr>
          <w:sz w:val="20"/>
          <w:szCs w:val="20"/>
          <w:color w:val="auto"/>
        </w:rPr>
      </w:pPr>
      <w:r>
        <w:rPr>
          <w:rFonts w:ascii="Calibri" w:cs="Calibri" w:eastAsia="Calibri" w:hAnsi="Calibri"/>
          <w:sz w:val="20"/>
          <w:szCs w:val="20"/>
          <w:color w:val="auto"/>
        </w:rPr>
        <w:t>A conference call to review frst quarter 2022 fnancial results and to provide a business update is scheduled for today May 11, 2022 at 4:30 PM Eastern Time (1:30 PM Pacifc Time). Interested partes may access the conference call by dialing (855) 238-9398 (U.S.) or (412) 317-5230 (internatonal). Additonally, a link to a live webcast of the call will be available in the Investor Relatons secton of Exagen's website at investors.exagen.com.</w:t>
      </w:r>
    </w:p>
    <w:p>
      <w:pPr>
        <w:spacing w:after="0" w:line="157"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Partcipants are asked to join a few minutes prior to the call to register for the event. A replay of the conference call will be available untl Wednesday, May 18, 2022 at 11:59 PM Eastern Time (8:59 PM Pacifc Time). Interested partes may access the replay by dialing (844)</w:t>
      </w:r>
    </w:p>
    <w:p>
      <w:pPr>
        <w:spacing w:after="0" w:line="10" w:lineRule="exact"/>
        <w:rPr>
          <w:sz w:val="20"/>
          <w:szCs w:val="20"/>
          <w:color w:val="auto"/>
        </w:rPr>
      </w:pPr>
    </w:p>
    <w:p>
      <w:pPr>
        <w:ind w:right="220"/>
        <w:spacing w:after="0" w:line="242" w:lineRule="auto"/>
        <w:rPr>
          <w:sz w:val="20"/>
          <w:szCs w:val="20"/>
          <w:color w:val="auto"/>
        </w:rPr>
      </w:pPr>
      <w:r>
        <w:rPr>
          <w:rFonts w:ascii="Calibri" w:cs="Calibri" w:eastAsia="Calibri" w:hAnsi="Calibri"/>
          <w:sz w:val="20"/>
          <w:szCs w:val="20"/>
          <w:color w:val="auto"/>
        </w:rPr>
        <w:t>512-2921 (U.S.) or (412) 317-6671 (internatonal) using passcode 10166625. A link to the replay of the webcast will also be available in the investor relatons secton of Exagen's website.</w:t>
      </w:r>
    </w:p>
    <w:p>
      <w:pPr>
        <w:spacing w:after="0" w:line="14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Exagen</w:t>
      </w:r>
    </w:p>
    <w:p>
      <w:pPr>
        <w:spacing w:after="0" w:line="157" w:lineRule="exact"/>
        <w:rPr>
          <w:sz w:val="20"/>
          <w:szCs w:val="20"/>
          <w:color w:val="auto"/>
        </w:rPr>
      </w:pPr>
    </w:p>
    <w:p>
      <w:pPr>
        <w:ind w:right="80"/>
        <w:spacing w:after="0" w:line="239" w:lineRule="auto"/>
        <w:rPr>
          <w:sz w:val="20"/>
          <w:szCs w:val="20"/>
          <w:color w:val="auto"/>
        </w:rPr>
      </w:pPr>
      <w:r>
        <w:rPr>
          <w:rFonts w:ascii="Calibri" w:cs="Calibri" w:eastAsia="Calibri" w:hAnsi="Calibri"/>
          <w:sz w:val="20"/>
          <w:szCs w:val="20"/>
          <w:color w:val="auto"/>
        </w:rPr>
        <w:t>Exagen is dedicated to transforming the care contnuum for patents sufering from debilitatng and chronic autoimmune diseases by enabling tmely diferental diagnosis and optmizing therapeutc interventon. Exagen has developed and is commercializing a portolio of innovatve testng products under its AVISE® brand, several of which are based on our proprietary Cell-Bound Complement Actvaton Products, or CB-CAPs, technology. Exagen’s goal is to enable providers to improve care for patents through the diferental diagnosis, prognosis and monitoring of complex autoimmune and autoimmune-related diseases, including rheumatoid arthrits and lupus.</w:t>
      </w:r>
    </w:p>
    <w:p>
      <w:pPr>
        <w:spacing w:after="0" w:line="152"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For more informaton, please visit </w:t>
      </w:r>
      <w:r>
        <w:rPr>
          <w:rFonts w:ascii="Calibri" w:cs="Calibri" w:eastAsia="Calibri" w:hAnsi="Calibri"/>
          <w:sz w:val="20"/>
          <w:szCs w:val="20"/>
          <w:color w:val="0563C1"/>
        </w:rPr>
        <w:t>Exagen.com</w:t>
      </w:r>
      <w:r>
        <w:rPr>
          <w:rFonts w:ascii="Calibri" w:cs="Calibri" w:eastAsia="Calibri" w:hAnsi="Calibri"/>
          <w:sz w:val="20"/>
          <w:szCs w:val="20"/>
          <w:color w:val="auto"/>
        </w:rPr>
        <w:t xml:space="preserve"> and follow </w:t>
      </w:r>
      <w:r>
        <w:rPr>
          <w:rFonts w:ascii="Calibri" w:cs="Calibri" w:eastAsia="Calibri" w:hAnsi="Calibri"/>
          <w:sz w:val="20"/>
          <w:szCs w:val="20"/>
          <w:color w:val="0563C1"/>
        </w:rPr>
        <w:t>@ExagenInc</w:t>
      </w:r>
      <w:r>
        <w:rPr>
          <w:rFonts w:ascii="Calibri" w:cs="Calibri" w:eastAsia="Calibri" w:hAnsi="Calibri"/>
          <w:sz w:val="20"/>
          <w:szCs w:val="20"/>
          <w:color w:val="auto"/>
        </w:rPr>
        <w:t xml:space="preserve"> on Twiter.</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 Looking Statements</w:t>
      </w:r>
    </w:p>
    <w:p>
      <w:pPr>
        <w:sectPr>
          <w:pgSz w:w="11900" w:h="16838" w:orient="portrait"/>
          <w:cols w:equalWidth="0" w:num="1">
            <w:col w:w="11220"/>
          </w:cols>
          <w:pgMar w:left="320" w:top="1411" w:right="359" w:bottom="1440" w:gutter="0" w:footer="0" w:header="0"/>
        </w:sectPr>
      </w:pPr>
    </w:p>
    <w:bookmarkStart w:id="5" w:name="page6"/>
    <w:bookmarkEnd w:id="5"/>
    <w:p>
      <w:pPr>
        <w:spacing w:after="0" w:line="243" w:lineRule="auto"/>
        <w:rPr>
          <w:sz w:val="20"/>
          <w:szCs w:val="20"/>
          <w:color w:val="auto"/>
        </w:rPr>
      </w:pPr>
      <w:r>
        <w:rPr>
          <w:rFonts w:ascii="Calibri" w:cs="Calibri" w:eastAsia="Calibri" w:hAnsi="Calibri"/>
          <w:sz w:val="20"/>
          <w:szCs w:val="20"/>
          <w:color w:val="auto"/>
        </w:rPr>
        <w:t>Exagen cautons you that statements contained in this press release regarding maters that are not historical facts are forward-looking statements. These statements are based on Exagen’s current beliefs and expectatons. Such forward-looking statements include, but are not limited to, statements regarding: Exagen's goals and strategies; the potental utlity and efectveness of Exagen's services and testng solutons that are currently available or in its development pipeline; the expectaton that Exagen's in-network agreements will drive availability of its tests, and potental revenue that may be generated by such agreements; Exagen's ability to retain or secure wider reimbursement for its tests; including its reliance on third partes to process and transmit claims to payors and the adverse impact of any delay, data loss, or other disrupton in processing or transmitng such claims; the expected impact and results of further investments in its business and collaboratons, Exagen's future potental growth and ability to contnue to sustain success; and 2022 guidance. The inclusion of forward-looking statements should not be regarded as a representaton by Exagen that any of its plans will be achieved. Actual results may difer from those set forth in this press release due to the risks and uncertaintes inherent in Exagen’s business, including, without limitaton: the COVID-19 pandemic may contnue to adversely afect its business, fnancial conditon and results of operatons, including as a result of slowdown in its operatons as well as those of its suppliers and courier services, impeding patent movement and interruptons to healthcare services causing a decrease in test volumes, disruptons to the supply chain of material needed for its tests causing an increase in cost per test, its sales and commercializaton actvites and its ability to receive specimens and perform or deliver the results from its tests, delays in reimbursement and coverage decisions from Medicare and third-party payors and in interactons with regulatory authorites, and delays in ongoing and planned clinical trials involving its tests; Exagen’s commercial success depends upon ataining and maintaining signifcant market acceptance of its testng products and promoted therapeutcs among rheumatologists, patents, third-party payors and others in the medical community; Exagen’s ability to successfully execute on its business strategies; third-party payors not providing coverage and adequate reimbursement for Exagen’s testng products or promoted therapeutcs, including Exagen's ability to collect funds due; Exagen’s ability to obtain and maintain intellectual property protecton for its testng products; regulatory developments afectng Exagen’s business; and other risks described in Exagen’s prior press releases and Exagen’s flings with the Securites and Exchange Commission ("SEC"), including under the heading “Risk Factors” in Exagen’s Annual Report on Form 10-K for the year ended December 31, 2021 and any subsequent flings with the SEC. You are cautoned not to place undue reliance on these forward-looking statements, which speak only as of the date hereof, and Exagen undertakes no obligaton to update such statements to refect events that occur or circumstances that exist afer the date hereof. All forward-looking statements are qualifed in their entrety by this cautonary statement, which is made under the safe harbor provisions of the Private Securites Litgaton Reform Act of 1995.</w:t>
      </w:r>
    </w:p>
    <w:p>
      <w:pPr>
        <w:spacing w:after="0" w:line="394" w:lineRule="exact"/>
        <w:rPr>
          <w:sz w:val="20"/>
          <w:szCs w:val="20"/>
          <w:color w:val="auto"/>
        </w:rPr>
      </w:pPr>
    </w:p>
    <w:p>
      <w:pPr>
        <w:spacing w:after="0"/>
        <w:rPr>
          <w:sz w:val="20"/>
          <w:szCs w:val="20"/>
          <w:color w:val="auto"/>
        </w:rPr>
      </w:pPr>
      <w:r>
        <w:rPr>
          <w:rFonts w:ascii="Calibri" w:cs="Calibri" w:eastAsia="Calibri" w:hAnsi="Calibri"/>
          <w:sz w:val="20"/>
          <w:szCs w:val="20"/>
          <w:color w:val="auto"/>
        </w:rPr>
        <w:t>CONTACTS:</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Investors Relatons</w:t>
      </w:r>
    </w:p>
    <w:p>
      <w:pPr>
        <w:spacing w:after="0" w:line="225" w:lineRule="auto"/>
        <w:rPr>
          <w:sz w:val="20"/>
          <w:szCs w:val="20"/>
          <w:color w:val="auto"/>
        </w:rPr>
      </w:pPr>
      <w:r>
        <w:rPr>
          <w:rFonts w:ascii="Calibri" w:cs="Calibri" w:eastAsia="Calibri" w:hAnsi="Calibri"/>
          <w:sz w:val="20"/>
          <w:szCs w:val="20"/>
          <w:color w:val="auto"/>
        </w:rPr>
        <w:t>Exagen Inc.</w:t>
      </w:r>
    </w:p>
    <w:p>
      <w:pPr>
        <w:spacing w:after="0"/>
        <w:rPr>
          <w:sz w:val="20"/>
          <w:szCs w:val="20"/>
          <w:color w:val="auto"/>
        </w:rPr>
      </w:pPr>
      <w:r>
        <w:rPr>
          <w:rFonts w:ascii="Calibri" w:cs="Calibri" w:eastAsia="Calibri" w:hAnsi="Calibri"/>
          <w:sz w:val="20"/>
          <w:szCs w:val="20"/>
          <w:color w:val="auto"/>
        </w:rPr>
        <w:t>Ryan Douglas</w:t>
      </w:r>
    </w:p>
    <w:p>
      <w:pPr>
        <w:spacing w:after="0" w:line="225" w:lineRule="auto"/>
        <w:rPr>
          <w:sz w:val="20"/>
          <w:szCs w:val="20"/>
          <w:color w:val="auto"/>
        </w:rPr>
      </w:pPr>
      <w:r>
        <w:rPr>
          <w:rFonts w:ascii="Calibri" w:cs="Calibri" w:eastAsia="Calibri" w:hAnsi="Calibri"/>
          <w:sz w:val="20"/>
          <w:szCs w:val="20"/>
          <w:u w:val="single" w:color="auto"/>
          <w:color w:val="0563C1"/>
        </w:rPr>
        <w:t>rdouglas@exagen.com</w:t>
      </w:r>
    </w:p>
    <w:p>
      <w:pPr>
        <w:spacing w:after="0"/>
        <w:rPr>
          <w:sz w:val="20"/>
          <w:szCs w:val="20"/>
          <w:color w:val="auto"/>
        </w:rPr>
      </w:pPr>
      <w:r>
        <w:rPr>
          <w:rFonts w:ascii="Calibri" w:cs="Calibri" w:eastAsia="Calibri" w:hAnsi="Calibri"/>
          <w:sz w:val="20"/>
          <w:szCs w:val="20"/>
          <w:color w:val="auto"/>
        </w:rPr>
        <w:t>760.560.1525</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Company</w:t>
      </w:r>
    </w:p>
    <w:p>
      <w:pPr>
        <w:spacing w:after="0" w:line="238" w:lineRule="auto"/>
        <w:rPr>
          <w:sz w:val="20"/>
          <w:szCs w:val="20"/>
          <w:color w:val="auto"/>
        </w:rPr>
      </w:pPr>
      <w:r>
        <w:rPr>
          <w:rFonts w:ascii="Calibri" w:cs="Calibri" w:eastAsia="Calibri" w:hAnsi="Calibri"/>
          <w:sz w:val="20"/>
          <w:szCs w:val="20"/>
          <w:color w:val="auto"/>
        </w:rPr>
        <w:t>Exagen Inc.</w:t>
      </w:r>
    </w:p>
    <w:p>
      <w:pPr>
        <w:spacing w:after="0"/>
        <w:rPr>
          <w:sz w:val="20"/>
          <w:szCs w:val="20"/>
          <w:color w:val="auto"/>
        </w:rPr>
      </w:pPr>
      <w:r>
        <w:rPr>
          <w:rFonts w:ascii="Calibri" w:cs="Calibri" w:eastAsia="Calibri" w:hAnsi="Calibri"/>
          <w:sz w:val="20"/>
          <w:szCs w:val="20"/>
          <w:color w:val="auto"/>
        </w:rPr>
        <w:t>Kamal Adawi, Chief Financial Ofcer</w:t>
      </w:r>
    </w:p>
    <w:p>
      <w:pPr>
        <w:spacing w:after="0" w:line="225" w:lineRule="auto"/>
        <w:rPr>
          <w:sz w:val="20"/>
          <w:szCs w:val="20"/>
          <w:color w:val="auto"/>
        </w:rPr>
      </w:pPr>
      <w:r>
        <w:rPr>
          <w:rFonts w:ascii="Calibri" w:cs="Calibri" w:eastAsia="Calibri" w:hAnsi="Calibri"/>
          <w:sz w:val="20"/>
          <w:szCs w:val="20"/>
          <w:u w:val="single" w:color="auto"/>
          <w:color w:val="0563C1"/>
        </w:rPr>
        <w:t>kadawi@exagen.com</w:t>
      </w:r>
    </w:p>
    <w:p>
      <w:pPr>
        <w:sectPr>
          <w:pgSz w:w="11900" w:h="16838" w:orient="portrait"/>
          <w:cols w:equalWidth="0" w:num="1">
            <w:col w:w="11220"/>
          </w:cols>
          <w:pgMar w:left="320" w:top="1411" w:right="359" w:bottom="1440" w:gutter="0" w:footer="0" w:header="0"/>
        </w:sectPr>
      </w:pPr>
    </w:p>
    <w:bookmarkStart w:id="6" w:name="page7"/>
    <w:bookmarkEnd w:id="6"/>
    <w:p>
      <w:pPr>
        <w:spacing w:after="0"/>
        <w:rPr>
          <w:sz w:val="20"/>
          <w:szCs w:val="20"/>
          <w:color w:val="auto"/>
        </w:rPr>
      </w:pPr>
      <w:r>
        <w:rPr>
          <w:rFonts w:ascii="Calibri" w:cs="Calibri" w:eastAsia="Calibri" w:hAnsi="Calibri"/>
          <w:sz w:val="20"/>
          <w:szCs w:val="20"/>
          <w:color w:val="auto"/>
        </w:rPr>
        <w:t>760.477.5514</w:t>
      </w:r>
    </w:p>
    <w:p>
      <w:pPr>
        <w:sectPr>
          <w:pgSz w:w="11900" w:h="16838" w:orient="portrait"/>
          <w:cols w:equalWidth="0" w:num="1">
            <w:col w:w="10139"/>
          </w:cols>
          <w:pgMar w:left="320" w:top="1401" w:right="1440"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8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78"/>
        </w:trPr>
        <w:tc>
          <w:tcPr>
            <w:tcW w:w="8080" w:type="dxa"/>
            <w:vAlign w:val="bottom"/>
          </w:tcPr>
          <w:p>
            <w:pPr>
              <w:spacing w:after="0"/>
              <w:rPr>
                <w:sz w:val="20"/>
                <w:szCs w:val="20"/>
                <w:color w:val="auto"/>
              </w:rPr>
            </w:pPr>
            <w:r>
              <w:rPr>
                <w:rFonts w:ascii="Arial" w:cs="Arial" w:eastAsia="Arial" w:hAnsi="Arial"/>
                <w:sz w:val="14"/>
                <w:szCs w:val="14"/>
                <w:color w:val="auto"/>
              </w:rPr>
              <w:t>Revenue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10,394</w:t>
            </w:r>
          </w:p>
        </w:tc>
        <w:tc>
          <w:tcPr>
            <w:tcW w:w="12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10,587</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tcPr>
          <w:p>
            <w:pPr>
              <w:ind w:left="340"/>
              <w:spacing w:after="0"/>
              <w:rPr>
                <w:sz w:val="20"/>
                <w:szCs w:val="20"/>
                <w:color w:val="auto"/>
              </w:rPr>
            </w:pPr>
            <w:r>
              <w:rPr>
                <w:rFonts w:ascii="Arial" w:cs="Arial" w:eastAsia="Arial" w:hAnsi="Arial"/>
                <w:sz w:val="14"/>
                <w:szCs w:val="14"/>
                <w:color w:val="auto"/>
              </w:rPr>
              <w:t>Costs of revenue</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5,817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4,711</w:t>
            </w:r>
          </w:p>
        </w:tc>
        <w:tc>
          <w:tcPr>
            <w:tcW w:w="0" w:type="dxa"/>
            <w:vAlign w:val="bottom"/>
          </w:tcPr>
          <w:p>
            <w:pPr>
              <w:spacing w:after="0"/>
              <w:rPr>
                <w:sz w:val="1"/>
                <w:szCs w:val="1"/>
                <w:color w:val="auto"/>
              </w:rPr>
            </w:pPr>
          </w:p>
        </w:tc>
      </w:tr>
      <w:tr>
        <w:trPr>
          <w:trHeight w:val="203"/>
        </w:trPr>
        <w:tc>
          <w:tcPr>
            <w:tcW w:w="808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12,152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10,040</w:t>
            </w:r>
          </w:p>
        </w:tc>
        <w:tc>
          <w:tcPr>
            <w:tcW w:w="0" w:type="dxa"/>
            <w:vAlign w:val="bottom"/>
          </w:tcPr>
          <w:p>
            <w:pPr>
              <w:spacing w:after="0"/>
              <w:rPr>
                <w:sz w:val="1"/>
                <w:szCs w:val="1"/>
                <w:color w:val="auto"/>
              </w:rPr>
            </w:pPr>
          </w:p>
        </w:tc>
      </w:tr>
      <w:tr>
        <w:trPr>
          <w:trHeight w:val="204"/>
        </w:trPr>
        <w:tc>
          <w:tcPr>
            <w:tcW w:w="8080" w:type="dxa"/>
            <w:vAlign w:val="bottom"/>
          </w:tcPr>
          <w:p>
            <w:pPr>
              <w:ind w:left="34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2,104</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196"/>
        </w:trPr>
        <w:tc>
          <w:tcPr>
            <w:tcW w:w="8080" w:type="dxa"/>
            <w:vAlign w:val="bottom"/>
          </w:tcPr>
          <w:p>
            <w:pPr>
              <w:ind w:left="66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16,154</w:t>
            </w:r>
          </w:p>
        </w:tc>
        <w:tc>
          <w:tcPr>
            <w:tcW w:w="0" w:type="dxa"/>
            <w:vAlign w:val="bottom"/>
          </w:tcPr>
          <w:p>
            <w:pPr>
              <w:spacing w:after="0"/>
              <w:rPr>
                <w:sz w:val="1"/>
                <w:szCs w:val="1"/>
                <w:color w:val="auto"/>
              </w:rPr>
            </w:pPr>
          </w:p>
        </w:tc>
      </w:tr>
      <w:tr>
        <w:trPr>
          <w:trHeight w:val="194"/>
        </w:trPr>
        <w:tc>
          <w:tcPr>
            <w:tcW w:w="8080" w:type="dxa"/>
            <w:vAlign w:val="bottom"/>
          </w:tcPr>
          <w:p>
            <w:pPr>
              <w:spacing w:after="0"/>
              <w:rPr>
                <w:sz w:val="20"/>
                <w:szCs w:val="20"/>
                <w:color w:val="auto"/>
              </w:rPr>
            </w:pPr>
            <w:r>
              <w:rPr>
                <w:rFonts w:ascii="Arial" w:cs="Arial" w:eastAsia="Arial" w:hAnsi="Arial"/>
                <w:sz w:val="14"/>
                <w:szCs w:val="14"/>
                <w:color w:val="auto"/>
              </w:rPr>
              <w:t>Loss from operations</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(9,679)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(5,567)</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204"/>
        </w:trPr>
        <w:tc>
          <w:tcPr>
            <w:tcW w:w="8080" w:type="dxa"/>
            <w:vAlign w:val="bottom"/>
          </w:tcPr>
          <w:p>
            <w:pPr>
              <w:spacing w:after="0"/>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5"/>
        </w:trPr>
        <w:tc>
          <w:tcPr>
            <w:tcW w:w="8080" w:type="dxa"/>
            <w:vAlign w:val="bottom"/>
          </w:tcPr>
          <w:p>
            <w:pPr>
              <w:spacing w:after="0"/>
              <w:rPr>
                <w:sz w:val="20"/>
                <w:szCs w:val="20"/>
                <w:color w:val="auto"/>
              </w:rPr>
            </w:pPr>
            <w:r>
              <w:rPr>
                <w:rFonts w:ascii="Arial" w:cs="Arial" w:eastAsia="Arial" w:hAnsi="Arial"/>
                <w:sz w:val="14"/>
                <w:szCs w:val="14"/>
                <w:color w:val="auto"/>
              </w:rPr>
              <w:t>Net loss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(10,272)</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(6,209)</w:t>
            </w:r>
          </w:p>
        </w:tc>
        <w:tc>
          <w:tcPr>
            <w:tcW w:w="0" w:type="dxa"/>
            <w:vAlign w:val="bottom"/>
          </w:tcPr>
          <w:p>
            <w:pPr>
              <w:spacing w:after="0"/>
              <w:rPr>
                <w:sz w:val="1"/>
                <w:szCs w:val="1"/>
                <w:color w:val="auto"/>
              </w:rPr>
            </w:pPr>
          </w:p>
        </w:tc>
      </w:tr>
      <w:tr>
        <w:trPr>
          <w:trHeight w:val="21"/>
        </w:trPr>
        <w:tc>
          <w:tcPr>
            <w:tcW w:w="808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08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(0.60)</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7"/>
        </w:trPr>
        <w:tc>
          <w:tcPr>
            <w:tcW w:w="808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 basic and diluted</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08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16,992,391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12,943,237</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7" w:right="339" w:bottom="1440" w:gutter="0" w:footer="0" w:header="0"/>
        </w:sectPr>
      </w:pPr>
    </w:p>
    <w:bookmarkStart w:id="8" w:name="page9"/>
    <w:bookmarkEnd w:id="8"/>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Unaudited Condensed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2022</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3"/>
        </w:trPr>
        <w:tc>
          <w:tcPr>
            <w:tcW w:w="83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32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89,751</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99,442</w:t>
            </w: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10,911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9,654</w:t>
            </w:r>
          </w:p>
        </w:tc>
        <w:tc>
          <w:tcPr>
            <w:tcW w:w="0" w:type="dxa"/>
            <w:vAlign w:val="bottom"/>
          </w:tcPr>
          <w:p>
            <w:pPr>
              <w:spacing w:after="0"/>
              <w:rPr>
                <w:sz w:val="1"/>
                <w:szCs w:val="1"/>
                <w:color w:val="auto"/>
              </w:rPr>
            </w:pPr>
          </w:p>
        </w:tc>
      </w:tr>
      <w:tr>
        <w:trPr>
          <w:trHeight w:val="204"/>
        </w:trPr>
        <w:tc>
          <w:tcPr>
            <w:tcW w:w="832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2,974</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3,638</w:t>
            </w:r>
          </w:p>
        </w:tc>
        <w:tc>
          <w:tcPr>
            <w:tcW w:w="0" w:type="dxa"/>
            <w:vAlign w:val="bottom"/>
          </w:tcPr>
          <w:p>
            <w:pPr>
              <w:spacing w:after="0"/>
              <w:rPr>
                <w:sz w:val="1"/>
                <w:szCs w:val="1"/>
                <w:color w:val="auto"/>
              </w:rPr>
            </w:pPr>
          </w:p>
        </w:tc>
      </w:tr>
      <w:tr>
        <w:trPr>
          <w:trHeight w:val="194"/>
        </w:trPr>
        <w:tc>
          <w:tcPr>
            <w:tcW w:w="832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103,636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112,734</w:t>
            </w: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6,568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4,772</w:t>
            </w: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5,633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204"/>
        </w:trPr>
        <w:tc>
          <w:tcPr>
            <w:tcW w:w="8320" w:type="dxa"/>
            <w:vAlign w:val="bottom"/>
          </w:tcPr>
          <w:p>
            <w:pPr>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96"/>
        </w:trPr>
        <w:tc>
          <w:tcPr>
            <w:tcW w:w="832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122,044</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7"/>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320" w:type="dxa"/>
            <w:vAlign w:val="bottom"/>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4,214</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2,492</w:t>
            </w: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Arial" w:cs="Arial" w:eastAsia="Arial" w:hAnsi="Arial"/>
                <w:sz w:val="14"/>
                <w:szCs w:val="14"/>
                <w:color w:val="auto"/>
              </w:rPr>
              <w:t>Operating lease liabilities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949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8320" w:type="dxa"/>
            <w:vAlign w:val="bottom"/>
          </w:tcPr>
          <w:p>
            <w:pPr>
              <w:ind w:left="340"/>
              <w:spacing w:after="0"/>
              <w:rPr>
                <w:sz w:val="20"/>
                <w:szCs w:val="20"/>
                <w:color w:val="auto"/>
              </w:rPr>
            </w:pPr>
            <w:r>
              <w:rPr>
                <w:rFonts w:ascii="Arial" w:cs="Arial" w:eastAsia="Arial" w:hAnsi="Arial"/>
                <w:sz w:val="14"/>
                <w:szCs w:val="14"/>
                <w:color w:val="auto"/>
              </w:rPr>
              <w:t>Accrued and other current liabilities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6,721</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6,826</w:t>
            </w:r>
          </w:p>
        </w:tc>
        <w:tc>
          <w:tcPr>
            <w:tcW w:w="0" w:type="dxa"/>
            <w:vAlign w:val="bottom"/>
          </w:tcPr>
          <w:p>
            <w:pPr>
              <w:spacing w:after="0"/>
              <w:rPr>
                <w:sz w:val="1"/>
                <w:szCs w:val="1"/>
                <w:color w:val="auto"/>
              </w:rPr>
            </w:pPr>
          </w:p>
        </w:tc>
      </w:tr>
      <w:tr>
        <w:trPr>
          <w:trHeight w:val="194"/>
        </w:trPr>
        <w:tc>
          <w:tcPr>
            <w:tcW w:w="8320" w:type="dxa"/>
            <w:vAlign w:val="bottom"/>
          </w:tcPr>
          <w:p>
            <w:pPr>
              <w:ind w:left="66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11,884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9,318</w:t>
            </w: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27,651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27,478</w:t>
            </w: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Non-current operating lease liabilities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5,284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04"/>
        </w:trPr>
        <w:tc>
          <w:tcPr>
            <w:tcW w:w="83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194"/>
        </w:trPr>
        <w:tc>
          <w:tcPr>
            <w:tcW w:w="8320" w:type="dxa"/>
            <w:vAlign w:val="bottom"/>
          </w:tcPr>
          <w:p>
            <w:pPr>
              <w:ind w:left="66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45,888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38,509</w:t>
            </w: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320" w:type="dxa"/>
            <w:vAlign w:val="bottom"/>
          </w:tcPr>
          <w:p>
            <w:pPr>
              <w:ind w:left="340"/>
              <w:spacing w:after="0"/>
              <w:rPr>
                <w:sz w:val="20"/>
                <w:szCs w:val="20"/>
                <w:color w:val="auto"/>
              </w:rPr>
            </w:pPr>
            <w:r>
              <w:rPr>
                <w:rFonts w:ascii="Arial" w:cs="Arial" w:eastAsia="Arial" w:hAnsi="Arial"/>
                <w:sz w:val="14"/>
                <w:szCs w:val="14"/>
                <w:color w:val="auto"/>
              </w:rPr>
              <w:t>Preferred stock, $0.001 par value; 10,000,000 shares authorized, no shares issued or outstanding at March 31, 2022 and</w:t>
            </w:r>
          </w:p>
        </w:tc>
        <w:tc>
          <w:tcPr>
            <w:tcW w:w="14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December 31, 2021</w:t>
            </w: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320" w:type="dxa"/>
            <w:vAlign w:val="bottom"/>
          </w:tcPr>
          <w:p>
            <w:pPr>
              <w:ind w:left="340"/>
              <w:spacing w:after="0" w:line="149" w:lineRule="exact"/>
              <w:rPr>
                <w:sz w:val="20"/>
                <w:szCs w:val="20"/>
                <w:color w:val="auto"/>
              </w:rPr>
            </w:pPr>
            <w:r>
              <w:rPr>
                <w:rFonts w:ascii="Arial" w:cs="Arial" w:eastAsia="Arial" w:hAnsi="Arial"/>
                <w:sz w:val="14"/>
                <w:szCs w:val="14"/>
                <w:color w:val="auto"/>
              </w:rPr>
              <w:t>Common stock, $0.001 par value; 200,000,000 shares authorized at March 31, 2022 and December 31, 2021; 16,231,198</w:t>
            </w:r>
          </w:p>
        </w:tc>
        <w:tc>
          <w:tcPr>
            <w:tcW w:w="1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and 16,164,994 shares issued and outstanding at March 31, 2022 and December 31, 2021, respectively</w:t>
            </w: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32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294,552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293,060</w:t>
            </w:r>
          </w:p>
        </w:tc>
        <w:tc>
          <w:tcPr>
            <w:tcW w:w="0" w:type="dxa"/>
            <w:vAlign w:val="bottom"/>
          </w:tcPr>
          <w:p>
            <w:pPr>
              <w:spacing w:after="0"/>
              <w:rPr>
                <w:sz w:val="1"/>
                <w:szCs w:val="1"/>
                <w:color w:val="auto"/>
              </w:rPr>
            </w:pPr>
          </w:p>
        </w:tc>
      </w:tr>
      <w:tr>
        <w:trPr>
          <w:trHeight w:val="204"/>
        </w:trPr>
        <w:tc>
          <w:tcPr>
            <w:tcW w:w="8320" w:type="dxa"/>
            <w:vAlign w:val="bottom"/>
          </w:tcPr>
          <w:p>
            <w:pPr>
              <w:ind w:left="340"/>
              <w:spacing w:after="0"/>
              <w:rPr>
                <w:sz w:val="20"/>
                <w:szCs w:val="20"/>
                <w:color w:val="auto"/>
              </w:rPr>
            </w:pPr>
            <w:r>
              <w:rPr>
                <w:rFonts w:ascii="Arial" w:cs="Arial" w:eastAsia="Arial" w:hAnsi="Arial"/>
                <w:sz w:val="14"/>
                <w:szCs w:val="14"/>
                <w:color w:val="auto"/>
              </w:rPr>
              <w:t>Accumulated deficit</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(218,412)</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(208,140)</w:t>
            </w:r>
          </w:p>
        </w:tc>
        <w:tc>
          <w:tcPr>
            <w:tcW w:w="0" w:type="dxa"/>
            <w:vAlign w:val="bottom"/>
          </w:tcPr>
          <w:p>
            <w:pPr>
              <w:spacing w:after="0"/>
              <w:rPr>
                <w:sz w:val="1"/>
                <w:szCs w:val="1"/>
                <w:color w:val="auto"/>
              </w:rPr>
            </w:pPr>
          </w:p>
        </w:tc>
      </w:tr>
      <w:tr>
        <w:trPr>
          <w:trHeight w:val="196"/>
        </w:trPr>
        <w:tc>
          <w:tcPr>
            <w:tcW w:w="8320" w:type="dxa"/>
            <w:vAlign w:val="bottom"/>
          </w:tcPr>
          <w:p>
            <w:pPr>
              <w:ind w:left="66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76,156</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198"/>
        </w:trPr>
        <w:tc>
          <w:tcPr>
            <w:tcW w:w="83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122,044</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5"/>
        </w:trPr>
        <w:tc>
          <w:tcPr>
            <w:tcW w:w="8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2022-05-11T15:12:59Z</dcterms:created>
  <dcterms:modified xsi:type="dcterms:W3CDTF">2022-05-11T15:12:59Z</dcterms:modified>
</cp:coreProperties>
</file>