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2024</w:t>
      </w:r>
    </w:p>
    <w:p>
      <w:pPr>
        <w:spacing w:after="0" w:line="2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276860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25" w:lineRule="exact"/>
        <w:rPr>
          <w:sz w:val="24"/>
          <w:szCs w:val="24"/>
          <w:color w:val="auto"/>
        </w:rPr>
      </w:pPr>
    </w:p>
    <w:tbl>
      <w:tblPr>
        <w:tblLayout w:type="fixed"/>
        <w:tblInd w:w="1360" w:type="dxa"/>
        <w:tblCellMar>
          <w:top w:w="0" w:type="dxa"/>
          <w:left w:w="0" w:type="dxa"/>
          <w:bottom w:w="0" w:type="dxa"/>
          <w:right w:w="0" w:type="dxa"/>
        </w:tblCellMar>
      </w:tblPr>
      <w:tr>
        <w:trPr>
          <w:trHeight w:val="400"/>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32"/>
                <w:szCs w:val="32"/>
                <w:b w:val="1"/>
                <w:bCs w:val="1"/>
                <w:color w:val="auto"/>
                <w:w w:val="99"/>
              </w:rPr>
              <w:t>FORM S-8</w:t>
            </w:r>
          </w:p>
        </w:tc>
      </w:tr>
      <w:tr>
        <w:trPr>
          <w:trHeight w:val="252"/>
        </w:trPr>
        <w:tc>
          <w:tcPr>
            <w:tcW w:w="2100" w:type="dxa"/>
            <w:vAlign w:val="bottom"/>
          </w:tcPr>
          <w:p>
            <w:pPr>
              <w:spacing w:after="0"/>
              <w:rPr>
                <w:sz w:val="21"/>
                <w:szCs w:val="21"/>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21"/>
                <w:szCs w:val="21"/>
                <w:b w:val="1"/>
                <w:bCs w:val="1"/>
                <w:color w:val="auto"/>
                <w:w w:val="99"/>
              </w:rPr>
              <w:t>REGISTRATION STATEMENT UNDER</w:t>
            </w:r>
          </w:p>
        </w:tc>
      </w:tr>
      <w:tr>
        <w:trPr>
          <w:trHeight w:val="281"/>
        </w:trPr>
        <w:tc>
          <w:tcPr>
            <w:tcW w:w="2100" w:type="dxa"/>
            <w:vAlign w:val="bottom"/>
          </w:tcPr>
          <w:p>
            <w:pPr>
              <w:spacing w:after="0"/>
              <w:rPr>
                <w:sz w:val="24"/>
                <w:szCs w:val="24"/>
                <w:color w:val="auto"/>
              </w:rPr>
            </w:pPr>
          </w:p>
        </w:tc>
        <w:tc>
          <w:tcPr>
            <w:tcW w:w="6140" w:type="dxa"/>
            <w:vAlign w:val="bottom"/>
          </w:tcPr>
          <w:p>
            <w:pPr>
              <w:jc w:val="center"/>
              <w:ind w:right="1822"/>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tc>
      </w:tr>
      <w:tr>
        <w:trPr>
          <w:trHeight w:val="509"/>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32"/>
                <w:szCs w:val="32"/>
                <w:b w:val="1"/>
                <w:bCs w:val="1"/>
                <w:color w:val="auto"/>
                <w:w w:val="99"/>
              </w:rPr>
              <w:t>EXAGEN INC.</w:t>
            </w:r>
          </w:p>
        </w:tc>
      </w:tr>
      <w:tr>
        <w:trPr>
          <w:trHeight w:val="250"/>
        </w:trPr>
        <w:tc>
          <w:tcPr>
            <w:tcW w:w="2100" w:type="dxa"/>
            <w:vAlign w:val="bottom"/>
          </w:tcPr>
          <w:p>
            <w:pPr>
              <w:spacing w:after="0"/>
              <w:rPr>
                <w:sz w:val="21"/>
                <w:szCs w:val="21"/>
                <w:color w:val="auto"/>
              </w:rPr>
            </w:pPr>
          </w:p>
        </w:tc>
        <w:tc>
          <w:tcPr>
            <w:tcW w:w="6140" w:type="dxa"/>
            <w:vAlign w:val="bottom"/>
          </w:tcPr>
          <w:p>
            <w:pPr>
              <w:jc w:val="center"/>
              <w:ind w:right="180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r>
      <w:tr>
        <w:trPr>
          <w:trHeight w:val="570"/>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200"/>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1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140" w:type="dxa"/>
            <w:vAlign w:val="bottom"/>
          </w:tcPr>
          <w:p>
            <w:pPr>
              <w:jc w:val="center"/>
              <w:ind w:left="4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4"/>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7"/>
              </w:rPr>
              <w:t>1261 Liberty Way</w:t>
            </w:r>
          </w:p>
        </w:tc>
      </w:tr>
      <w:tr>
        <w:trPr>
          <w:trHeight w:val="233"/>
        </w:trPr>
        <w:tc>
          <w:tcPr>
            <w:tcW w:w="2100" w:type="dxa"/>
            <w:vAlign w:val="bottom"/>
          </w:tcPr>
          <w:p>
            <w:pPr>
              <w:spacing w:after="0"/>
              <w:rPr>
                <w:sz w:val="20"/>
                <w:szCs w:val="20"/>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8"/>
              </w:rPr>
              <w:t>Vista, California 92081</w:t>
            </w:r>
          </w:p>
        </w:tc>
      </w:tr>
      <w:tr>
        <w:trPr>
          <w:trHeight w:val="278"/>
        </w:trPr>
        <w:tc>
          <w:tcPr>
            <w:tcW w:w="2100" w:type="dxa"/>
            <w:vAlign w:val="bottom"/>
          </w:tcPr>
          <w:p>
            <w:pPr>
              <w:spacing w:after="0"/>
              <w:rPr>
                <w:sz w:val="24"/>
                <w:szCs w:val="24"/>
                <w:color w:val="auto"/>
              </w:rPr>
            </w:pPr>
          </w:p>
        </w:tc>
        <w:tc>
          <w:tcPr>
            <w:tcW w:w="6140" w:type="dxa"/>
            <w:vAlign w:val="bottom"/>
          </w:tcPr>
          <w:p>
            <w:pPr>
              <w:jc w:val="center"/>
              <w:ind w:right="170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r>
      <w:tr>
        <w:trPr>
          <w:trHeight w:val="323"/>
        </w:trPr>
        <w:tc>
          <w:tcPr>
            <w:tcW w:w="2100" w:type="dxa"/>
            <w:vAlign w:val="bottom"/>
          </w:tcPr>
          <w:p>
            <w:pPr>
              <w:spacing w:after="0"/>
              <w:rPr>
                <w:sz w:val="24"/>
                <w:szCs w:val="24"/>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7"/>
              </w:rPr>
              <w:t>Exagen Inc. 2019 Incentive Award Plan</w:t>
            </w:r>
          </w:p>
        </w:tc>
      </w:tr>
      <w:tr>
        <w:trPr>
          <w:trHeight w:val="214"/>
        </w:trPr>
        <w:tc>
          <w:tcPr>
            <w:tcW w:w="2100" w:type="dxa"/>
            <w:vAlign w:val="bottom"/>
          </w:tcPr>
          <w:p>
            <w:pPr>
              <w:spacing w:after="0"/>
              <w:rPr>
                <w:sz w:val="18"/>
                <w:szCs w:val="18"/>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8"/>
              </w:rPr>
              <w:t>Exagen Inc. 2019 Employee Stock Purchase Plan</w:t>
            </w:r>
          </w:p>
        </w:tc>
      </w:tr>
      <w:tr>
        <w:trPr>
          <w:trHeight w:val="231"/>
        </w:trPr>
        <w:tc>
          <w:tcPr>
            <w:tcW w:w="2100" w:type="dxa"/>
            <w:vAlign w:val="bottom"/>
          </w:tcPr>
          <w:p>
            <w:pPr>
              <w:spacing w:after="0"/>
              <w:rPr>
                <w:sz w:val="20"/>
                <w:szCs w:val="20"/>
                <w:color w:val="auto"/>
              </w:rPr>
            </w:pPr>
          </w:p>
        </w:tc>
        <w:tc>
          <w:tcPr>
            <w:tcW w:w="6140" w:type="dxa"/>
            <w:vAlign w:val="bottom"/>
          </w:tcPr>
          <w:p>
            <w:pPr>
              <w:jc w:val="center"/>
              <w:ind w:right="1722"/>
              <w:spacing w:after="0"/>
              <w:rPr>
                <w:sz w:val="20"/>
                <w:szCs w:val="20"/>
                <w:color w:val="auto"/>
              </w:rPr>
            </w:pPr>
            <w:r>
              <w:rPr>
                <w:rFonts w:ascii="Times New Roman" w:cs="Times New Roman" w:eastAsia="Times New Roman" w:hAnsi="Times New Roman"/>
                <w:sz w:val="18"/>
                <w:szCs w:val="18"/>
                <w:color w:val="auto"/>
                <w:w w:val="98"/>
              </w:rPr>
              <w:t>(Full title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117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Aballi</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 California 92081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131"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4"/>
          <w:szCs w:val="24"/>
          <w:color w:val="auto"/>
        </w:rPr>
      </w:pPr>
    </w:p>
    <w:tbl>
      <w:tblPr>
        <w:tblLayout w:type="fixed"/>
        <w:tblInd w:w="460" w:type="dxa"/>
        <w:tblCellMar>
          <w:top w:w="0" w:type="dxa"/>
          <w:left w:w="0" w:type="dxa"/>
          <w:bottom w:w="0" w:type="dxa"/>
          <w:right w:w="0" w:type="dxa"/>
        </w:tblCellMar>
      </w:tblPr>
      <w:tr>
        <w:trPr>
          <w:trHeight w:val="29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0"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00" w:right="339" w:bottom="1440" w:gutter="0" w:footer="0" w:header="0"/>
        </w:sectPr>
      </w:pPr>
    </w:p>
    <w:bookmarkStart w:id="1" w:name="page2"/>
    <w:bookmarkEnd w:id="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9" w:lineRule="exact"/>
        <w:rPr>
          <w:sz w:val="20"/>
          <w:szCs w:val="20"/>
          <w:color w:val="auto"/>
        </w:rPr>
      </w:pPr>
    </w:p>
    <w:p>
      <w:pPr>
        <w:ind w:right="120" w:firstLine="318"/>
        <w:spacing w:after="0" w:line="282" w:lineRule="auto"/>
        <w:rPr>
          <w:sz w:val="20"/>
          <w:szCs w:val="20"/>
          <w:color w:val="auto"/>
        </w:rPr>
      </w:pPr>
      <w:r>
        <w:rPr>
          <w:rFonts w:ascii="Times New Roman" w:cs="Times New Roman" w:eastAsia="Times New Roman" w:hAnsi="Times New Roman"/>
          <w:sz w:val="17"/>
          <w:szCs w:val="17"/>
          <w:color w:val="auto"/>
        </w:rPr>
        <w:t>This Registration Statement on Form S-8 is being filed with the Securities and Exchange Commission (the "SEC") for the purpose of registering an additional 852,297 shares of common stock of Exagen Inc. (the "Registrant") issuable or which may become issuable under the Exagen Inc. 2019 Incentive Award Plan (the "2019 Plan") and the Exagen Inc. 2019 Employee Stock Purchase Plan (the "2019 ESPP") pursuant to the evergreen provision of such plans.</w:t>
      </w:r>
    </w:p>
    <w:p>
      <w:pPr>
        <w:spacing w:after="0" w:line="159" w:lineRule="exact"/>
        <w:rPr>
          <w:sz w:val="20"/>
          <w:szCs w:val="20"/>
          <w:color w:val="auto"/>
        </w:rPr>
      </w:pPr>
    </w:p>
    <w:p>
      <w:pPr>
        <w:jc w:val="both"/>
        <w:ind w:right="200" w:firstLine="318"/>
        <w:spacing w:after="0" w:line="259" w:lineRule="auto"/>
        <w:rPr>
          <w:sz w:val="20"/>
          <w:szCs w:val="20"/>
          <w:color w:val="auto"/>
        </w:rPr>
      </w:pPr>
      <w:r>
        <w:rPr>
          <w:rFonts w:ascii="Times New Roman" w:cs="Times New Roman" w:eastAsia="Times New Roman" w:hAnsi="Times New Roman"/>
          <w:sz w:val="18"/>
          <w:szCs w:val="18"/>
          <w:color w:val="auto"/>
        </w:rPr>
        <w:t>Pursuant to General Instruction E on Form S-8, the contents of the prior registration statements on Form S-8, File Nos. 333-233878, 333-256014, 333-264867 and 333-272038, previously filed with respect to the 2019 Plan and 2019 ESPP, are incorporated into this Registration Statement by reference to the extent not modified or superseded hereby or by any subsequently filed document, which is incorporated by reference herein or therein.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 this Registration Statement, Exagen Inc. is sometimes referred to as "Registrant," "we," "us" or "our."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19"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74" w:lineRule="exact"/>
        <w:rPr>
          <w:sz w:val="20"/>
          <w:szCs w:val="20"/>
          <w:color w:val="auto"/>
        </w:rPr>
      </w:pPr>
    </w:p>
    <w:p>
      <w:pPr>
        <w:ind w:left="640" w:right="280" w:hanging="316"/>
        <w:spacing w:after="0" w:line="259"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2023, filed with the SEC on </w:t>
      </w:r>
      <w:hyperlink r:id="rId10">
        <w:r>
          <w:rPr>
            <w:rFonts w:ascii="Times New Roman" w:cs="Times New Roman" w:eastAsia="Times New Roman" w:hAnsi="Times New Roman"/>
            <w:sz w:val="18"/>
            <w:szCs w:val="18"/>
            <w:u w:val="single" w:color="auto"/>
            <w:color w:val="0000FF"/>
          </w:rPr>
          <w:t>March 18, 2024</w:t>
        </w:r>
      </w:hyperlink>
      <w:r>
        <w:rPr>
          <w:rFonts w:ascii="Times New Roman" w:cs="Times New Roman" w:eastAsia="Times New Roman" w:hAnsi="Times New Roman"/>
          <w:sz w:val="18"/>
          <w:szCs w:val="18"/>
          <w:color w:val="auto"/>
        </w:rPr>
        <w:t xml:space="preserve">, including the information incorporated by reference into our Annual Report on Form 10-K from our definitive proxy statement for our 2024 Annual Meeting of Stockholders, filed with the SEC on </w:t>
      </w:r>
      <w:hyperlink r:id="rId11">
        <w:r>
          <w:rPr>
            <w:rFonts w:ascii="Times New Roman" w:cs="Times New Roman" w:eastAsia="Times New Roman" w:hAnsi="Times New Roman"/>
            <w:sz w:val="18"/>
            <w:szCs w:val="18"/>
            <w:u w:val="single" w:color="auto"/>
            <w:color w:val="0000FF"/>
          </w:rPr>
          <w:t>April 26, 2024</w:t>
        </w:r>
      </w:hyperlink>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2024, filed with the SEC on </w:t>
      </w:r>
      <w:hyperlink r:id="rId12">
        <w:r>
          <w:rPr>
            <w:rFonts w:ascii="Times New Roman" w:cs="Times New Roman" w:eastAsia="Times New Roman" w:hAnsi="Times New Roman"/>
            <w:sz w:val="18"/>
            <w:szCs w:val="18"/>
            <w:u w:val="single" w:color="auto"/>
            <w:color w:val="0000FF"/>
          </w:rPr>
          <w:t>May 13, 2024</w:t>
        </w:r>
      </w:hyperlink>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13">
        <w:r>
          <w:rPr>
            <w:rFonts w:ascii="Times New Roman" w:cs="Times New Roman" w:eastAsia="Times New Roman" w:hAnsi="Times New Roman"/>
            <w:sz w:val="18"/>
            <w:szCs w:val="18"/>
            <w:u w:val="single" w:color="auto"/>
            <w:color w:val="0000FF"/>
          </w:rPr>
          <w:t>April 26, 2024</w:t>
        </w:r>
      </w:hyperlink>
      <w:r>
        <w:rPr>
          <w:rFonts w:ascii="Times New Roman" w:cs="Times New Roman" w:eastAsia="Times New Roman" w:hAnsi="Times New Roman"/>
          <w:sz w:val="18"/>
          <w:szCs w:val="18"/>
          <w:color w:val="auto"/>
        </w:rPr>
        <w:t>; and</w:t>
      </w:r>
    </w:p>
    <w:p>
      <w:pPr>
        <w:spacing w:after="0" w:line="111"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3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description of the Registrant's common stock set forth in the Registrant's registration statement on Form 8-A12B (Registration No. 001-39049), </w:t>
      </w:r>
      <w:hyperlink r:id="rId14">
        <w:r>
          <w:rPr>
            <w:rFonts w:ascii="Times New Roman" w:cs="Times New Roman" w:eastAsia="Times New Roman" w:hAnsi="Times New Roman"/>
            <w:sz w:val="18"/>
            <w:szCs w:val="18"/>
            <w:color w:val="auto"/>
          </w:rPr>
          <w:t xml:space="preserve">filed by the Registrant with the SEC under Section 12(b) of the Securities Exchange Act of 1934, as amended (the "Exchange Act"), on </w:t>
        </w:r>
        <w:r>
          <w:rPr>
            <w:rFonts w:ascii="Times New Roman" w:cs="Times New Roman" w:eastAsia="Times New Roman" w:hAnsi="Times New Roman"/>
            <w:sz w:val="18"/>
            <w:szCs w:val="18"/>
            <w:u w:val="single" w:color="auto"/>
            <w:color w:val="0000FF"/>
          </w:rPr>
          <w:t>September</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FF"/>
          </w:rPr>
          <w:t>13, 2019</w:t>
        </w:r>
        <w:r>
          <w:rPr>
            <w:rFonts w:ascii="Times New Roman" w:cs="Times New Roman" w:eastAsia="Times New Roman" w:hAnsi="Times New Roman"/>
            <w:sz w:val="18"/>
            <w:szCs w:val="18"/>
            <w:color w:val="000000"/>
          </w:rPr>
          <w:t>, including any amendments or reports filed for the purpose of updating such description.</w:t>
        </w:r>
      </w:hyperlink>
    </w:p>
    <w:p>
      <w:pPr>
        <w:sectPr>
          <w:pgSz w:w="11900" w:h="16838" w:orient="portrait"/>
          <w:cols w:equalWidth="0" w:num="1">
            <w:col w:w="11240"/>
          </w:cols>
          <w:pgMar w:left="320" w:top="1440" w:right="339" w:bottom="1440" w:gutter="0" w:footer="0" w:header="0"/>
        </w:sectPr>
      </w:pPr>
    </w:p>
    <w:bookmarkStart w:id="2" w:name="page3"/>
    <w:bookmarkEnd w:id="2"/>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93"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Under no circumstances shall any information furnished under Item 2.02 or 7.01 of Form 8-K be deemed incorporated herein by reference unless such Form 8-K expressly provides to the contrary.</w:t>
      </w:r>
    </w:p>
    <w:p>
      <w:pPr>
        <w:sectPr>
          <w:pgSz w:w="11900" w:h="16838" w:orient="portrait"/>
          <w:cols w:equalWidth="0" w:num="1">
            <w:col w:w="11220"/>
          </w:cols>
          <w:pgMar w:left="320" w:top="1440" w:right="359" w:bottom="1440" w:gutter="0" w:footer="0" w:header="0"/>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54"/>
        </w:trPr>
        <w:tc>
          <w:tcPr>
            <w:tcW w:w="9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
        </w:trPr>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2940" w:type="dxa"/>
            <w:vAlign w:val="bottom"/>
            <w:tcBorders>
              <w:bottom w:val="single" w:sz="8" w:color="0000FF"/>
            </w:tcBorders>
            <w:gridSpan w:val="10"/>
          </w:tcPr>
          <w:p>
            <w:pPr>
              <w:spacing w:after="0" w:line="152" w:lineRule="exact"/>
              <w:rPr>
                <w:rFonts w:ascii="Times New Roman" w:cs="Times New Roman" w:eastAsia="Times New Roman" w:hAnsi="Times New Roman"/>
                <w:sz w:val="14"/>
                <w:szCs w:val="14"/>
                <w:color w:val="0000FF"/>
              </w:rPr>
            </w:pPr>
            <w:hyperlink r:id="rId15">
              <w:r>
                <w:rPr>
                  <w:rFonts w:ascii="Times New Roman" w:cs="Times New Roman" w:eastAsia="Times New Roman" w:hAnsi="Times New Roman"/>
                  <w:sz w:val="14"/>
                  <w:szCs w:val="14"/>
                  <w:color w:val="0000FF"/>
                </w:rPr>
                <w:t>Amended and Restated Certificate of Incorporation.</w:t>
              </w:r>
            </w:hyperlink>
          </w:p>
        </w:tc>
        <w:tc>
          <w:tcPr>
            <w:tcW w:w="800" w:type="dxa"/>
            <w:vAlign w:val="bottom"/>
            <w:gridSpan w:val="6"/>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001-39049</w:t>
            </w:r>
          </w:p>
        </w:tc>
        <w:tc>
          <w:tcPr>
            <w:tcW w:w="1000" w:type="dxa"/>
            <w:vAlign w:val="bottom"/>
          </w:tcPr>
          <w:p>
            <w:pPr>
              <w:jc w:val="center"/>
              <w:ind w:left="109"/>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400" w:type="dxa"/>
            <w:vAlign w:val="bottom"/>
          </w:tcPr>
          <w:p>
            <w:pPr>
              <w:jc w:val="center"/>
              <w:ind w:left="29"/>
              <w:spacing w:after="0" w:line="152" w:lineRule="exact"/>
              <w:rPr>
                <w:sz w:val="20"/>
                <w:szCs w:val="20"/>
                <w:color w:val="auto"/>
              </w:rPr>
            </w:pPr>
            <w:r>
              <w:rPr>
                <w:rFonts w:ascii="Times New Roman" w:cs="Times New Roman" w:eastAsia="Times New Roman" w:hAnsi="Times New Roman"/>
                <w:sz w:val="14"/>
                <w:szCs w:val="14"/>
                <w:color w:val="auto"/>
              </w:rPr>
              <w:t>9/23/2019</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6">
              <w:r>
                <w:rPr>
                  <w:rFonts w:ascii="Times New Roman" w:cs="Times New Roman" w:eastAsia="Times New Roman" w:hAnsi="Times New Roman"/>
                  <w:sz w:val="14"/>
                  <w:szCs w:val="14"/>
                  <w:color w:val="0000FF"/>
                </w:rPr>
                <w:t>Amended Restated Bylaws.</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001-39049</w:t>
            </w:r>
          </w:p>
        </w:tc>
        <w:tc>
          <w:tcPr>
            <w:tcW w:w="10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3.1</w:t>
            </w: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3/22/2021</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7">
              <w:r>
                <w:rPr>
                  <w:rFonts w:ascii="Times New Roman" w:cs="Times New Roman" w:eastAsia="Times New Roman" w:hAnsi="Times New Roman"/>
                  <w:sz w:val="14"/>
                  <w:szCs w:val="14"/>
                  <w:color w:val="0000FF"/>
                </w:rPr>
                <w:t>Specimen stock certificate evidencing the shares of common</w:t>
              </w:r>
            </w:hyperlink>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4.1</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3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4"/>
                <w:szCs w:val="14"/>
                <w:color w:val="0000FF"/>
                <w:w w:val="96"/>
              </w:rPr>
            </w:pPr>
            <w:hyperlink r:id="rId17">
              <w:r>
                <w:rPr>
                  <w:rFonts w:ascii="Times New Roman" w:cs="Times New Roman" w:eastAsia="Times New Roman" w:hAnsi="Times New Roman"/>
                  <w:sz w:val="14"/>
                  <w:szCs w:val="14"/>
                  <w:color w:val="0000FF"/>
                  <w:w w:val="96"/>
                </w:rPr>
                <w:t>stock.</w:t>
              </w:r>
            </w:hyperlink>
          </w:p>
        </w:tc>
        <w:tc>
          <w:tcPr>
            <w:tcW w:w="3080" w:type="dxa"/>
            <w:vAlign w:val="bottom"/>
            <w:tcBorders>
              <w:top w:val="single" w:sz="8" w:color="0000FF"/>
            </w:tcBorders>
            <w:gridSpan w:val="11"/>
          </w:tcPr>
          <w:p>
            <w:pPr>
              <w:spacing w:after="0"/>
              <w:rPr>
                <w:sz w:val="13"/>
                <w:szCs w:val="13"/>
                <w:color w:val="auto"/>
              </w:rPr>
            </w:pPr>
          </w:p>
        </w:tc>
        <w:tc>
          <w:tcPr>
            <w:tcW w:w="320" w:type="dxa"/>
            <w:vAlign w:val="bottom"/>
            <w:gridSpan w:val="4"/>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37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Opinion of Mintz, Levin, Cohn, Ferris, Glovsky and Popeo, P.C.</w:t>
            </w: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Consent of BDO USA, LLP, independent registered public</w:t>
            </w:r>
          </w:p>
        </w:tc>
        <w:tc>
          <w:tcPr>
            <w:tcW w:w="320" w:type="dxa"/>
            <w:vAlign w:val="bottom"/>
            <w:tcBorders>
              <w:top w:val="single" w:sz="8" w:color="0000FF"/>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96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w w:val="99"/>
              </w:rPr>
              <w:t>accounting firm.</w:t>
            </w:r>
          </w:p>
        </w:tc>
        <w:tc>
          <w:tcPr>
            <w:tcW w:w="2780" w:type="dxa"/>
            <w:vAlign w:val="bottom"/>
            <w:gridSpan w:val="13"/>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37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Consent of Mintz, Levin, Cohn, Ferris, Glovsky and Popeo, P.C.</w:t>
            </w: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3640" w:type="dxa"/>
            <w:vAlign w:val="bottom"/>
            <w:tcBorders>
              <w:top w:val="single" w:sz="8" w:color="0000FF"/>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(included in Exhibit 5.1).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2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Power of Attorney (see signature page)</w:t>
            </w:r>
          </w:p>
        </w:tc>
        <w:tc>
          <w:tcPr>
            <w:tcW w:w="1520" w:type="dxa"/>
            <w:vAlign w:val="bottom"/>
            <w:gridSpan w:val="9"/>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18">
              <w:r>
                <w:rPr>
                  <w:rFonts w:ascii="Times New Roman" w:cs="Times New Roman" w:eastAsia="Times New Roman" w:hAnsi="Times New Roman"/>
                  <w:sz w:val="14"/>
                  <w:szCs w:val="14"/>
                  <w:color w:val="0000FF"/>
                </w:rPr>
                <w:t>Exagen Inc. 2019 Incentive Award Plan.</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10.3</w:t>
            </w: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99.2</w:t>
            </w:r>
          </w:p>
        </w:tc>
        <w:tc>
          <w:tcPr>
            <w:tcW w:w="35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9">
              <w:r>
                <w:rPr>
                  <w:rFonts w:ascii="Times New Roman" w:cs="Times New Roman" w:eastAsia="Times New Roman" w:hAnsi="Times New Roman"/>
                  <w:sz w:val="14"/>
                  <w:szCs w:val="14"/>
                  <w:color w:val="0000FF"/>
                </w:rPr>
                <w:t>Form of Option Agreement under Exagen Inc. 2019 Incentive</w:t>
              </w:r>
            </w:hyperlink>
          </w:p>
        </w:tc>
        <w:tc>
          <w:tcPr>
            <w:tcW w:w="240" w:type="dxa"/>
            <w:vAlign w:val="bottom"/>
            <w:gridSpan w:val="2"/>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10.4</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700" w:type="dxa"/>
            <w:vAlign w:val="bottom"/>
            <w:tcBorders>
              <w:bottom w:val="single" w:sz="8" w:color="0000FF"/>
            </w:tcBorders>
            <w:gridSpan w:val="2"/>
          </w:tcPr>
          <w:p>
            <w:pPr>
              <w:spacing w:after="0" w:line="152" w:lineRule="exact"/>
              <w:rPr>
                <w:rFonts w:ascii="Times New Roman" w:cs="Times New Roman" w:eastAsia="Times New Roman" w:hAnsi="Times New Roman"/>
                <w:sz w:val="14"/>
                <w:szCs w:val="14"/>
                <w:color w:val="0000FF"/>
                <w:w w:val="97"/>
              </w:rPr>
            </w:pPr>
            <w:hyperlink r:id="rId19">
              <w:r>
                <w:rPr>
                  <w:rFonts w:ascii="Times New Roman" w:cs="Times New Roman" w:eastAsia="Times New Roman" w:hAnsi="Times New Roman"/>
                  <w:sz w:val="14"/>
                  <w:szCs w:val="14"/>
                  <w:color w:val="0000FF"/>
                  <w:w w:val="97"/>
                </w:rPr>
                <w:t>Award Plan.</w:t>
              </w:r>
            </w:hyperlink>
          </w:p>
        </w:tc>
        <w:tc>
          <w:tcPr>
            <w:tcW w:w="3040" w:type="dxa"/>
            <w:vAlign w:val="bottom"/>
            <w:gridSpan w:val="14"/>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99.3</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20">
              <w:r>
                <w:rPr>
                  <w:rFonts w:ascii="Times New Roman" w:cs="Times New Roman" w:eastAsia="Times New Roman" w:hAnsi="Times New Roman"/>
                  <w:sz w:val="14"/>
                  <w:szCs w:val="14"/>
                  <w:color w:val="0000FF"/>
                </w:rPr>
                <w:t>Form of Restricted Stock Unit Agreement under Exagen Inc.</w:t>
              </w:r>
            </w:hyperlink>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001-39049</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rPr>
              <w:t>10.5</w:t>
            </w:r>
          </w:p>
        </w:tc>
        <w:tc>
          <w:tcPr>
            <w:tcW w:w="14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3/16/2021</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15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4"/>
                <w:szCs w:val="14"/>
                <w:color w:val="0000FF"/>
                <w:w w:val="99"/>
              </w:rPr>
            </w:pPr>
            <w:hyperlink r:id="rId20">
              <w:r>
                <w:rPr>
                  <w:rFonts w:ascii="Times New Roman" w:cs="Times New Roman" w:eastAsia="Times New Roman" w:hAnsi="Times New Roman"/>
                  <w:sz w:val="14"/>
                  <w:szCs w:val="14"/>
                  <w:color w:val="0000FF"/>
                  <w:w w:val="99"/>
                </w:rPr>
                <w:t>2019 Incentive Award Plan.</w:t>
              </w:r>
            </w:hyperlink>
          </w:p>
        </w:tc>
        <w:tc>
          <w:tcPr>
            <w:tcW w:w="1860" w:type="dxa"/>
            <w:vAlign w:val="bottom"/>
            <w:tcBorders>
              <w:top w:val="single" w:sz="8" w:color="0000FF"/>
            </w:tcBorders>
            <w:gridSpan w:val="7"/>
          </w:tcPr>
          <w:p>
            <w:pPr>
              <w:spacing w:after="0"/>
              <w:rPr>
                <w:sz w:val="13"/>
                <w:szCs w:val="13"/>
                <w:color w:val="auto"/>
              </w:rPr>
            </w:pPr>
          </w:p>
        </w:tc>
        <w:tc>
          <w:tcPr>
            <w:tcW w:w="300" w:type="dxa"/>
            <w:vAlign w:val="bottom"/>
            <w:gridSpan w:val="3"/>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99.4</w:t>
            </w:r>
          </w:p>
        </w:tc>
        <w:tc>
          <w:tcPr>
            <w:tcW w:w="3740" w:type="dxa"/>
            <w:vAlign w:val="bottom"/>
            <w:gridSpan w:val="16"/>
          </w:tcPr>
          <w:p>
            <w:pPr>
              <w:spacing w:after="0"/>
              <w:rPr>
                <w:rFonts w:ascii="Times New Roman" w:cs="Times New Roman" w:eastAsia="Times New Roman" w:hAnsi="Times New Roman"/>
                <w:sz w:val="14"/>
                <w:szCs w:val="14"/>
                <w:color w:val="0000FF"/>
              </w:rPr>
            </w:pPr>
            <w:hyperlink r:id="rId21">
              <w:r>
                <w:rPr>
                  <w:rFonts w:ascii="Times New Roman" w:cs="Times New Roman" w:eastAsia="Times New Roman" w:hAnsi="Times New Roman"/>
                  <w:sz w:val="14"/>
                  <w:szCs w:val="14"/>
                  <w:color w:val="0000FF"/>
                </w:rPr>
                <w:t>Exagen Inc. 2019 Employee Stock Purchase Plan.</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333-233446</w:t>
            </w:r>
          </w:p>
        </w:tc>
        <w:tc>
          <w:tcPr>
            <w:tcW w:w="10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10.5</w:t>
            </w: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9/9/2019</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2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92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Vista, State of California, on May 13, 2024.</w:t>
      </w:r>
    </w:p>
    <w:p>
      <w:pPr>
        <w:spacing w:after="0" w:line="25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325" w:lineRule="exact"/>
        <w:rPr>
          <w:sz w:val="20"/>
          <w:szCs w:val="20"/>
          <w:color w:val="auto"/>
        </w:rPr>
      </w:pPr>
    </w:p>
    <w:p>
      <w:pPr>
        <w:ind w:left="65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31750</wp:posOffset>
            </wp:positionV>
            <wp:extent cx="2583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5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John Aballi</w:t>
      </w:r>
    </w:p>
    <w:p>
      <w:pPr>
        <w:spacing w:after="0" w:line="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3"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John Aballi and Kamal Adawi, and each of them singly (with full power to each of them to act alone), his attorneys-in-fact, each with the full power of substitution, for him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bookmarkStart w:id="5" w:name="page6"/>
    <w:bookmarkEnd w:id="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16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379"/>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John Aballi</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Aballi</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Kamal Adawi</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Chief Financial Officer and Corporate Secretary</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Kamal Adawi</w:t>
            </w:r>
          </w:p>
        </w:tc>
        <w:tc>
          <w:tcPr>
            <w:tcW w:w="100" w:type="dxa"/>
            <w:vAlign w:val="bottom"/>
          </w:tcPr>
          <w:p>
            <w:pPr>
              <w:spacing w:after="0"/>
              <w:rPr>
                <w:sz w:val="20"/>
                <w:szCs w:val="20"/>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Tina S. Nova,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Chairman of the Board of Directors</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Tina S. Nova,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Brian Birk</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Birk</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Ana Hooker</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Ana Hooker</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Wendy S. Johnson</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Wendy S. Johnson</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Paul Kim</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Kim</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Ebetuel Pallares,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Ebetuel Pallares,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Bruce C. Robertson, Ph.D.</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Bruce C. Robertson, Ph.D.</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2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Frank Stokes</w:t>
            </w:r>
          </w:p>
        </w:tc>
        <w:tc>
          <w:tcPr>
            <w:tcW w:w="100" w:type="dxa"/>
            <w:vAlign w:val="bottom"/>
          </w:tcPr>
          <w:p>
            <w:pPr>
              <w:spacing w:after="0"/>
              <w:rPr>
                <w:sz w:val="24"/>
                <w:szCs w:val="24"/>
                <w:color w:val="auto"/>
              </w:rPr>
            </w:pPr>
          </w:p>
        </w:tc>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May 13, 2024</w:t>
            </w:r>
          </w:p>
        </w:tc>
      </w:tr>
      <w:tr>
        <w:trPr>
          <w:trHeight w:val="25"/>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3"/>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Frank Stokes</w:t>
            </w: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ectPr>
          <w:pgSz w:w="11900" w:h="16838" w:orient="portrait"/>
          <w:cols w:equalWidth="0" w:num="1">
            <w:col w:w="11020"/>
          </w:cols>
          <w:pgMar w:left="640" w:top="1440"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Form S-8</w:t>
      </w: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Exagen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1: Newly Registered</w:t>
      </w:r>
    </w:p>
    <w:p>
      <w:pPr>
        <w:spacing w:after="0" w:line="23" w:lineRule="exact"/>
        <w:rPr>
          <w:sz w:val="20"/>
          <w:szCs w:val="20"/>
          <w:color w:val="auto"/>
        </w:rPr>
      </w:pPr>
    </w:p>
    <w:tbl>
      <w:tblPr>
        <w:tblLayout w:type="fixed"/>
        <w:tblInd w:w="30" w:type="dxa"/>
        <w:tblCellMar>
          <w:top w:w="0" w:type="dxa"/>
          <w:left w:w="0" w:type="dxa"/>
          <w:bottom w:w="0" w:type="dxa"/>
          <w:right w:w="0" w:type="dxa"/>
        </w:tblCellMar>
      </w:tblPr>
      <w:tr>
        <w:trPr>
          <w:trHeight w:val="119"/>
        </w:trPr>
        <w:tc>
          <w:tcPr>
            <w:tcW w:w="1000" w:type="dxa"/>
            <w:vAlign w:val="bottom"/>
            <w:tcBorders>
              <w:top w:val="single" w:sz="8" w:color="auto"/>
              <w:left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1360" w:type="dxa"/>
            <w:vAlign w:val="bottom"/>
            <w:tcBorders>
              <w:top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Maximum Aggregate</w:t>
            </w:r>
          </w:p>
        </w:tc>
        <w:tc>
          <w:tcPr>
            <w:tcW w:w="1420" w:type="dxa"/>
            <w:vAlign w:val="bottom"/>
            <w:tcBorders>
              <w:top w:val="single" w:sz="8" w:color="auto"/>
              <w:right w:val="single" w:sz="8" w:color="auto"/>
            </w:tcBorders>
          </w:tcPr>
          <w:p>
            <w:pPr>
              <w:spacing w:after="0"/>
              <w:rPr>
                <w:sz w:val="10"/>
                <w:szCs w:val="10"/>
                <w:color w:val="auto"/>
              </w:rPr>
            </w:pPr>
          </w:p>
        </w:tc>
        <w:tc>
          <w:tcPr>
            <w:tcW w:w="17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80" w:type="dxa"/>
            <w:vAlign w:val="bottom"/>
          </w:tcPr>
          <w:p>
            <w:pPr>
              <w:spacing w:after="0"/>
              <w:rPr>
                <w:sz w:val="10"/>
                <w:szCs w:val="10"/>
                <w:color w:val="auto"/>
              </w:rPr>
            </w:pPr>
          </w:p>
        </w:tc>
        <w:tc>
          <w:tcPr>
            <w:tcW w:w="11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w w:val="99"/>
              </w:rPr>
              <w:t>Security Class Title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Fee Calculation Rule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Registered(1)</w:t>
            </w:r>
          </w:p>
        </w:tc>
        <w:tc>
          <w:tcPr>
            <w:tcW w:w="13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Offering Price Per</w:t>
            </w:r>
          </w:p>
        </w:tc>
        <w:tc>
          <w:tcPr>
            <w:tcW w:w="186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1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Amount of Registration Fee</w:t>
            </w:r>
          </w:p>
        </w:tc>
        <w:tc>
          <w:tcPr>
            <w:tcW w:w="0" w:type="dxa"/>
            <w:vAlign w:val="bottom"/>
          </w:tcPr>
          <w:p>
            <w:pPr>
              <w:spacing w:after="0"/>
              <w:rPr>
                <w:sz w:val="1"/>
                <w:szCs w:val="1"/>
                <w:color w:val="auto"/>
              </w:rPr>
            </w:pPr>
          </w:p>
        </w:tc>
      </w:tr>
      <w:tr>
        <w:trPr>
          <w:trHeight w:val="167"/>
        </w:trPr>
        <w:tc>
          <w:tcPr>
            <w:tcW w:w="10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Unit(4)</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 Price</w:t>
            </w:r>
          </w:p>
        </w:tc>
        <w:tc>
          <w:tcPr>
            <w:tcW w:w="1420" w:type="dxa"/>
            <w:vAlign w:val="bottom"/>
            <w:tcBorders>
              <w:bottom w:val="single" w:sz="8" w:color="auto"/>
              <w:right w:val="single" w:sz="8" w:color="auto"/>
            </w:tcBorders>
            <w:vMerge w:val="continue"/>
          </w:tcPr>
          <w:p>
            <w:pPr>
              <w:spacing w:after="0"/>
              <w:rPr>
                <w:sz w:val="14"/>
                <w:szCs w:val="14"/>
                <w:color w:val="auto"/>
              </w:rPr>
            </w:pPr>
          </w:p>
        </w:tc>
        <w:tc>
          <w:tcPr>
            <w:tcW w:w="17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000" w:type="dxa"/>
            <w:vAlign w:val="bottom"/>
            <w:tcBorders>
              <w:left w:val="single" w:sz="8" w:color="auto"/>
              <w:right w:val="single" w:sz="8" w:color="auto"/>
            </w:tcBorders>
          </w:tcPr>
          <w:p>
            <w:pPr>
              <w:ind w:left="260"/>
              <w:spacing w:after="0" w:line="197"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7"/>
                <w:szCs w:val="17"/>
                <w:color w:val="auto"/>
              </w:rPr>
            </w:pPr>
          </w:p>
        </w:tc>
        <w:tc>
          <w:tcPr>
            <w:tcW w:w="1140" w:type="dxa"/>
            <w:vAlign w:val="bottom"/>
            <w:tcBorders>
              <w:right w:val="single" w:sz="8" w:color="auto"/>
            </w:tcBorders>
          </w:tcPr>
          <w:p>
            <w:pPr>
              <w:jc w:val="right"/>
              <w:ind w:right="15"/>
              <w:spacing w:after="0" w:line="197" w:lineRule="exact"/>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457(c)</w:t>
            </w:r>
          </w:p>
        </w:tc>
        <w:tc>
          <w:tcPr>
            <w:tcW w:w="13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681,838 (2)</w:t>
            </w:r>
          </w:p>
        </w:tc>
        <w:tc>
          <w:tcPr>
            <w:tcW w:w="13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$1.39</w:t>
            </w:r>
          </w:p>
        </w:tc>
        <w:tc>
          <w:tcPr>
            <w:tcW w:w="18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$947,754.82</w:t>
            </w:r>
          </w:p>
        </w:tc>
        <w:tc>
          <w:tcPr>
            <w:tcW w:w="14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$0.0001476</w:t>
            </w:r>
          </w:p>
        </w:tc>
        <w:tc>
          <w:tcPr>
            <w:tcW w:w="17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$139.89</w:t>
            </w:r>
          </w:p>
        </w:tc>
        <w:tc>
          <w:tcPr>
            <w:tcW w:w="0" w:type="dxa"/>
            <w:vAlign w:val="bottom"/>
          </w:tcPr>
          <w:p>
            <w:pPr>
              <w:spacing w:after="0"/>
              <w:rPr>
                <w:sz w:val="1"/>
                <w:szCs w:val="1"/>
                <w:color w:val="auto"/>
              </w:rPr>
            </w:pPr>
          </w:p>
        </w:tc>
      </w:tr>
      <w:tr>
        <w:trPr>
          <w:trHeight w:val="159"/>
        </w:trPr>
        <w:tc>
          <w:tcPr>
            <w:tcW w:w="100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right w:val="single" w:sz="8" w:color="auto"/>
            </w:tcBorders>
          </w:tcPr>
          <w:p>
            <w:pPr>
              <w:jc w:val="right"/>
              <w:ind w:right="15"/>
              <w:spacing w:after="0" w:line="159" w:lineRule="exact"/>
              <w:rPr>
                <w:sz w:val="20"/>
                <w:szCs w:val="20"/>
                <w:color w:val="auto"/>
              </w:rPr>
            </w:pPr>
            <w:r>
              <w:rPr>
                <w:rFonts w:ascii="Times New Roman" w:cs="Times New Roman" w:eastAsia="Times New Roman" w:hAnsi="Times New Roman"/>
                <w:sz w:val="18"/>
                <w:szCs w:val="18"/>
                <w:color w:val="auto"/>
              </w:rPr>
              <w:t>Stock, par</w:t>
            </w:r>
          </w:p>
        </w:tc>
        <w:tc>
          <w:tcPr>
            <w:tcW w:w="132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w w:val="99"/>
              </w:rPr>
              <w:t>and</w:t>
            </w:r>
          </w:p>
        </w:tc>
        <w:tc>
          <w:tcPr>
            <w:tcW w:w="13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right w:val="single" w:sz="8" w:color="auto"/>
            </w:tcBorders>
          </w:tcPr>
          <w:p>
            <w:pPr>
              <w:jc w:val="right"/>
              <w:ind w:right="15"/>
              <w:spacing w:after="0" w:line="172" w:lineRule="exact"/>
              <w:rPr>
                <w:sz w:val="20"/>
                <w:szCs w:val="20"/>
                <w:color w:val="auto"/>
              </w:rPr>
            </w:pPr>
            <w:r>
              <w:rPr>
                <w:rFonts w:ascii="Times New Roman" w:cs="Times New Roman" w:eastAsia="Times New Roman" w:hAnsi="Times New Roman"/>
                <w:sz w:val="18"/>
                <w:szCs w:val="18"/>
                <w:color w:val="auto"/>
              </w:rPr>
              <w:t>value $0.001</w:t>
            </w:r>
          </w:p>
        </w:tc>
        <w:tc>
          <w:tcPr>
            <w:tcW w:w="13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457(h)</w:t>
            </w:r>
          </w:p>
        </w:tc>
        <w:tc>
          <w:tcPr>
            <w:tcW w:w="1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per share</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000" w:type="dxa"/>
            <w:vAlign w:val="bottom"/>
            <w:tcBorders>
              <w:left w:val="single" w:sz="8" w:color="auto"/>
              <w:right w:val="single" w:sz="8" w:color="auto"/>
            </w:tcBorders>
          </w:tcPr>
          <w:p>
            <w:pPr>
              <w:ind w:left="260"/>
              <w:spacing w:after="0" w:line="192"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6"/>
                <w:szCs w:val="16"/>
                <w:color w:val="auto"/>
              </w:rPr>
            </w:pPr>
          </w:p>
        </w:tc>
        <w:tc>
          <w:tcPr>
            <w:tcW w:w="1140" w:type="dxa"/>
            <w:vAlign w:val="bottom"/>
            <w:tcBorders>
              <w:right w:val="single" w:sz="8" w:color="auto"/>
            </w:tcBorders>
          </w:tcPr>
          <w:p>
            <w:pPr>
              <w:jc w:val="right"/>
              <w:ind w:right="15"/>
              <w:spacing w:after="0" w:line="192" w:lineRule="exact"/>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457(c)</w:t>
            </w:r>
          </w:p>
        </w:tc>
        <w:tc>
          <w:tcPr>
            <w:tcW w:w="13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170,459 (3)</w:t>
            </w:r>
          </w:p>
        </w:tc>
        <w:tc>
          <w:tcPr>
            <w:tcW w:w="136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$1.39</w:t>
            </w:r>
          </w:p>
        </w:tc>
        <w:tc>
          <w:tcPr>
            <w:tcW w:w="186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$236,938.01</w:t>
            </w:r>
          </w:p>
        </w:tc>
        <w:tc>
          <w:tcPr>
            <w:tcW w:w="14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$0.0001476</w:t>
            </w:r>
          </w:p>
        </w:tc>
        <w:tc>
          <w:tcPr>
            <w:tcW w:w="17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$34.97</w:t>
            </w:r>
          </w:p>
        </w:tc>
        <w:tc>
          <w:tcPr>
            <w:tcW w:w="0" w:type="dxa"/>
            <w:vAlign w:val="bottom"/>
          </w:tcPr>
          <w:p>
            <w:pPr>
              <w:spacing w:after="0"/>
              <w:rPr>
                <w:sz w:val="1"/>
                <w:szCs w:val="1"/>
                <w:color w:val="auto"/>
              </w:rPr>
            </w:pPr>
          </w:p>
        </w:tc>
      </w:tr>
      <w:tr>
        <w:trPr>
          <w:trHeight w:val="159"/>
        </w:trPr>
        <w:tc>
          <w:tcPr>
            <w:tcW w:w="100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right w:val="single" w:sz="8" w:color="auto"/>
            </w:tcBorders>
          </w:tcPr>
          <w:p>
            <w:pPr>
              <w:jc w:val="right"/>
              <w:ind w:right="15"/>
              <w:spacing w:after="0" w:line="159" w:lineRule="exact"/>
              <w:rPr>
                <w:sz w:val="20"/>
                <w:szCs w:val="20"/>
                <w:color w:val="auto"/>
              </w:rPr>
            </w:pPr>
            <w:r>
              <w:rPr>
                <w:rFonts w:ascii="Times New Roman" w:cs="Times New Roman" w:eastAsia="Times New Roman" w:hAnsi="Times New Roman"/>
                <w:sz w:val="18"/>
                <w:szCs w:val="18"/>
                <w:color w:val="auto"/>
              </w:rPr>
              <w:t>Stock, par</w:t>
            </w:r>
          </w:p>
        </w:tc>
        <w:tc>
          <w:tcPr>
            <w:tcW w:w="132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w w:val="99"/>
              </w:rPr>
              <w:t>and</w:t>
            </w:r>
          </w:p>
        </w:tc>
        <w:tc>
          <w:tcPr>
            <w:tcW w:w="13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right w:val="single" w:sz="8" w:color="auto"/>
            </w:tcBorders>
          </w:tcPr>
          <w:p>
            <w:pPr>
              <w:jc w:val="right"/>
              <w:ind w:right="15"/>
              <w:spacing w:after="0" w:line="172" w:lineRule="exact"/>
              <w:rPr>
                <w:sz w:val="20"/>
                <w:szCs w:val="20"/>
                <w:color w:val="auto"/>
              </w:rPr>
            </w:pPr>
            <w:r>
              <w:rPr>
                <w:rFonts w:ascii="Times New Roman" w:cs="Times New Roman" w:eastAsia="Times New Roman" w:hAnsi="Times New Roman"/>
                <w:sz w:val="18"/>
                <w:szCs w:val="18"/>
                <w:color w:val="auto"/>
              </w:rPr>
              <w:t>value $0.001</w:t>
            </w:r>
          </w:p>
        </w:tc>
        <w:tc>
          <w:tcPr>
            <w:tcW w:w="13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457(h)</w:t>
            </w:r>
          </w:p>
        </w:tc>
        <w:tc>
          <w:tcPr>
            <w:tcW w:w="1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per share</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22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Offering Amount</w:t>
            </w: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$1,184,692.83</w:t>
            </w: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$174.86</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22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22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08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Net Fee Due</w:t>
            </w: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$174.86</w:t>
            </w:r>
          </w:p>
        </w:tc>
        <w:tc>
          <w:tcPr>
            <w:tcW w:w="0" w:type="dxa"/>
            <w:vAlign w:val="bottom"/>
          </w:tcPr>
          <w:p>
            <w:pPr>
              <w:spacing w:after="0"/>
              <w:rPr>
                <w:sz w:val="1"/>
                <w:szCs w:val="1"/>
                <w:color w:val="auto"/>
              </w:rPr>
            </w:pP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60" w:right="100" w:hanging="456"/>
        <w:spacing w:after="0" w:line="22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also covers an indeterminate number of additional shares of common stock, par value $0.001 per share (“Common Stock”), of Exagen Inc. (the “Registrant”), which may be subject to grant or otherwise issuable after the operation of any anti-dilution and other provisions of the Registrant’s 2019 Incentive Award Plan (the “2019 Plan”), or the Registrant’s 2019 Employee Stock Purchase Plan (the “2019 ESPP”).</w:t>
      </w:r>
    </w:p>
    <w:p>
      <w:pPr>
        <w:spacing w:after="0" w:line="142" w:lineRule="exact"/>
        <w:rPr>
          <w:rFonts w:ascii="Times New Roman" w:cs="Times New Roman" w:eastAsia="Times New Roman" w:hAnsi="Times New Roman"/>
          <w:sz w:val="18"/>
          <w:szCs w:val="18"/>
          <w:color w:val="auto"/>
        </w:rPr>
      </w:pPr>
    </w:p>
    <w:p>
      <w:pPr>
        <w:ind w:left="460" w:right="300" w:hanging="456"/>
        <w:spacing w:after="0" w:line="23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681,838 shares of Common Stock of the Registrant authorized for issuance for compensatory purposes only, as previously authorized under the 2019 Plan as of January 1, 2024, in connection with an “evergreen” provision in the 2019 Plan.</w:t>
      </w:r>
    </w:p>
    <w:p>
      <w:pPr>
        <w:spacing w:after="0" w:line="152" w:lineRule="exact"/>
        <w:rPr>
          <w:rFonts w:ascii="Times New Roman" w:cs="Times New Roman" w:eastAsia="Times New Roman" w:hAnsi="Times New Roman"/>
          <w:sz w:val="18"/>
          <w:szCs w:val="18"/>
          <w:color w:val="auto"/>
        </w:rPr>
      </w:pPr>
    </w:p>
    <w:p>
      <w:pPr>
        <w:ind w:left="460" w:right="300" w:hanging="456"/>
        <w:spacing w:after="0" w:line="23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170,459 shares of Common Stock of the Registrant authorized for issuance for compensatory purposes only, as previously authorized under the 2019 ESPP as of January 1, 2024, in connection with an “evergreen” provision in the 2019 ESPP.</w:t>
      </w:r>
    </w:p>
    <w:p>
      <w:pPr>
        <w:spacing w:after="0" w:line="152" w:lineRule="exact"/>
        <w:rPr>
          <w:rFonts w:ascii="Times New Roman" w:cs="Times New Roman" w:eastAsia="Times New Roman" w:hAnsi="Times New Roman"/>
          <w:sz w:val="18"/>
          <w:szCs w:val="18"/>
          <w:color w:val="auto"/>
        </w:rPr>
      </w:pPr>
    </w:p>
    <w:p>
      <w:pPr>
        <w:ind w:left="460" w:right="220" w:hanging="456"/>
        <w:spacing w:after="0" w:line="22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The offering price per share and the aggregate offering price are based on the average of the high and the low price of the Registrant’s Common Stock as reported on The Nasdaq Global Market as of a date (May 7, 2024) within five business days prior to filing this Registration Statement.</w:t>
      </w:r>
    </w:p>
    <w:p>
      <w:pPr>
        <w:sectPr>
          <w:pgSz w:w="11900" w:h="16838" w:orient="portrait"/>
          <w:cols w:equalWidth="0" w:num="1">
            <w:col w:w="11220"/>
          </w:cols>
          <w:pgMar w:left="340" w:top="137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3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3580 Carmel Mountain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-107315</wp:posOffset>
            </wp:positionV>
            <wp:extent cx="706755" cy="89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706755" cy="891540"/>
                    </a:xfrm>
                    <a:prstGeom prst="rect">
                      <a:avLst/>
                    </a:prstGeom>
                    <a:noFill/>
                  </pic:spPr>
                </pic:pic>
              </a:graphicData>
            </a:graphic>
          </wp:anchor>
        </w:drawing>
      </w:r>
    </w:p>
    <w:p>
      <w:pPr>
        <w:jc w:val="right"/>
        <w:ind w:right="20"/>
        <w:spacing w:after="0" w:line="232" w:lineRule="auto"/>
        <w:rPr>
          <w:sz w:val="20"/>
          <w:szCs w:val="20"/>
          <w:color w:val="auto"/>
        </w:rPr>
      </w:pPr>
      <w:r>
        <w:rPr>
          <w:rFonts w:ascii="Times New Roman" w:cs="Times New Roman" w:eastAsia="Times New Roman" w:hAnsi="Times New Roman"/>
          <w:sz w:val="16"/>
          <w:szCs w:val="16"/>
          <w:color w:val="auto"/>
        </w:rPr>
        <w:t>Suite 300</w:t>
      </w:r>
    </w:p>
    <w:p>
      <w:pPr>
        <w:jc w:val="right"/>
        <w:ind w:right="20"/>
        <w:spacing w:after="0" w:line="225" w:lineRule="auto"/>
        <w:rPr>
          <w:sz w:val="20"/>
          <w:szCs w:val="20"/>
          <w:color w:val="auto"/>
        </w:rPr>
      </w:pPr>
      <w:r>
        <w:rPr>
          <w:rFonts w:ascii="Times New Roman" w:cs="Times New Roman" w:eastAsia="Times New Roman" w:hAnsi="Times New Roman"/>
          <w:sz w:val="16"/>
          <w:szCs w:val="16"/>
          <w:color w:val="auto"/>
        </w:rPr>
        <w:t>San Diego, CA 92130</w:t>
      </w:r>
    </w:p>
    <w:p>
      <w:pPr>
        <w:jc w:val="right"/>
        <w:ind w:right="20"/>
        <w:spacing w:after="0"/>
        <w:rPr>
          <w:sz w:val="20"/>
          <w:szCs w:val="20"/>
          <w:color w:val="auto"/>
        </w:rPr>
      </w:pPr>
      <w:r>
        <w:rPr>
          <w:rFonts w:ascii="Times New Roman" w:cs="Times New Roman" w:eastAsia="Times New Roman" w:hAnsi="Times New Roman"/>
          <w:sz w:val="16"/>
          <w:szCs w:val="16"/>
          <w:color w:val="auto"/>
        </w:rPr>
        <w:t>858 314 1500</w:t>
      </w:r>
    </w:p>
    <w:p>
      <w:pPr>
        <w:spacing w:after="0" w:line="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May 13,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Exagen Inc.</w:t>
      </w:r>
    </w:p>
    <w:p>
      <w:pPr>
        <w:spacing w:after="0" w:line="218" w:lineRule="auto"/>
        <w:rPr>
          <w:sz w:val="20"/>
          <w:szCs w:val="20"/>
          <w:color w:val="auto"/>
        </w:rPr>
      </w:pPr>
      <w:r>
        <w:rPr>
          <w:rFonts w:ascii="Times New Roman" w:cs="Times New Roman" w:eastAsia="Times New Roman" w:hAnsi="Times New Roman"/>
          <w:sz w:val="19"/>
          <w:szCs w:val="19"/>
          <w:color w:val="auto"/>
        </w:rPr>
        <w:t>1261 Liberty Way</w:t>
      </w:r>
    </w:p>
    <w:p>
      <w:pPr>
        <w:spacing w:after="0"/>
        <w:rPr>
          <w:sz w:val="20"/>
          <w:szCs w:val="20"/>
          <w:color w:val="auto"/>
        </w:rPr>
      </w:pPr>
      <w:r>
        <w:rPr>
          <w:rFonts w:ascii="Times New Roman" w:cs="Times New Roman" w:eastAsia="Times New Roman" w:hAnsi="Times New Roman"/>
          <w:sz w:val="19"/>
          <w:szCs w:val="19"/>
          <w:color w:val="auto"/>
        </w:rPr>
        <w:t>Vista, CA 92081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19" w:lineRule="exact"/>
        <w:rPr>
          <w:sz w:val="20"/>
          <w:szCs w:val="20"/>
          <w:color w:val="auto"/>
        </w:rPr>
      </w:pPr>
    </w:p>
    <w:p>
      <w:pPr>
        <w:jc w:val="both"/>
        <w:ind w:firstLine="831"/>
        <w:spacing w:after="0" w:line="263" w:lineRule="auto"/>
        <w:rPr>
          <w:sz w:val="20"/>
          <w:szCs w:val="20"/>
          <w:color w:val="auto"/>
        </w:rPr>
      </w:pPr>
      <w:r>
        <w:rPr>
          <w:rFonts w:ascii="Times New Roman" w:cs="Times New Roman" w:eastAsia="Times New Roman" w:hAnsi="Times New Roman"/>
          <w:sz w:val="19"/>
          <w:szCs w:val="19"/>
          <w:color w:val="auto"/>
        </w:rPr>
        <w:t>We have acted as legal counsel to Exagen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852,297 shares (the “Shares”) of the Company’s common stock, $0.001 par value per share, in accordance with the terms of the Exagen Inc. 2019 Incentive Award Plan and the Exagen Inc. 2019 Employee Stock Purchase Plan (together, the “Plans”). This opinion is being rendered in connection with the filing of the Registration Statement with the Commission.</w:t>
      </w:r>
    </w:p>
    <w:p>
      <w:pPr>
        <w:spacing w:after="0" w:line="180" w:lineRule="exact"/>
        <w:rPr>
          <w:sz w:val="20"/>
          <w:szCs w:val="20"/>
          <w:color w:val="auto"/>
        </w:rPr>
      </w:pPr>
    </w:p>
    <w:p>
      <w:pPr>
        <w:jc w:val="both"/>
        <w:ind w:firstLine="831"/>
        <w:spacing w:after="0" w:line="273" w:lineRule="auto"/>
        <w:rPr>
          <w:sz w:val="20"/>
          <w:szCs w:val="20"/>
          <w:color w:val="auto"/>
        </w:rPr>
      </w:pPr>
      <w:r>
        <w:rPr>
          <w:rFonts w:ascii="Times New Roman" w:cs="Times New Roman" w:eastAsia="Times New Roman" w:hAnsi="Times New Roman"/>
          <w:sz w:val="19"/>
          <w:szCs w:val="19"/>
          <w:color w:val="auto"/>
        </w:rPr>
        <w:t>In connection with this opinion, we have examined the Company’s Amended and Restated Certificate of Incorporation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69" w:lineRule="exact"/>
        <w:rPr>
          <w:sz w:val="20"/>
          <w:szCs w:val="20"/>
          <w:color w:val="auto"/>
        </w:rPr>
      </w:pPr>
    </w:p>
    <w:p>
      <w:pPr>
        <w:jc w:val="both"/>
        <w:ind w:firstLine="831"/>
        <w:spacing w:after="0" w:line="264" w:lineRule="auto"/>
        <w:rPr>
          <w:sz w:val="20"/>
          <w:szCs w:val="20"/>
          <w:color w:val="auto"/>
        </w:rPr>
      </w:pPr>
      <w:r>
        <w:rPr>
          <w:rFonts w:ascii="Times New Roman" w:cs="Times New Roman" w:eastAsia="Times New Roman" w:hAnsi="Times New Roman"/>
          <w:sz w:val="19"/>
          <w:szCs w:val="19"/>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Plans.</w:t>
      </w:r>
    </w:p>
    <w:p>
      <w:pPr>
        <w:spacing w:after="0" w:line="178" w:lineRule="exact"/>
        <w:rPr>
          <w:sz w:val="20"/>
          <w:szCs w:val="20"/>
          <w:color w:val="auto"/>
        </w:rPr>
      </w:pPr>
    </w:p>
    <w:p>
      <w:pPr>
        <w:jc w:val="both"/>
        <w:ind w:firstLine="831"/>
        <w:spacing w:after="0" w:line="273" w:lineRule="auto"/>
        <w:rPr>
          <w:sz w:val="20"/>
          <w:szCs w:val="20"/>
          <w:color w:val="auto"/>
        </w:rPr>
      </w:pPr>
      <w:r>
        <w:rPr>
          <w:rFonts w:ascii="Times New Roman" w:cs="Times New Roman" w:eastAsia="Times New Roman" w:hAnsi="Times New Roman"/>
          <w:sz w:val="19"/>
          <w:szCs w:val="19"/>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69" w:lineRule="exact"/>
        <w:rPr>
          <w:sz w:val="20"/>
          <w:szCs w:val="20"/>
          <w:color w:val="auto"/>
        </w:rPr>
      </w:pPr>
    </w:p>
    <w:p>
      <w:pPr>
        <w:jc w:val="both"/>
        <w:ind w:firstLine="831"/>
        <w:spacing w:after="0" w:line="269" w:lineRule="auto"/>
        <w:rPr>
          <w:sz w:val="20"/>
          <w:szCs w:val="20"/>
          <w:color w:val="auto"/>
        </w:rPr>
      </w:pPr>
      <w:r>
        <w:rPr>
          <w:rFonts w:ascii="Times New Roman" w:cs="Times New Roman" w:eastAsia="Times New Roman" w:hAnsi="Times New Roman"/>
          <w:sz w:val="19"/>
          <w:szCs w:val="19"/>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721995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BOSTON LONDON LOS ANGELES MIAMI NEW YORK SAN DIEGO SAN FRANCISCO TORONTO WASHINGTON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MINTZ, LEVIN, COHN, FERRIS, GLOVSKY AND POPEO, P.C.</w:t>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MINTZ</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13,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6776720</wp:posOffset>
            </wp:positionH>
            <wp:positionV relativeFrom="paragraph">
              <wp:posOffset>-3175</wp:posOffset>
            </wp:positionV>
            <wp:extent cx="361950"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3619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831"/>
        <w:spacing w:after="0" w:line="300" w:lineRule="auto"/>
        <w:rPr>
          <w:sz w:val="20"/>
          <w:szCs w:val="20"/>
          <w:color w:val="auto"/>
        </w:rPr>
      </w:pPr>
      <w:r>
        <w:rPr>
          <w:rFonts w:ascii="Times New Roman" w:cs="Times New Roman" w:eastAsia="Times New Roman" w:hAnsi="Times New Roman"/>
          <w:sz w:val="19"/>
          <w:szCs w:val="19"/>
          <w:color w:val="auto"/>
        </w:rPr>
        <w:t>Based upon the foregoing, we are of the opinion that the Shares, when issued and delivered in accordance with the terms of the Plans, will be validly issued, fully paid and non-assessable.</w:t>
      </w:r>
    </w:p>
    <w:p>
      <w:pPr>
        <w:spacing w:after="0" w:line="130" w:lineRule="exact"/>
        <w:rPr>
          <w:sz w:val="20"/>
          <w:szCs w:val="20"/>
          <w:color w:val="auto"/>
        </w:rPr>
      </w:pPr>
    </w:p>
    <w:p>
      <w:pPr>
        <w:jc w:val="both"/>
        <w:ind w:firstLine="831"/>
        <w:spacing w:after="0" w:line="269" w:lineRule="auto"/>
        <w:rPr>
          <w:sz w:val="20"/>
          <w:szCs w:val="20"/>
          <w:color w:val="auto"/>
        </w:rPr>
      </w:pPr>
      <w:r>
        <w:rPr>
          <w:rFonts w:ascii="Times New Roman" w:cs="Times New Roman" w:eastAsia="Times New Roman" w:hAnsi="Times New Roman"/>
          <w:sz w:val="19"/>
          <w:szCs w:val="19"/>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1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9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9"/>
          <w:szCs w:val="19"/>
          <w:color w:val="auto"/>
        </w:rPr>
        <w:t>/s/ Mintz, Levin, Cohn, Ferris, Glovsky and Popeo, P.C.</w:t>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u w:val="single" w:color="auto"/>
          <w:color w:val="auto"/>
        </w:rPr>
        <w:t>Consent of Independent Registered Public Accountng Firm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20"/>
        <w:spacing w:after="0"/>
        <w:rPr>
          <w:sz w:val="20"/>
          <w:szCs w:val="20"/>
          <w:color w:val="auto"/>
        </w:rPr>
      </w:pPr>
      <w:r>
        <w:rPr>
          <w:rFonts w:ascii="Calibri" w:cs="Calibri" w:eastAsia="Calibri" w:hAnsi="Calibri"/>
          <w:sz w:val="19"/>
          <w:szCs w:val="19"/>
          <w:color w:val="auto"/>
        </w:rPr>
        <w:t>We hereby consent to the incorporaton by reference in this Registraton Statement of our report dated March 18, 2024, relatng to the fnancial statements of Exagen Inc. (the “Company”), appearing in the Company’s Annual Report on Form 10-K for the year ended December 31,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9"/>
          <w:szCs w:val="19"/>
          <w:color w:val="auto"/>
        </w:rPr>
        <w:t>/s/ BDO USA, P.C.</w:t>
      </w:r>
    </w:p>
    <w:p>
      <w:pPr>
        <w:spacing w:after="0" w:line="245" w:lineRule="exact"/>
        <w:rPr>
          <w:sz w:val="20"/>
          <w:szCs w:val="20"/>
          <w:color w:val="auto"/>
        </w:rPr>
      </w:pPr>
    </w:p>
    <w:p>
      <w:pPr>
        <w:spacing w:after="0"/>
        <w:rPr>
          <w:sz w:val="20"/>
          <w:szCs w:val="20"/>
          <w:color w:val="auto"/>
        </w:rPr>
      </w:pPr>
      <w:r>
        <w:rPr>
          <w:rFonts w:ascii="Calibri" w:cs="Calibri" w:eastAsia="Calibri" w:hAnsi="Calibri"/>
          <w:sz w:val="19"/>
          <w:szCs w:val="19"/>
          <w:color w:val="auto"/>
        </w:rPr>
        <w:t>San Diego, California</w:t>
      </w:r>
    </w:p>
    <w:p>
      <w:pPr>
        <w:spacing w:after="0" w:line="7" w:lineRule="exact"/>
        <w:rPr>
          <w:sz w:val="20"/>
          <w:szCs w:val="20"/>
          <w:color w:val="auto"/>
        </w:rPr>
      </w:pPr>
    </w:p>
    <w:p>
      <w:pPr>
        <w:ind w:left="20"/>
        <w:spacing w:after="0"/>
        <w:rPr>
          <w:sz w:val="20"/>
          <w:szCs w:val="20"/>
          <w:color w:val="auto"/>
        </w:rPr>
      </w:pPr>
      <w:r>
        <w:rPr>
          <w:rFonts w:ascii="Calibri" w:cs="Calibri" w:eastAsia="Calibri" w:hAnsi="Calibri"/>
          <w:sz w:val="19"/>
          <w:szCs w:val="19"/>
          <w:color w:val="auto"/>
        </w:rPr>
        <w:t>May 13, 2024</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jpeg"/><Relationship Id="rId24" Type="http://schemas.openxmlformats.org/officeDocument/2006/relationships/image" Target="media/image5.png"/><Relationship Id="rId25" Type="http://schemas.openxmlformats.org/officeDocument/2006/relationships/image" Target="media/image6.jpeg"/><Relationship Id="rId10" Type="http://schemas.openxmlformats.org/officeDocument/2006/relationships/hyperlink" Target="https://www.sec.gov/ix?doc=/Archives/edgar/data/1274737/000127473724000022/exdx-20231231.htm" TargetMode="External"/><Relationship Id="rId11" Type="http://schemas.openxmlformats.org/officeDocument/2006/relationships/hyperlink" Target="https://www.sec.gov/Archives/edgar/data/1274737/000127473724000028/a2024def14aproxystatement.htm" TargetMode="External"/><Relationship Id="rId12" Type="http://schemas.openxmlformats.org/officeDocument/2006/relationships/hyperlink" Target="https://www.sec.gov/ix?doc=/Archives/edgar/data/0001274737/000127473724000048/exdx-20240331.htm" TargetMode="External"/><Relationship Id="rId13" Type="http://schemas.openxmlformats.org/officeDocument/2006/relationships/hyperlink" Target="https://www.sec.gov/ix?doc=/Archives/edgar/data/1274737/000127473724000030/exdx-20240422.htm" TargetMode="External"/><Relationship Id="rId14" Type="http://schemas.openxmlformats.org/officeDocument/2006/relationships/hyperlink" Target="https://www.sec.gov/Archives/edgar/data/1274737/000119312519244881/d756255d8a12b.htm" TargetMode="External"/><Relationship Id="rId15" Type="http://schemas.openxmlformats.org/officeDocument/2006/relationships/hyperlink" Target="http://www.sec.gov/Archives/edgar/data/1274737/000119312519252366/d769261dex31.htm" TargetMode="External"/><Relationship Id="rId16" Type="http://schemas.openxmlformats.org/officeDocument/2006/relationships/hyperlink" Target="http://www.sec.gov/Archives/edgar/data/1274737/000127473721000017/ex31-amendedandrestatedbyl.htm" TargetMode="External"/><Relationship Id="rId17" Type="http://schemas.openxmlformats.org/officeDocument/2006/relationships/hyperlink" Target="http://www.sec.gov/Archives/edgar/data/1274737/000119312519240403/d692844dex41.htm" TargetMode="External"/><Relationship Id="rId18" Type="http://schemas.openxmlformats.org/officeDocument/2006/relationships/hyperlink" Target="http://www.sec.gov/Archives/edgar/data/1274737/000119312519240403/d692844dex103.htm" TargetMode="External"/><Relationship Id="rId19" Type="http://schemas.openxmlformats.org/officeDocument/2006/relationships/hyperlink" Target="http://www.sec.gov/Archives/edgar/data/1274737/000119312519240403/d692844dex104.htm" TargetMode="External"/><Relationship Id="rId20" Type="http://schemas.openxmlformats.org/officeDocument/2006/relationships/hyperlink" Target="http://www.sec.gov/Archives/edgar/data/1274737/000127473721000015/ex105-formofrsuagreement20.htm" TargetMode="External"/><Relationship Id="rId21" Type="http://schemas.openxmlformats.org/officeDocument/2006/relationships/hyperlink" Target="http://www.sec.gov/Archives/edgar/data/1274737/000119312519240403/d692844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2024-05-13T08:38:42Z</dcterms:created>
  <dcterms:modified xsi:type="dcterms:W3CDTF">2024-05-13T08:38:42Z</dcterms:modified>
</cp:coreProperties>
</file>