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7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731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11770 US HIGHWAY ONE, SUITE 503</w:t>
            </w: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06/25/2021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gridSpan w:val="3"/>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8"/>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33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1"/>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7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3"/>
              <w:spacing w:after="0"/>
              <w:rPr>
                <w:sz w:val="20"/>
                <w:szCs w:val="20"/>
                <w:color w:val="auto"/>
              </w:rPr>
            </w:pPr>
            <w:r>
              <w:rPr>
                <w:rFonts w:ascii="Arial" w:cs="Arial" w:eastAsia="Arial" w:hAnsi="Arial"/>
                <w:sz w:val="12"/>
                <w:szCs w:val="12"/>
                <w:b w:val="1"/>
                <w:bCs w:val="1"/>
                <w:color w:val="auto"/>
                <w:w w:val="99"/>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06/25/2021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9"/>
              <w:spacing w:after="0"/>
              <w:rPr>
                <w:sz w:val="20"/>
                <w:szCs w:val="20"/>
                <w:color w:val="auto"/>
              </w:rPr>
            </w:pPr>
            <w:r>
              <w:rPr>
                <w:rFonts w:ascii="Arial" w:cs="Arial" w:eastAsia="Arial" w:hAnsi="Arial"/>
                <w:sz w:val="17"/>
                <w:szCs w:val="17"/>
                <w:color w:val="0000FF"/>
                <w:w w:val="89"/>
              </w:rPr>
              <w:t>8,763</w:t>
            </w:r>
          </w:p>
        </w:tc>
        <w:tc>
          <w:tcPr>
            <w:tcW w:w="80" w:type="dxa"/>
            <w:vAlign w:val="bottom"/>
          </w:tcPr>
          <w:p>
            <w:pPr>
              <w:spacing w:after="0"/>
              <w:rPr>
                <w:sz w:val="22"/>
                <w:szCs w:val="2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gridSpan w:val="5"/>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16.0337</w:t>
            </w:r>
            <w:r>
              <w:rPr>
                <w:rFonts w:ascii="Arial" w:cs="Arial" w:eastAsia="Arial" w:hAnsi="Arial"/>
                <w:sz w:val="22"/>
                <w:szCs w:val="22"/>
                <w:color w:val="008000"/>
                <w:w w:val="87"/>
                <w:vertAlign w:val="superscript"/>
              </w:rPr>
              <w:t>(2)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1,546,909</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06/28/2021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9"/>
              <w:spacing w:after="0"/>
              <w:rPr>
                <w:sz w:val="20"/>
                <w:szCs w:val="20"/>
                <w:color w:val="auto"/>
              </w:rPr>
            </w:pPr>
            <w:r>
              <w:rPr>
                <w:rFonts w:ascii="Arial" w:cs="Arial" w:eastAsia="Arial" w:hAnsi="Arial"/>
                <w:sz w:val="17"/>
                <w:szCs w:val="17"/>
                <w:color w:val="0000FF"/>
                <w:w w:val="88"/>
              </w:rPr>
              <w:t>10,858</w:t>
            </w:r>
          </w:p>
        </w:tc>
        <w:tc>
          <w:tcPr>
            <w:tcW w:w="80" w:type="dxa"/>
            <w:vAlign w:val="bottom"/>
          </w:tcPr>
          <w:p>
            <w:pPr>
              <w:spacing w:after="0"/>
              <w:rPr>
                <w:sz w:val="22"/>
                <w:szCs w:val="2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gridSpan w:val="5"/>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14.984</w:t>
            </w:r>
            <w:r>
              <w:rPr>
                <w:rFonts w:ascii="Arial" w:cs="Arial" w:eastAsia="Arial" w:hAnsi="Arial"/>
                <w:sz w:val="22"/>
                <w:szCs w:val="22"/>
                <w:color w:val="008000"/>
                <w:w w:val="88"/>
                <w:vertAlign w:val="superscript"/>
              </w:rPr>
              <w:t>(3)</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1,536,051</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06/29/2021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9"/>
              <w:spacing w:after="0"/>
              <w:rPr>
                <w:sz w:val="20"/>
                <w:szCs w:val="20"/>
                <w:color w:val="auto"/>
              </w:rPr>
            </w:pPr>
            <w:r>
              <w:rPr>
                <w:rFonts w:ascii="Arial" w:cs="Arial" w:eastAsia="Arial" w:hAnsi="Arial"/>
                <w:sz w:val="17"/>
                <w:szCs w:val="17"/>
                <w:color w:val="0000FF"/>
                <w:w w:val="89"/>
              </w:rPr>
              <w:t>5,379</w:t>
            </w:r>
          </w:p>
        </w:tc>
        <w:tc>
          <w:tcPr>
            <w:tcW w:w="80" w:type="dxa"/>
            <w:vAlign w:val="bottom"/>
          </w:tcPr>
          <w:p>
            <w:pPr>
              <w:spacing w:after="0"/>
              <w:rPr>
                <w:sz w:val="22"/>
                <w:szCs w:val="2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gridSpan w:val="5"/>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14.6701</w:t>
            </w:r>
            <w:r>
              <w:rPr>
                <w:rFonts w:ascii="Arial" w:cs="Arial" w:eastAsia="Arial" w:hAnsi="Arial"/>
                <w:sz w:val="22"/>
                <w:szCs w:val="22"/>
                <w:color w:val="008000"/>
                <w:w w:val="87"/>
                <w:vertAlign w:val="superscript"/>
              </w:rPr>
              <w:t>(4)</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1,530,672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21,348</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1,431</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3"/>
              </w:rPr>
              <w:t>4,537</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8"/>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sales were effected by Tullis Growth Fund, L.P. ("Tullis Growth") pursuant to a Rule 10b5-1 trading plan adopted on March 24,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$15.74 to $16.33,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$14.55 to $15.34,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$14.48 to $15.04,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2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 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06/29/2021</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41"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2021-06-29T16:13:59Z</dcterms:created>
  <dcterms:modified xsi:type="dcterms:W3CDTF">2021-06-29T16:13:59Z</dcterms:modified>
</cp:coreProperties>
</file>