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March 16, 2021</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0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20"/>
          </w:cols>
          <w:pgMar w:left="320" w:top="1259" w:right="3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74"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March 16, 2021, Exagen Inc. (the “Company”) reported its financial results for the quarter and year ended December 31, 2020. A copy of the press release issued by the Company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3100" w:type="dxa"/>
            <w:vAlign w:val="bottom"/>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960" w:type="dxa"/>
            <w:vAlign w:val="bottom"/>
          </w:tcPr>
          <w:p>
            <w:pPr>
              <w:jc w:val="right"/>
              <w:ind w:right="539"/>
              <w:spacing w:after="0"/>
              <w:rPr>
                <w:sz w:val="20"/>
                <w:szCs w:val="20"/>
                <w:color w:val="auto"/>
              </w:rPr>
            </w:pPr>
            <w:r>
              <w:rPr>
                <w:rFonts w:ascii="Arial" w:cs="Arial" w:eastAsia="Arial" w:hAnsi="Arial"/>
                <w:sz w:val="18"/>
                <w:szCs w:val="18"/>
                <w:color w:val="auto"/>
                <w:w w:val="91"/>
              </w:rPr>
              <w:t>99.1</w:t>
            </w:r>
          </w:p>
        </w:tc>
        <w:tc>
          <w:tcPr>
            <w:tcW w:w="3100" w:type="dxa"/>
            <w:vAlign w:val="bottom"/>
          </w:tcPr>
          <w:p>
            <w:pPr>
              <w:ind w:left="500"/>
              <w:spacing w:after="0"/>
              <w:rPr>
                <w:rFonts w:ascii="Arial" w:cs="Arial" w:eastAsia="Arial" w:hAnsi="Arial"/>
                <w:sz w:val="18"/>
                <w:szCs w:val="18"/>
                <w:u w:val="single" w:color="auto"/>
                <w:color w:val="0000FF"/>
                <w:w w:val="86"/>
              </w:rPr>
            </w:pPr>
            <w:hyperlink w:anchor="page4">
              <w:r>
                <w:rPr>
                  <w:rFonts w:ascii="Arial" w:cs="Arial" w:eastAsia="Arial" w:hAnsi="Arial"/>
                  <w:sz w:val="18"/>
                  <w:szCs w:val="18"/>
                  <w:u w:val="single" w:color="auto"/>
                  <w:color w:val="0000FF"/>
                  <w:w w:val="86"/>
                </w:rPr>
                <w:t>Press Release dated March 16, 2021</w:t>
              </w:r>
            </w:hyperlink>
          </w:p>
        </w:tc>
      </w:tr>
    </w:tbl>
    <w:p>
      <w:pPr>
        <w:sectPr>
          <w:pgSz w:w="11900" w:h="16838" w:orient="portrait"/>
          <w:cols w:equalWidth="0" w:num="1">
            <w:col w:w="11140"/>
          </w:cols>
          <w:pgMar w:left="320" w:top="1336"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March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Exagen Inc. Reports Fourth Quarter and Full Year 2020 Results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Quarterly Records: Revenue, Gross Margin, AVISE® CTD Volumes and Adopters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March 16, 2021</w:t>
      </w:r>
    </w:p>
    <w:p>
      <w:pPr>
        <w:spacing w:after="0" w:line="25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fourth quarter and full year ended December 31, 2020.</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72"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$42.0 million for the year ended December 31, 2020, a 4% increase over 2019.</w:t>
      </w:r>
    </w:p>
    <w:p>
      <w:pPr>
        <w:spacing w:after="0" w:line="161" w:lineRule="exact"/>
        <w:rPr>
          <w:rFonts w:ascii="Arial" w:cs="Arial" w:eastAsia="Arial" w:hAnsi="Arial"/>
          <w:sz w:val="20"/>
          <w:szCs w:val="20"/>
          <w:color w:val="auto"/>
        </w:rPr>
      </w:pPr>
    </w:p>
    <w:p>
      <w:pPr>
        <w:ind w:left="980" w:right="42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$12.7 million for the fourth quarter of 2020, a 24% increase over the fourth quarter of 2019.</w:t>
      </w:r>
    </w:p>
    <w:p>
      <w:pPr>
        <w:spacing w:after="0" w:line="134"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gross margin of $8.3 million and 66% for the fourth quarter of 2020.</w:t>
      </w:r>
    </w:p>
    <w:p>
      <w:pPr>
        <w:spacing w:after="0" w:line="148" w:lineRule="exact"/>
        <w:rPr>
          <w:rFonts w:ascii="Arial" w:cs="Arial" w:eastAsia="Arial" w:hAnsi="Arial"/>
          <w:sz w:val="20"/>
          <w:szCs w:val="20"/>
          <w:color w:val="auto"/>
        </w:rPr>
      </w:pPr>
    </w:p>
    <w:p>
      <w:pPr>
        <w:ind w:left="980" w:right="2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28,601 flagship AVISE® CTD tests, including AVISE® Lupus, in the fourth quarter 2020, and 100,450 tests for the year ended December 31, 2020.</w:t>
      </w:r>
    </w:p>
    <w:p>
      <w:pPr>
        <w:spacing w:after="0" w:line="134" w:lineRule="exact"/>
        <w:rPr>
          <w:rFonts w:ascii="Arial" w:cs="Arial" w:eastAsia="Arial" w:hAnsi="Arial"/>
          <w:sz w:val="20"/>
          <w:szCs w:val="20"/>
          <w:color w:val="auto"/>
        </w:rPr>
      </w:pPr>
    </w:p>
    <w:p>
      <w:pPr>
        <w:ind w:left="980" w:hanging="324"/>
        <w:spacing w:after="0" w:line="287" w:lineRule="auto"/>
        <w:tabs>
          <w:tab w:leader="none" w:pos="941" w:val="left"/>
        </w:tabs>
        <w:numPr>
          <w:ilvl w:val="0"/>
          <w:numId w:val="2"/>
        </w:numPr>
        <w:rPr>
          <w:rFonts w:ascii="Arial" w:cs="Arial" w:eastAsia="Arial" w:hAnsi="Arial"/>
          <w:sz w:val="19"/>
          <w:szCs w:val="19"/>
          <w:color w:val="auto"/>
        </w:rPr>
      </w:pPr>
      <w:r>
        <w:rPr>
          <w:rFonts w:ascii="Arial" w:cs="Arial" w:eastAsia="Arial" w:hAnsi="Arial"/>
          <w:sz w:val="19"/>
          <w:szCs w:val="19"/>
          <w:color w:val="auto"/>
        </w:rPr>
        <w:t>Number of ordering healthcare providers was 1,690 in the fourth quarter of 2020, including 635 adopters, and sequential quarterly retention rate of approximately 99% among adopting healthcare providers from the prior quarter.</w:t>
      </w:r>
    </w:p>
    <w:p>
      <w:pPr>
        <w:spacing w:after="0" w:line="111" w:lineRule="exact"/>
        <w:rPr>
          <w:rFonts w:ascii="Arial" w:cs="Arial" w:eastAsia="Arial" w:hAnsi="Arial"/>
          <w:sz w:val="19"/>
          <w:szCs w:val="19"/>
          <w:color w:val="auto"/>
        </w:rPr>
      </w:pPr>
    </w:p>
    <w:p>
      <w:pPr>
        <w:ind w:left="980" w:right="18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Entered into coverage and in-network agreements with Highmark, the fourth-largest overall Blue Cross Blue-Shield affiliated organization, and TRICARE West.</w:t>
      </w:r>
    </w:p>
    <w:p>
      <w:pPr>
        <w:spacing w:after="0" w:line="200" w:lineRule="exact"/>
        <w:rPr>
          <w:sz w:val="20"/>
          <w:szCs w:val="20"/>
          <w:color w:val="auto"/>
        </w:rPr>
      </w:pPr>
    </w:p>
    <w:p>
      <w:pPr>
        <w:spacing w:after="0" w:line="299"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“The fourth quarter of 2020 was strong for Exagen, despite continuing challenges from the COVID-19 pandemic. Our core testing business delivered record revenue in the fourth quarter, driven largely by record quarterly volumes for our flagship AVISE® CTD test, achieving back-to-back annual volume of over 100,000 orders. It is also gratifying to note that we attained a record number of healthcare adopters in the quarter, along with another period of 99% retention rates, which we believe are indicative of the value healthcare providers place on our testing products," said Ron Rocca, President and Chief Executive Officer of Exagen. "Looking ahead, we believe the strategic salesforce expansion, and progress with reimbursements positions us for growth in 2021. We will continue to invest in our business to build a platform that offers to improve care for millions of patients suffering from autoimmune and autoimmune-related diseases."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2020 Financial Results</w:t>
      </w:r>
    </w:p>
    <w:p>
      <w:pPr>
        <w:sectPr>
          <w:pgSz w:w="11900" w:h="16838" w:orient="portrait"/>
          <w:cols w:equalWidth="0" w:num="1">
            <w:col w:w="11160"/>
          </w:cols>
          <w:pgMar w:left="320" w:top="1440" w:right="419" w:bottom="1440" w:gutter="0" w:footer="0" w:header="0"/>
        </w:sectPr>
      </w:pPr>
    </w:p>
    <w:bookmarkStart w:id="4" w:name="page5"/>
    <w:bookmarkEnd w:id="4"/>
    <w:p>
      <w:pPr>
        <w:spacing w:after="0" w:line="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Revenue for the three months ended December 31, 2020 was $12.7 million, compared with $10.2 million in the fourth quarter of 2019. Gross margin was 66% in the fourth quarter of 2020 compared to 55% in the fourth quarter of 2019, benefiting from an increase in SIMPONI® revenues and a decrease in royalty costs associated with the expiration of a royalty on our CB-CAPs technology.</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Operating expenses were $15.4 million in the fourth quarter of 2020, compared with $13.1 million in the fourth quarter of 2019, due to increases in employee related expenses from headcount growth, including stock-based compensation.</w:t>
      </w:r>
    </w:p>
    <w:p>
      <w:pPr>
        <w:spacing w:after="0" w:line="121" w:lineRule="exact"/>
        <w:rPr>
          <w:sz w:val="20"/>
          <w:szCs w:val="20"/>
          <w:color w:val="auto"/>
        </w:rPr>
      </w:pPr>
    </w:p>
    <w:p>
      <w:pPr>
        <w:ind w:right="360"/>
        <w:spacing w:after="0" w:line="403" w:lineRule="auto"/>
        <w:rPr>
          <w:sz w:val="20"/>
          <w:szCs w:val="20"/>
          <w:color w:val="auto"/>
        </w:rPr>
      </w:pPr>
      <w:r>
        <w:rPr>
          <w:rFonts w:ascii="Arial" w:cs="Arial" w:eastAsia="Arial" w:hAnsi="Arial"/>
          <w:sz w:val="20"/>
          <w:szCs w:val="20"/>
          <w:color w:val="auto"/>
        </w:rPr>
        <w:t xml:space="preserve">For the fourth quarter of 2020, net loss was $3.5 million, compared to a net loss of $3.4 million for the fourth quarter of 2019. Cash and cash equivalents were approximately $57.4 million as of December 31, 2020. </w:t>
      </w:r>
      <w:r>
        <w:rPr>
          <w:rFonts w:ascii="Arial" w:cs="Arial" w:eastAsia="Arial" w:hAnsi="Arial"/>
          <w:sz w:val="20"/>
          <w:szCs w:val="20"/>
          <w:b w:val="1"/>
          <w:bCs w:val="1"/>
          <w:color w:val="auto"/>
        </w:rPr>
        <w:t>Full Year 2020 Financial Results</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Revenue for the full year of 2020 was $42.0 million, compared with $40.4 million for the full year of 2019. Gross margin was 61% for the full year of 2020 compared to 53% for the full year of 2019, benefiting from an increase in SIMPONI® revenues, a decrease in royalty costs associated with the expiration of a royalty on our CB-CAPs technology and a decrease in direct costs including materials and supplies.</w:t>
      </w:r>
    </w:p>
    <w:p>
      <w:pPr>
        <w:spacing w:after="0" w:line="139" w:lineRule="exact"/>
        <w:rPr>
          <w:sz w:val="20"/>
          <w:szCs w:val="20"/>
          <w:color w:val="auto"/>
        </w:rPr>
      </w:pPr>
    </w:p>
    <w:p>
      <w:pPr>
        <w:jc w:val="both"/>
        <w:ind w:right="420"/>
        <w:spacing w:after="0" w:line="257" w:lineRule="auto"/>
        <w:rPr>
          <w:sz w:val="20"/>
          <w:szCs w:val="20"/>
          <w:color w:val="auto"/>
        </w:rPr>
      </w:pPr>
      <w:r>
        <w:rPr>
          <w:rFonts w:ascii="Arial" w:cs="Arial" w:eastAsia="Arial" w:hAnsi="Arial"/>
          <w:sz w:val="20"/>
          <w:szCs w:val="20"/>
          <w:color w:val="auto"/>
        </w:rPr>
        <w:t>Operating expenses were $57.2 million for the full year of 2020, compared with $49.7 million for the full year of 2019, due to increases in employee related expenses from headcount growth, including stock-based compensation, and public company expenses. This is partially offset by a decrease in costs of revenue.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of 2020, net loss was $16.7 million compared to a net loss of $12.0 million for the full year of 2019.</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Guidance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2021, Exagen expects revenue to be in the range of $47 million to $49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A conference call to review fourth quarter and year-ended 2020 financial results and to provide a business update is scheduled for today March 16, 2021 at 4:30 PM Eastern Time (1:30 PM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Tuesday, March 23, 2021 at 11:59 PM Eastern Time (8:59 PM Pacific Time). Interested parties may access the replay by dialing (844) 512-2921 (U.S.) or (412) 317-6671 (international) using passcode 13716870.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72" w:lineRule="exact"/>
        <w:rPr>
          <w:sz w:val="20"/>
          <w:szCs w:val="20"/>
          <w:color w:val="auto"/>
        </w:rPr>
      </w:pPr>
    </w:p>
    <w:p>
      <w:pPr>
        <w:jc w:val="both"/>
        <w:ind w:right="780"/>
        <w:spacing w:after="0" w:line="257"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w:t>
      </w:r>
    </w:p>
    <w:p>
      <w:pPr>
        <w:sectPr>
          <w:pgSz w:w="11900" w:h="16838" w:orient="portrait"/>
          <w:cols w:equalWidth="0" w:num="1">
            <w:col w:w="11220"/>
          </w:cols>
          <w:pgMar w:left="320" w:top="1440" w:right="359" w:bottom="1440" w:gutter="0" w:footer="0" w:header="0"/>
        </w:sectPr>
      </w:pPr>
    </w:p>
    <w:bookmarkStart w:id="5" w:name="page6"/>
    <w:bookmarkEnd w:id="5"/>
    <w:p>
      <w:pPr>
        <w:spacing w:after="0" w:line="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 xml:space="preserve">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further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impact of, and continuing challenges from, the COVID-19 pandemic; the company's future potential growth in 2021; and the potential benefit of the company's testing products and promoted therapeutics to improve care for millions of patients suffering from autoimmune and autoimmune-related diseases.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business strategy, including the company's ability to drive market penetration for its testing products and the integration of the promotion of testing products and therapeutics, including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19"/>
          <w:szCs w:val="19"/>
          <w:color w:val="auto"/>
        </w:rPr>
        <w:t>Kamal Adawi, 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139"/>
          </w:cols>
          <w:pgMar w:left="320" w:top="1408" w:right="1440"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Pr>
          <w:p>
            <w:pPr>
              <w:spacing w:after="0"/>
              <w:rPr>
                <w:sz w:val="16"/>
                <w:szCs w:val="16"/>
                <w:color w:val="auto"/>
              </w:rPr>
            </w:pPr>
          </w:p>
        </w:tc>
        <w:tc>
          <w:tcPr>
            <w:tcW w:w="26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12,668</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10,214</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41,975</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40,387</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18,808</w:t>
            </w: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37,033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28,702</w:t>
            </w:r>
          </w:p>
        </w:tc>
        <w:tc>
          <w:tcPr>
            <w:tcW w:w="0" w:type="dxa"/>
            <w:vAlign w:val="bottom"/>
          </w:tcPr>
          <w:p>
            <w:pPr>
              <w:spacing w:after="0"/>
              <w:rPr>
                <w:sz w:val="1"/>
                <w:szCs w:val="1"/>
                <w:color w:val="auto"/>
              </w:rPr>
            </w:pPr>
          </w:p>
        </w:tc>
      </w:tr>
      <w:tr>
        <w:trPr>
          <w:trHeight w:val="18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183"/>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13,072</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49,686</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(9,299)</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Change in fair value of financial instruments</w:t>
            </w:r>
          </w:p>
        </w:tc>
        <w:tc>
          <w:tcPr>
            <w:tcW w:w="2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(12,013)</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(12,038)</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2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2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(16,687)</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(30,279)</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4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12,652,202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12,560,502</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12,632,780</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3,578,771</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57,448</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8,910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70,517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3,014</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8,771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26,659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36,536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December 31, 2020</w:t>
            </w:r>
          </w:p>
        </w:tc>
        <w:tc>
          <w:tcPr>
            <w:tcW w:w="32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December 31, 2019</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December 31, 2020 and December 31, 2019;</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12,652,308 and 12,560,990 shares issued and outstanding at December 31, 2020 and December 31, 2019, respectively</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223,115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(181,289)</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2021-03-16T15:21:47Z</dcterms:created>
  <dcterms:modified xsi:type="dcterms:W3CDTF">2021-03-16T15:21:47Z</dcterms:modified>
</cp:coreProperties>
</file>