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5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Date of Report (Date of earliest event reported): July 24, 2023</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0" w:lineRule="exact"/>
        <w:rPr>
          <w:sz w:val="24"/>
          <w:szCs w:val="24"/>
          <w:color w:val="auto"/>
        </w:rPr>
      </w:pPr>
    </w:p>
    <w:tbl>
      <w:tblPr>
        <w:tblLayout w:type="fixed"/>
        <w:tblInd w:w="1200" w:type="dxa"/>
        <w:tblCellMar>
          <w:top w:w="0" w:type="dxa"/>
          <w:left w:w="0" w:type="dxa"/>
          <w:bottom w:w="0" w:type="dxa"/>
          <w:right w:w="0" w:type="dxa"/>
        </w:tblCellMar>
      </w:tblPr>
      <w:tr>
        <w:trPr>
          <w:trHeight w:val="234"/>
        </w:trPr>
        <w:tc>
          <w:tcPr>
            <w:tcW w:w="2020" w:type="dxa"/>
            <w:vAlign w:val="bottom"/>
          </w:tcPr>
          <w:p>
            <w:pPr>
              <w:jc w:val="center"/>
              <w:ind w:right="322"/>
              <w:spacing w:after="0"/>
              <w:rPr>
                <w:sz w:val="20"/>
                <w:szCs w:val="20"/>
                <w:color w:val="auto"/>
              </w:rPr>
            </w:pPr>
            <w:r>
              <w:rPr>
                <w:rFonts w:ascii="Arial" w:cs="Arial" w:eastAsia="Arial" w:hAnsi="Arial"/>
                <w:sz w:val="18"/>
                <w:szCs w:val="18"/>
                <w:b w:val="1"/>
                <w:bCs w:val="1"/>
                <w:color w:val="auto"/>
                <w:w w:val="93"/>
              </w:rPr>
              <w:t>Delaware</w:t>
            </w:r>
          </w:p>
        </w:tc>
        <w:tc>
          <w:tcPr>
            <w:tcW w:w="4940" w:type="dxa"/>
            <w:vAlign w:val="bottom"/>
          </w:tcPr>
          <w:p>
            <w:pPr>
              <w:jc w:val="right"/>
              <w:ind w:right="2059"/>
              <w:spacing w:after="0"/>
              <w:rPr>
                <w:sz w:val="20"/>
                <w:szCs w:val="20"/>
                <w:color w:val="auto"/>
              </w:rPr>
            </w:pPr>
            <w:r>
              <w:rPr>
                <w:rFonts w:ascii="Arial" w:cs="Arial" w:eastAsia="Arial" w:hAnsi="Arial"/>
                <w:sz w:val="18"/>
                <w:szCs w:val="18"/>
                <w:b w:val="1"/>
                <w:bCs w:val="1"/>
                <w:color w:val="auto"/>
              </w:rPr>
              <w:t>001-39049</w:t>
            </w:r>
          </w:p>
        </w:tc>
        <w:tc>
          <w:tcPr>
            <w:tcW w:w="1640" w:type="dxa"/>
            <w:vAlign w:val="bottom"/>
          </w:tcPr>
          <w:p>
            <w:pPr>
              <w:jc w:val="center"/>
              <w:ind w:left="442"/>
              <w:spacing w:after="0"/>
              <w:rPr>
                <w:sz w:val="20"/>
                <w:szCs w:val="20"/>
                <w:color w:val="auto"/>
              </w:rPr>
            </w:pPr>
            <w:r>
              <w:rPr>
                <w:rFonts w:ascii="Arial" w:cs="Arial" w:eastAsia="Arial" w:hAnsi="Arial"/>
                <w:sz w:val="18"/>
                <w:szCs w:val="18"/>
                <w:b w:val="1"/>
                <w:bCs w:val="1"/>
                <w:color w:val="auto"/>
                <w:w w:val="91"/>
              </w:rPr>
              <w:t>20-0434866</w:t>
            </w:r>
          </w:p>
        </w:tc>
      </w:tr>
      <w:tr>
        <w:trPr>
          <w:trHeight w:val="193"/>
        </w:trPr>
        <w:tc>
          <w:tcPr>
            <w:tcW w:w="2020" w:type="dxa"/>
            <w:vAlign w:val="bottom"/>
          </w:tcPr>
          <w:p>
            <w:pPr>
              <w:jc w:val="center"/>
              <w:ind w:right="322"/>
              <w:spacing w:after="0"/>
              <w:rPr>
                <w:sz w:val="20"/>
                <w:szCs w:val="20"/>
                <w:color w:val="auto"/>
              </w:rPr>
            </w:pPr>
            <w:r>
              <w:rPr>
                <w:rFonts w:ascii="Arial" w:cs="Arial" w:eastAsia="Arial" w:hAnsi="Arial"/>
                <w:sz w:val="14"/>
                <w:szCs w:val="14"/>
                <w:b w:val="1"/>
                <w:bCs w:val="1"/>
                <w:color w:val="auto"/>
                <w:w w:val="92"/>
              </w:rPr>
              <w:t>(State or other jurisdiction</w:t>
            </w:r>
          </w:p>
        </w:tc>
        <w:tc>
          <w:tcPr>
            <w:tcW w:w="494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(Commission</w:t>
            </w:r>
          </w:p>
        </w:tc>
        <w:tc>
          <w:tcPr>
            <w:tcW w:w="1640" w:type="dxa"/>
            <w:vAlign w:val="bottom"/>
          </w:tcPr>
          <w:p>
            <w:pPr>
              <w:jc w:val="center"/>
              <w:ind w:left="44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020" w:type="dxa"/>
            <w:vAlign w:val="bottom"/>
          </w:tcPr>
          <w:p>
            <w:pPr>
              <w:jc w:val="center"/>
              <w:ind w:right="322"/>
              <w:spacing w:after="0"/>
              <w:rPr>
                <w:sz w:val="20"/>
                <w:szCs w:val="20"/>
                <w:color w:val="auto"/>
              </w:rPr>
            </w:pPr>
            <w:r>
              <w:rPr>
                <w:rFonts w:ascii="Arial" w:cs="Arial" w:eastAsia="Arial" w:hAnsi="Arial"/>
                <w:sz w:val="14"/>
                <w:szCs w:val="14"/>
                <w:b w:val="1"/>
                <w:bCs w:val="1"/>
                <w:color w:val="auto"/>
                <w:w w:val="94"/>
              </w:rPr>
              <w:t>of incorporation)</w:t>
            </w:r>
          </w:p>
        </w:tc>
        <w:tc>
          <w:tcPr>
            <w:tcW w:w="494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File Number)</w:t>
            </w:r>
          </w:p>
        </w:tc>
        <w:tc>
          <w:tcPr>
            <w:tcW w:w="1640" w:type="dxa"/>
            <w:vAlign w:val="bottom"/>
          </w:tcPr>
          <w:p>
            <w:pPr>
              <w:jc w:val="center"/>
              <w:ind w:left="442"/>
              <w:spacing w:after="0"/>
              <w:rPr>
                <w:sz w:val="20"/>
                <w:szCs w:val="20"/>
                <w:color w:val="auto"/>
              </w:rPr>
            </w:pPr>
            <w:r>
              <w:rPr>
                <w:rFonts w:ascii="Arial" w:cs="Arial" w:eastAsia="Arial" w:hAnsi="Arial"/>
                <w:sz w:val="14"/>
                <w:szCs w:val="14"/>
                <w:b w:val="1"/>
                <w:bCs w:val="1"/>
                <w:color w:val="auto"/>
                <w:w w:val="94"/>
              </w:rPr>
              <w:t>Identification No.)</w:t>
            </w:r>
          </w:p>
        </w:tc>
      </w:tr>
      <w:tr>
        <w:trPr>
          <w:trHeight w:val="520"/>
        </w:trPr>
        <w:tc>
          <w:tcPr>
            <w:tcW w:w="2020" w:type="dxa"/>
            <w:vAlign w:val="bottom"/>
          </w:tcPr>
          <w:p>
            <w:pPr>
              <w:spacing w:after="0"/>
              <w:rPr>
                <w:sz w:val="24"/>
                <w:szCs w:val="24"/>
                <w:color w:val="auto"/>
              </w:rPr>
            </w:pPr>
          </w:p>
        </w:tc>
        <w:tc>
          <w:tcPr>
            <w:tcW w:w="4940" w:type="dxa"/>
            <w:vAlign w:val="bottom"/>
          </w:tcPr>
          <w:p>
            <w:pPr>
              <w:jc w:val="center"/>
              <w:ind w:right="39"/>
              <w:spacing w:after="0"/>
              <w:rPr>
                <w:sz w:val="20"/>
                <w:szCs w:val="20"/>
                <w:color w:val="auto"/>
              </w:rPr>
            </w:pPr>
            <w:r>
              <w:rPr>
                <w:rFonts w:ascii="Arial" w:cs="Arial" w:eastAsia="Arial" w:hAnsi="Arial"/>
                <w:sz w:val="18"/>
                <w:szCs w:val="18"/>
                <w:b w:val="1"/>
                <w:bCs w:val="1"/>
                <w:color w:val="auto"/>
                <w:w w:val="93"/>
              </w:rPr>
              <w:t>1261 Liberty Way</w:t>
            </w:r>
          </w:p>
        </w:tc>
        <w:tc>
          <w:tcPr>
            <w:tcW w:w="1640" w:type="dxa"/>
            <w:vAlign w:val="bottom"/>
          </w:tcPr>
          <w:p>
            <w:pPr>
              <w:spacing w:after="0"/>
              <w:rPr>
                <w:sz w:val="24"/>
                <w:szCs w:val="24"/>
                <w:color w:val="auto"/>
              </w:rPr>
            </w:pPr>
          </w:p>
        </w:tc>
      </w:tr>
      <w:tr>
        <w:trPr>
          <w:trHeight w:val="212"/>
        </w:trPr>
        <w:tc>
          <w:tcPr>
            <w:tcW w:w="2020" w:type="dxa"/>
            <w:vAlign w:val="bottom"/>
          </w:tcPr>
          <w:p>
            <w:pPr>
              <w:spacing w:after="0"/>
              <w:rPr>
                <w:sz w:val="18"/>
                <w:szCs w:val="18"/>
                <w:color w:val="auto"/>
              </w:rPr>
            </w:pPr>
          </w:p>
        </w:tc>
        <w:tc>
          <w:tcPr>
            <w:tcW w:w="494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Vista, CA 92081</w:t>
            </w:r>
          </w:p>
        </w:tc>
        <w:tc>
          <w:tcPr>
            <w:tcW w:w="1640" w:type="dxa"/>
            <w:vAlign w:val="bottom"/>
          </w:tcPr>
          <w:p>
            <w:pPr>
              <w:spacing w:after="0"/>
              <w:rPr>
                <w:sz w:val="18"/>
                <w:szCs w:val="18"/>
                <w:color w:val="auto"/>
              </w:rPr>
            </w:pPr>
          </w:p>
        </w:tc>
      </w:tr>
      <w:tr>
        <w:trPr>
          <w:trHeight w:val="186"/>
        </w:trPr>
        <w:tc>
          <w:tcPr>
            <w:tcW w:w="2020" w:type="dxa"/>
            <w:vAlign w:val="bottom"/>
          </w:tcPr>
          <w:p>
            <w:pPr>
              <w:spacing w:after="0"/>
              <w:rPr>
                <w:sz w:val="16"/>
                <w:szCs w:val="16"/>
                <w:color w:val="auto"/>
              </w:rPr>
            </w:pPr>
          </w:p>
        </w:tc>
        <w:tc>
          <w:tcPr>
            <w:tcW w:w="494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640" w:type="dxa"/>
            <w:vAlign w:val="bottom"/>
          </w:tcPr>
          <w:p>
            <w:pPr>
              <w:spacing w:after="0"/>
              <w:rPr>
                <w:sz w:val="16"/>
                <w:szCs w:val="16"/>
                <w:color w:val="auto"/>
              </w:rPr>
            </w:pPr>
          </w:p>
        </w:tc>
      </w:tr>
      <w:tr>
        <w:trPr>
          <w:trHeight w:val="381"/>
        </w:trPr>
        <w:tc>
          <w:tcPr>
            <w:tcW w:w="2020" w:type="dxa"/>
            <w:vAlign w:val="bottom"/>
          </w:tcPr>
          <w:p>
            <w:pPr>
              <w:spacing w:after="0"/>
              <w:rPr>
                <w:sz w:val="24"/>
                <w:szCs w:val="24"/>
                <w:color w:val="auto"/>
              </w:rPr>
            </w:pPr>
          </w:p>
        </w:tc>
        <w:tc>
          <w:tcPr>
            <w:tcW w:w="4940" w:type="dxa"/>
            <w:vAlign w:val="bottom"/>
          </w:tcPr>
          <w:p>
            <w:pPr>
              <w:jc w:val="right"/>
              <w:ind w:right="1899"/>
              <w:spacing w:after="0"/>
              <w:rPr>
                <w:sz w:val="20"/>
                <w:szCs w:val="20"/>
                <w:color w:val="auto"/>
              </w:rPr>
            </w:pPr>
            <w:r>
              <w:rPr>
                <w:rFonts w:ascii="Arial" w:cs="Arial" w:eastAsia="Arial" w:hAnsi="Arial"/>
                <w:sz w:val="18"/>
                <w:szCs w:val="18"/>
                <w:b w:val="1"/>
                <w:bCs w:val="1"/>
                <w:color w:val="auto"/>
              </w:rPr>
              <w:t>(760) 560-1501</w:t>
            </w:r>
          </w:p>
        </w:tc>
        <w:tc>
          <w:tcPr>
            <w:tcW w:w="1640" w:type="dxa"/>
            <w:vAlign w:val="bottom"/>
          </w:tcPr>
          <w:p>
            <w:pPr>
              <w:spacing w:after="0"/>
              <w:rPr>
                <w:sz w:val="24"/>
                <w:szCs w:val="24"/>
                <w:color w:val="auto"/>
              </w:rPr>
            </w:pPr>
          </w:p>
        </w:tc>
      </w:tr>
      <w:tr>
        <w:trPr>
          <w:trHeight w:val="186"/>
        </w:trPr>
        <w:tc>
          <w:tcPr>
            <w:tcW w:w="2020" w:type="dxa"/>
            <w:vAlign w:val="bottom"/>
          </w:tcPr>
          <w:p>
            <w:pPr>
              <w:spacing w:after="0"/>
              <w:rPr>
                <w:sz w:val="16"/>
                <w:szCs w:val="16"/>
                <w:color w:val="auto"/>
              </w:rPr>
            </w:pPr>
          </w:p>
        </w:tc>
        <w:tc>
          <w:tcPr>
            <w:tcW w:w="494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640" w:type="dxa"/>
            <w:vAlign w:val="bottom"/>
          </w:tcPr>
          <w:p>
            <w:pPr>
              <w:spacing w:after="0"/>
              <w:rPr>
                <w:sz w:val="16"/>
                <w:szCs w:val="16"/>
                <w:color w:val="auto"/>
              </w:rPr>
            </w:pPr>
          </w:p>
        </w:tc>
      </w:tr>
      <w:tr>
        <w:trPr>
          <w:trHeight w:val="394"/>
        </w:trPr>
        <w:tc>
          <w:tcPr>
            <w:tcW w:w="2020" w:type="dxa"/>
            <w:vAlign w:val="bottom"/>
          </w:tcPr>
          <w:p>
            <w:pPr>
              <w:spacing w:after="0"/>
              <w:rPr>
                <w:sz w:val="24"/>
                <w:szCs w:val="24"/>
                <w:color w:val="auto"/>
              </w:rPr>
            </w:pPr>
          </w:p>
        </w:tc>
        <w:tc>
          <w:tcPr>
            <w:tcW w:w="4940" w:type="dxa"/>
            <w:vAlign w:val="bottom"/>
          </w:tcPr>
          <w:p>
            <w:pPr>
              <w:jc w:val="center"/>
              <w:ind w:right="59"/>
              <w:spacing w:after="0"/>
              <w:rPr>
                <w:sz w:val="20"/>
                <w:szCs w:val="20"/>
                <w:color w:val="auto"/>
              </w:rPr>
            </w:pPr>
            <w:r>
              <w:rPr>
                <w:rFonts w:ascii="Arial" w:cs="Arial" w:eastAsia="Arial" w:hAnsi="Arial"/>
                <w:sz w:val="18"/>
                <w:szCs w:val="18"/>
                <w:b w:val="1"/>
                <w:bCs w:val="1"/>
                <w:color w:val="auto"/>
              </w:rPr>
              <w:t>N/A</w:t>
            </w:r>
          </w:p>
        </w:tc>
        <w:tc>
          <w:tcPr>
            <w:tcW w:w="1640" w:type="dxa"/>
            <w:vAlign w:val="bottom"/>
          </w:tcPr>
          <w:p>
            <w:pPr>
              <w:spacing w:after="0"/>
              <w:rPr>
                <w:sz w:val="24"/>
                <w:szCs w:val="24"/>
                <w:color w:val="auto"/>
              </w:rPr>
            </w:pPr>
          </w:p>
        </w:tc>
      </w:tr>
      <w:tr>
        <w:trPr>
          <w:trHeight w:val="186"/>
        </w:trPr>
        <w:tc>
          <w:tcPr>
            <w:tcW w:w="2020" w:type="dxa"/>
            <w:vAlign w:val="bottom"/>
          </w:tcPr>
          <w:p>
            <w:pPr>
              <w:spacing w:after="0"/>
              <w:rPr>
                <w:sz w:val="16"/>
                <w:szCs w:val="16"/>
                <w:color w:val="auto"/>
              </w:rPr>
            </w:pPr>
          </w:p>
        </w:tc>
        <w:tc>
          <w:tcPr>
            <w:tcW w:w="494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640" w:type="dxa"/>
            <w:vAlign w:val="bottom"/>
          </w:tcPr>
          <w:p>
            <w:pPr>
              <w:spacing w:after="0"/>
              <w:rPr>
                <w:sz w:val="16"/>
                <w:szCs w:val="16"/>
                <w:color w:val="auto"/>
              </w:rPr>
            </w:pPr>
          </w:p>
        </w:tc>
      </w:tr>
    </w:tbl>
    <w:p>
      <w:pPr>
        <w:spacing w:after="0" w:line="17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51" w:lineRule="exact"/>
        <w:rPr>
          <w:rFonts w:ascii="MS PGothic" w:cs="MS PGothic" w:eastAsia="MS PGothic" w:hAnsi="MS PGothic"/>
          <w:sz w:val="18"/>
          <w:szCs w:val="18"/>
          <w:color w:val="auto"/>
        </w:rPr>
      </w:pPr>
    </w:p>
    <w:p>
      <w:pPr>
        <w:ind w:left="320" w:right="3900" w:hanging="294"/>
        <w:spacing w:after="0" w:line="230" w:lineRule="auto"/>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10" w:lineRule="exact"/>
        <w:rPr>
          <w:rFonts w:ascii="MS PGothic" w:cs="MS PGothic" w:eastAsia="MS PGothic" w:hAnsi="MS PGothic"/>
          <w:sz w:val="18"/>
          <w:szCs w:val="18"/>
          <w:color w:val="auto"/>
        </w:rPr>
      </w:pPr>
    </w:p>
    <w:p>
      <w:pPr>
        <w:ind w:left="320" w:right="3920" w:hanging="294"/>
        <w:spacing w:after="0" w:line="237" w:lineRule="auto"/>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5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29" w:lineRule="exact"/>
        <w:rPr>
          <w:sz w:val="24"/>
          <w:szCs w:val="24"/>
          <w:color w:val="auto"/>
        </w:rPr>
      </w:pPr>
    </w:p>
    <w:tbl>
      <w:tblPr>
        <w:tblLayout w:type="fixed"/>
        <w:tblInd w:w="38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80" w:type="dxa"/>
            <w:vAlign w:val="bottom"/>
          </w:tcPr>
          <w:p>
            <w:pPr>
              <w:spacing w:after="0"/>
              <w:rPr>
                <w:sz w:val="14"/>
                <w:szCs w:val="14"/>
                <w:color w:val="auto"/>
              </w:rPr>
            </w:pP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27"/>
        </w:trPr>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8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3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28"/>
        </w:trPr>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6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rPr>
              <w:t>XGN</w:t>
            </w:r>
          </w:p>
        </w:tc>
        <w:tc>
          <w:tcPr>
            <w:tcW w:w="18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55"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6"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259" w:lineRule="exact"/>
        <w:rPr>
          <w:sz w:val="24"/>
          <w:szCs w:val="24"/>
          <w:color w:val="auto"/>
        </w:rPr>
      </w:pPr>
    </w:p>
    <w:p>
      <w:pPr>
        <w:ind w:right="500"/>
        <w:spacing w:after="0" w:line="22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723900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35" w:right="419" w:bottom="1440" w:gutter="0" w:footer="0" w:header="0"/>
        </w:sectPr>
      </w:pPr>
    </w:p>
    <w:bookmarkStart w:id="1" w:name="page2"/>
    <w:bookmarkEnd w:id="1"/>
    <w:p>
      <w:pPr>
        <w:ind w:left="960" w:right="160" w:hanging="971"/>
        <w:spacing w:after="0" w:line="266" w:lineRule="auto"/>
        <w:tabs>
          <w:tab w:leader="none" w:pos="94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July 24, 2023, upon recommendation of the Nominating and Corporate Governance Committee of the Board of Directors (the “Board”) of Exagen Inc. (the “Company”), and pursuant to the bylaws of the Company, the Board appointed Paul Kim to serve as a Class II director, with an initial term expiring at the Company’s 2024 annual meeting of stockholders, filling the vacancy on the Board. In connection with his appointment to the Board, Mr. Kim was also appointed to the Audit Committee of the Board (the “Audit Committee”) and the Compensation Committee of the Board (the “Compensation Committee”), effective as of July 24, 2023. Following Mr. Kim’s appointment, the Audit Committee consists of Frank Stokes (Chair), Wendy Johnson, Ana Hooker and Paul Kim, and the Compensation Committee consists of Bruce C. Robertson, Ph.D. (Chair), Ana Hooker and Paul Kim.</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Paul Kim has served as Fulgent Genetic, Inc.’s (“Fulgent”) Chief Financial Officer since January 2016. Prior to his service for Fulgent, Mr. Kim was retired from 2011 until 2015 and served as Chief Financial Officer of Cogent, Inc., a publicly traded biometric identification services and product company, from 2004 until 2011. Mr. Kim’s past experience also includes service as the Chief Financial Officer of JNI Corporation, a publicly traded storage area network technology company, from 2002 until 2003, as Vice President, Finance and Corporate Controller at JNI from October 1999 to August 2002 and as Vice President of Finance and Administration for Datafusion Inc., a privately held software development company, from 1998 until 1999. From April 1996 to January 1998, Mr. Kim was the Corporate Controller for Interlink Computer Sciences, Inc., a publicly traded enterprise software company. From 1990 to 1996, Mr. Kim worked for Coopers and Lybrand L.L.P., leaving as an audit manager. Mr. Kim received a B.A. in Economics from the University of California at Berkeley in 1989 and is a Certified Public Accountant.</w:t>
      </w:r>
    </w:p>
    <w:p>
      <w:pPr>
        <w:spacing w:after="0" w:line="175" w:lineRule="exact"/>
        <w:rPr>
          <w:sz w:val="20"/>
          <w:szCs w:val="20"/>
          <w:color w:val="auto"/>
        </w:rPr>
      </w:pPr>
    </w:p>
    <w:p>
      <w:pPr>
        <w:ind w:right="20"/>
        <w:spacing w:after="0" w:line="261" w:lineRule="auto"/>
        <w:rPr>
          <w:rFonts w:ascii="Arial" w:cs="Arial" w:eastAsia="Arial" w:hAnsi="Arial"/>
          <w:sz w:val="17"/>
          <w:szCs w:val="17"/>
          <w:color w:val="auto"/>
        </w:rPr>
      </w:pPr>
      <w:r>
        <w:rPr>
          <w:rFonts w:ascii="Arial" w:cs="Arial" w:eastAsia="Arial" w:hAnsi="Arial"/>
          <w:sz w:val="17"/>
          <w:szCs w:val="17"/>
          <w:color w:val="auto"/>
        </w:rPr>
        <w:t xml:space="preserve">Pursuant to the Company’s non-employee director compensation program, on the effective date of Mr. Kim’s appointment to the Board, he was granted an option to purchase 15,000 shares of the Company’s common stock with an exercise price equal to the fair market value of the common stock on the date of grant, which will vest over three years in equal installments on each monthly anniversary of the grant date, subject to his continuing service on the Board through the applicable vesting date. Mr. Kim will also receive cash compensation for his service on the Board, the Audit Committee and the Compensation Committee in accordance with the non-employee director compensation program, which is filed as </w:t>
      </w:r>
      <w:hyperlink r:id="rId9">
        <w:r>
          <w:rPr>
            <w:rFonts w:ascii="Arial" w:cs="Arial" w:eastAsia="Arial" w:hAnsi="Arial"/>
            <w:sz w:val="17"/>
            <w:szCs w:val="17"/>
            <w:u w:val="single" w:color="auto"/>
            <w:color w:val="0000FF"/>
          </w:rPr>
          <w:t>Exhibit 10.52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to the Company’s Annual Report on Form 10-K, filed with the SEC on March 20, 2023 and is incorporated herein by reference. Mr. Kim will enter into the Company’s standard indemnification agreement for directors, the form of which was filed as </w:t>
      </w:r>
      <w:hyperlink r:id="rId10">
        <w:r>
          <w:rPr>
            <w:rFonts w:ascii="Arial" w:cs="Arial" w:eastAsia="Arial" w:hAnsi="Arial"/>
            <w:sz w:val="17"/>
            <w:szCs w:val="17"/>
            <w:u w:val="single" w:color="auto"/>
            <w:color w:val="0000FF"/>
          </w:rPr>
          <w:t>Exhibit 10.48</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Company’s Annual Report on Form 10-K, filed with the SEC on March 20, 2023 and is incorporated herein by reference.</w:t>
      </w:r>
    </w:p>
    <w:p>
      <w:pPr>
        <w:spacing w:after="0" w:line="176"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There is no arrangement or understanding between Mr. Kim and any other person pursuant to which Mr. Kim was appointed as a director. Mr. Kim is not a party to any transaction that would require disclosure under Item 404(a) of Regulation S-K promulgated under the Securities Act of 1933, as amended, and the Securities Exchange Act of 1934, as amended. The Board has determined that Mr. Kim is an independent director in accordance with the listing requirements of the Nasdaq Global Market and the standards promulgated by the Securities and Exchange Commission, including enhanced independence criteria applicable to members of the Audit Committee and the Compensation Committee.</w:t>
      </w:r>
    </w:p>
    <w:p>
      <w:pPr>
        <w:spacing w:after="0" w:line="16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July 24, 2023, the Company issued a press release announcing the appointment of Mr. Kim as a director, a copy of which is attached hereto as Exhibit 99.1, and is incorporated by reference herein.</w:t>
      </w:r>
    </w:p>
    <w:p>
      <w:pPr>
        <w:spacing w:after="0" w:line="16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jc w:val="center"/>
              <w:ind w:right="259"/>
              <w:spacing w:after="0"/>
              <w:rPr>
                <w:sz w:val="20"/>
                <w:szCs w:val="20"/>
                <w:color w:val="auto"/>
              </w:rPr>
            </w:pPr>
            <w:r>
              <w:rPr>
                <w:rFonts w:ascii="Arial" w:cs="Arial" w:eastAsia="Arial" w:hAnsi="Arial"/>
                <w:sz w:val="14"/>
                <w:szCs w:val="14"/>
                <w:b w:val="1"/>
                <w:bCs w:val="1"/>
                <w:color w:val="auto"/>
                <w:w w:val="98"/>
              </w:rPr>
              <w:t>Exhibit</w:t>
            </w:r>
          </w:p>
        </w:tc>
        <w:tc>
          <w:tcPr>
            <w:tcW w:w="9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680" w:type="dxa"/>
            <w:vAlign w:val="bottom"/>
          </w:tcPr>
          <w:p>
            <w:pPr>
              <w:jc w:val="center"/>
              <w:ind w:right="259"/>
              <w:spacing w:after="0"/>
              <w:rPr>
                <w:sz w:val="20"/>
                <w:szCs w:val="20"/>
                <w:color w:val="auto"/>
              </w:rPr>
            </w:pPr>
            <w:r>
              <w:rPr>
                <w:rFonts w:ascii="Arial" w:cs="Arial" w:eastAsia="Arial" w:hAnsi="Arial"/>
                <w:sz w:val="14"/>
                <w:szCs w:val="14"/>
                <w:b w:val="1"/>
                <w:bCs w:val="1"/>
                <w:color w:val="auto"/>
                <w:w w:val="97"/>
              </w:rPr>
              <w:t>No.</w:t>
            </w:r>
          </w:p>
        </w:tc>
        <w:tc>
          <w:tcPr>
            <w:tcW w:w="9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680" w:type="dxa"/>
            <w:vAlign w:val="bottom"/>
          </w:tcPr>
          <w:p>
            <w:pPr>
              <w:ind w:left="80"/>
              <w:spacing w:after="0"/>
              <w:rPr>
                <w:sz w:val="20"/>
                <w:szCs w:val="20"/>
                <w:color w:val="auto"/>
              </w:rPr>
            </w:pPr>
            <w:r>
              <w:rPr>
                <w:rFonts w:ascii="Arial" w:cs="Arial" w:eastAsia="Arial" w:hAnsi="Arial"/>
                <w:sz w:val="18"/>
                <w:szCs w:val="18"/>
                <w:color w:val="auto"/>
              </w:rPr>
              <w:t>99.1</w:t>
            </w:r>
          </w:p>
        </w:tc>
        <w:tc>
          <w:tcPr>
            <w:tcW w:w="25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7"/>
              </w:rPr>
              <w:t>Press Release dated July 24, 2023.</w:t>
            </w:r>
          </w:p>
        </w:tc>
        <w:tc>
          <w:tcPr>
            <w:tcW w:w="7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680" w:type="dxa"/>
            <w:vAlign w:val="bottom"/>
          </w:tcPr>
          <w:p>
            <w:pPr>
              <w:ind w:left="80"/>
              <w:spacing w:after="0"/>
              <w:rPr>
                <w:sz w:val="20"/>
                <w:szCs w:val="20"/>
                <w:color w:val="auto"/>
              </w:rPr>
            </w:pPr>
            <w:r>
              <w:rPr>
                <w:rFonts w:ascii="Arial" w:cs="Arial" w:eastAsia="Arial" w:hAnsi="Arial"/>
                <w:sz w:val="18"/>
                <w:szCs w:val="18"/>
                <w:color w:val="auto"/>
              </w:rPr>
              <w:t>104</w:t>
            </w:r>
          </w:p>
        </w:tc>
        <w:tc>
          <w:tcPr>
            <w:tcW w:w="956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1046"/>
        </w:trPr>
        <w:tc>
          <w:tcPr>
            <w:tcW w:w="16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EXAGEN INC.</w:t>
      </w:r>
    </w:p>
    <w:p>
      <w:pPr>
        <w:spacing w:after="0" w:line="283" w:lineRule="exact"/>
        <w:rPr>
          <w:sz w:val="20"/>
          <w:szCs w:val="20"/>
          <w:color w:val="auto"/>
        </w:rPr>
      </w:pPr>
    </w:p>
    <w:p>
      <w:pPr>
        <w:ind w:left="20"/>
        <w:spacing w:after="0"/>
        <w:tabs>
          <w:tab w:leader="none" w:pos="4860" w:val="left"/>
          <w:tab w:leader="none" w:pos="5460" w:val="left"/>
        </w:tabs>
        <w:rPr>
          <w:sz w:val="20"/>
          <w:szCs w:val="20"/>
          <w:color w:val="auto"/>
        </w:rPr>
      </w:pPr>
      <w:r>
        <w:rPr>
          <w:rFonts w:ascii="Arial" w:cs="Arial" w:eastAsia="Arial" w:hAnsi="Arial"/>
          <w:sz w:val="18"/>
          <w:szCs w:val="18"/>
          <w:color w:val="auto"/>
        </w:rPr>
        <w:t>Date: July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23495</wp:posOffset>
            </wp:positionV>
            <wp:extent cx="2640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Kamal Adawi</w:t>
      </w:r>
    </w:p>
    <w:p>
      <w:pPr>
        <w:spacing w:after="0" w:line="3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0920"/>
          </w:cols>
          <w:pgMar w:left="320" w:top="904" w:right="659" w:bottom="1440" w:gutter="0" w:footer="0" w:header="0"/>
        </w:sectPr>
      </w:pPr>
    </w:p>
    <w:bookmarkStart w:id="3" w:name="page4"/>
    <w:bookmarkEnd w:id="3"/>
    <w:p>
      <w:pPr>
        <w:spacing w:after="0" w:line="168" w:lineRule="exact"/>
        <w:rPr>
          <w:sz w:val="20"/>
          <w:szCs w:val="20"/>
          <w:color w:val="auto"/>
        </w:rPr>
      </w:pPr>
    </w:p>
    <w:p>
      <w:pPr>
        <w:ind w:left="10180"/>
        <w:spacing w:after="0"/>
        <w:rPr>
          <w:sz w:val="20"/>
          <w:szCs w:val="20"/>
          <w:color w:val="auto"/>
        </w:rPr>
      </w:pPr>
      <w:r>
        <w:rPr>
          <w:rFonts w:ascii="Arial" w:cs="Arial" w:eastAsia="Arial" w:hAnsi="Arial"/>
          <w:sz w:val="19"/>
          <w:szCs w:val="19"/>
          <w:b w:val="1"/>
          <w:bCs w:val="1"/>
          <w:color w:val="auto"/>
        </w:rPr>
        <w:t>Exhibit 99.1</w:t>
      </w:r>
    </w:p>
    <w:p>
      <w:pPr>
        <w:spacing w:after="0" w:line="255" w:lineRule="exact"/>
        <w:rPr>
          <w:sz w:val="20"/>
          <w:szCs w:val="20"/>
          <w:color w:val="auto"/>
        </w:rPr>
      </w:pPr>
    </w:p>
    <w:p>
      <w:pPr>
        <w:ind w:right="280"/>
        <w:spacing w:after="0" w:line="279" w:lineRule="auto"/>
        <w:rPr>
          <w:sz w:val="20"/>
          <w:szCs w:val="20"/>
          <w:color w:val="auto"/>
        </w:rPr>
      </w:pPr>
      <w:r>
        <w:rPr>
          <w:rFonts w:ascii="Arial" w:cs="Arial" w:eastAsia="Arial" w:hAnsi="Arial"/>
          <w:sz w:val="54"/>
          <w:szCs w:val="54"/>
          <w:b w:val="1"/>
          <w:bCs w:val="1"/>
          <w:color w:val="00467F"/>
        </w:rPr>
        <w:t>Exagen Inc. Appoints Paul Kim to Board of Directors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July 24, 2023 at 9:00 AM EDT</w:t>
      </w:r>
    </w:p>
    <w:p>
      <w:pPr>
        <w:spacing w:after="0" w:line="220" w:lineRule="exact"/>
        <w:rPr>
          <w:sz w:val="20"/>
          <w:szCs w:val="20"/>
          <w:color w:val="auto"/>
        </w:rPr>
      </w:pPr>
    </w:p>
    <w:p>
      <w:pPr>
        <w:ind w:right="20"/>
        <w:spacing w:after="0" w:line="325" w:lineRule="auto"/>
        <w:rPr>
          <w:sz w:val="20"/>
          <w:szCs w:val="20"/>
          <w:color w:val="auto"/>
        </w:rPr>
      </w:pPr>
      <w:r>
        <w:rPr>
          <w:rFonts w:ascii="Arial" w:cs="Arial" w:eastAsia="Arial" w:hAnsi="Arial"/>
          <w:sz w:val="19"/>
          <w:szCs w:val="19"/>
          <w:color w:val="auto"/>
        </w:rPr>
        <w:t>SAN DIEGO, July 24, 2023 (GLOBE NEWSWIRE) -- Exagen Inc. (Nasdaq: XGN), a leading provider of autoimmune testng solutons, announced today that Paul Kim has been appointed as a member of the Exagen Board of Directors, efectve July 24, 2023.</w:t>
      </w:r>
    </w:p>
    <w:p>
      <w:pPr>
        <w:spacing w:after="0" w:line="110" w:lineRule="exact"/>
        <w:rPr>
          <w:sz w:val="20"/>
          <w:szCs w:val="20"/>
          <w:color w:val="auto"/>
        </w:rPr>
      </w:pPr>
    </w:p>
    <w:p>
      <w:pPr>
        <w:ind w:right="40"/>
        <w:spacing w:after="0" w:line="255" w:lineRule="auto"/>
        <w:rPr>
          <w:sz w:val="20"/>
          <w:szCs w:val="20"/>
          <w:color w:val="auto"/>
        </w:rPr>
      </w:pPr>
      <w:r>
        <w:rPr>
          <w:rFonts w:ascii="Arial" w:cs="Arial" w:eastAsia="Arial" w:hAnsi="Arial"/>
          <w:sz w:val="21"/>
          <w:szCs w:val="21"/>
          <w:color w:val="auto"/>
        </w:rPr>
        <w:t>Mr. Kim currently serves as Chief Financial Ofcer of Fulgent Genetcs (Nasdaq: FLGT), a full-service genomic testng company built around a foundatonal technology platorm. He has held that positon since February 2016 and led growth initatves increasing revenues from $10M in 2015 to $990M in 2021, during the COVID-19 era. Mr. Kim has over 30 years working in accountng and fnance, and over 15 years as a Chief Financial Ofcer of several publicly traded companies. Mr. Kim is a Certfed Public Accountant and a graduate of the University of California at Berkeley.</w:t>
      </w:r>
    </w:p>
    <w:p>
      <w:pPr>
        <w:spacing w:after="0" w:line="175"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“We are thrilled to welcome Paul to our Board of Directors at Exagen. His leadership experience and background in operatng proftable, sound businesses is invaluable,” said John Aballi, President and CEO of Exagen. “I look forward to learning from his 30 plus years of leadership in business.”</w:t>
      </w:r>
    </w:p>
    <w:p>
      <w:pPr>
        <w:spacing w:after="0" w:line="184" w:lineRule="exact"/>
        <w:rPr>
          <w:sz w:val="20"/>
          <w:szCs w:val="20"/>
          <w:color w:val="auto"/>
        </w:rPr>
      </w:pPr>
    </w:p>
    <w:p>
      <w:pPr>
        <w:ind w:right="100"/>
        <w:spacing w:after="0" w:line="245" w:lineRule="auto"/>
        <w:rPr>
          <w:sz w:val="20"/>
          <w:szCs w:val="20"/>
          <w:color w:val="auto"/>
        </w:rPr>
      </w:pPr>
      <w:r>
        <w:rPr>
          <w:rFonts w:ascii="Arial" w:cs="Arial" w:eastAsia="Arial" w:hAnsi="Arial"/>
          <w:sz w:val="22"/>
          <w:szCs w:val="22"/>
          <w:color w:val="auto"/>
        </w:rPr>
        <w:t>“I am delighted to join the Board of Directors at Exagen,” said Paul Kim. “The Company has accomplished an enormous amount over the past few years, cementng its foothold in the large and underserved autoimmune disease market. What has impressed me most is its IP-protected technology and proven utlity of products. Those with John’s leadership and overall strategy, which include business and operatonal goals, is a recipe for success.”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Exagen Inc.</w:t>
      </w:r>
    </w:p>
    <w:p>
      <w:pPr>
        <w:spacing w:after="0" w:line="208" w:lineRule="exact"/>
        <w:rPr>
          <w:sz w:val="20"/>
          <w:szCs w:val="20"/>
          <w:color w:val="auto"/>
        </w:rPr>
      </w:pPr>
    </w:p>
    <w:p>
      <w:pPr>
        <w:ind w:right="300"/>
        <w:spacing w:after="0" w:line="238" w:lineRule="auto"/>
        <w:rPr>
          <w:sz w:val="20"/>
          <w:szCs w:val="20"/>
          <w:color w:val="auto"/>
        </w:rPr>
      </w:pPr>
      <w:r>
        <w:rPr>
          <w:rFonts w:ascii="Arial" w:cs="Arial" w:eastAsia="Arial" w:hAnsi="Arial"/>
          <w:sz w:val="21"/>
          <w:szCs w:val="21"/>
          <w:color w:val="auto"/>
        </w:rPr>
        <w:t>Exagen is a leading provider of autoimmune diagnostc, prognostc, and monitoring testng solutons. Exagen is a patent focused, discovery driven organizaton built on the success of AVISE</w:t>
      </w:r>
      <w:r>
        <w:rPr>
          <w:rFonts w:ascii="Arial" w:cs="Arial" w:eastAsia="Arial" w:hAnsi="Arial"/>
          <w:sz w:val="27"/>
          <w:szCs w:val="27"/>
          <w:color w:val="auto"/>
          <w:vertAlign w:val="superscript"/>
        </w:rPr>
        <w:t>®</w:t>
      </w:r>
      <w:r>
        <w:rPr>
          <w:rFonts w:ascii="Arial" w:cs="Arial" w:eastAsia="Arial" w:hAnsi="Arial"/>
          <w:sz w:val="21"/>
          <w:szCs w:val="21"/>
          <w:color w:val="auto"/>
        </w:rPr>
        <w:t xml:space="preserve"> testng and is investng in its product pipeline to support patents throughout their autoimmune diagnosis and treatment journeys. The goal at Exagen is to assist patents, physicians, and payors by enabling precision medicine. Exagen is located in San Diego County.</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informaton, please visit Exagen.com and follow @ExagenInc on Twiter.</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76" w:lineRule="exact"/>
        <w:rPr>
          <w:sz w:val="20"/>
          <w:szCs w:val="20"/>
          <w:color w:val="auto"/>
        </w:rPr>
      </w:pPr>
    </w:p>
    <w:p>
      <w:pPr>
        <w:jc w:val="both"/>
        <w:ind w:right="80"/>
        <w:spacing w:after="0" w:line="239" w:lineRule="auto"/>
        <w:rPr>
          <w:sz w:val="20"/>
          <w:szCs w:val="20"/>
          <w:color w:val="auto"/>
        </w:rPr>
      </w:pPr>
      <w:r>
        <w:rPr>
          <w:rFonts w:ascii="Arial" w:cs="Arial" w:eastAsia="Arial" w:hAnsi="Arial"/>
          <w:sz w:val="22"/>
          <w:szCs w:val="22"/>
          <w:color w:val="auto"/>
        </w:rPr>
        <w:t>Exagen cautons you that statements contained in this press release regarding maters that are not historical facts are forward-looking statements. These statements are based on Exagen's current beliefs and expectatons. Such forward-looking statements include, but are not limited</w:t>
      </w:r>
    </w:p>
    <w:p>
      <w:pPr>
        <w:sectPr>
          <w:pgSz w:w="11900" w:h="16838" w:orient="portrait"/>
          <w:cols w:equalWidth="0" w:num="1">
            <w:col w:w="11240"/>
          </w:cols>
          <w:pgMar w:left="320" w:top="1440" w:right="339" w:bottom="1440" w:gutter="0" w:footer="0" w:header="0"/>
        </w:sectPr>
      </w:pPr>
    </w:p>
    <w:bookmarkStart w:id="4" w:name="page5"/>
    <w:bookmarkEnd w:id="4"/>
    <w:p>
      <w:pPr>
        <w:spacing w:after="0" w:line="268" w:lineRule="auto"/>
        <w:rPr>
          <w:sz w:val="20"/>
          <w:szCs w:val="20"/>
          <w:color w:val="auto"/>
        </w:rPr>
      </w:pPr>
      <w:r>
        <w:rPr>
          <w:rFonts w:ascii="Arial" w:cs="Arial" w:eastAsia="Arial" w:hAnsi="Arial"/>
          <w:sz w:val="19"/>
          <w:szCs w:val="19"/>
          <w:color w:val="auto"/>
        </w:rPr>
        <w:t>to, statements regarding: Exagen's goals and strategies; the potental utlity and efectveness of Exagen's services and testng solutons that are currently available or in its development pipeline; the expected benefts of Mr. Kim’s positon with Exagen; the size of and Exagen’s compettve advantage within the autoimmune disease market; and Exagen's potental growth and success and its ability to contnue to grow and succeed. The inclusion of forward-looking statements should not be regarded as a representaton by Exagen that any of its plans will be achieved. Actual results may difer from those set forth in this press release due to the risks and uncertaintes inherent in Exagen’s business, including, without limitaton: delays in reimbursement and coverage decisions from Medicare and third-party payors and in interactons with regulatory authorites, and delays in ongoing and planned clinical trials involving its tests; Exagen’s commercial success depends upon ataining and maintaining signifcant market acceptance of its testng products among rheumatologists, patents, third-party payors and others in the medical community; Exagen’s ability to successfully execute on its business strategies; third party payors not providing coverage and adequate reimbursement for Exagen’s testng products, including Exagen’s ability to collect on funds due; Exagen’s ability to obtain and maintain intellectual property protecton for its testng products; regulatory developments afectng Exagen’s business; and other risks described in Exagen’s prior press releases and Exagen’s flings with the Securites and Exchange Commission (“SEC”), including under the heading “Risk Factors” in Exagen’s Annual Report on Form 10-K for the year ended December 31, 2022 and any subsequent flings with the SEC. You are cautoned not to place undue reliance on these forward-looking statements, which speak only as of the date hereof, and Exagen undertakes no obligaton to update such statements to refect events that occur or circumstances that exist afer the date hereof. All forward-looking statements are qualifed in their entrety by this cautonary statement, which is made under the safe harbor provisions of the Private Securites Litgaton Reform Act of 1995.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 Relatons</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Exagen Inc.</w:t>
      </w:r>
    </w:p>
    <w:p>
      <w:pPr>
        <w:spacing w:after="0"/>
        <w:rPr>
          <w:sz w:val="20"/>
          <w:szCs w:val="20"/>
          <w:color w:val="auto"/>
        </w:rPr>
      </w:pPr>
      <w:r>
        <w:rPr>
          <w:rFonts w:ascii="Arial" w:cs="Arial" w:eastAsia="Arial" w:hAnsi="Arial"/>
          <w:sz w:val="22"/>
          <w:szCs w:val="22"/>
          <w:color w:val="auto"/>
        </w:rPr>
        <w:t>Ryan Douglas</w:t>
      </w:r>
    </w:p>
    <w:p>
      <w:pPr>
        <w:spacing w:after="0" w:line="233" w:lineRule="auto"/>
        <w:rPr>
          <w:sz w:val="20"/>
          <w:szCs w:val="20"/>
          <w:color w:val="auto"/>
        </w:rPr>
      </w:pPr>
      <w:r>
        <w:rPr>
          <w:rFonts w:ascii="Arial" w:cs="Arial" w:eastAsia="Arial" w:hAnsi="Arial"/>
          <w:sz w:val="22"/>
          <w:szCs w:val="22"/>
          <w:color w:val="auto"/>
        </w:rPr>
        <w:t>rdouglas@exagen.com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760.560.1525</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Exagen Inc.</w:t>
      </w:r>
    </w:p>
    <w:p>
      <w:pPr>
        <w:spacing w:after="0"/>
        <w:rPr>
          <w:sz w:val="20"/>
          <w:szCs w:val="20"/>
          <w:color w:val="auto"/>
        </w:rPr>
      </w:pPr>
      <w:r>
        <w:rPr>
          <w:rFonts w:ascii="Arial" w:cs="Arial" w:eastAsia="Arial" w:hAnsi="Arial"/>
          <w:sz w:val="22"/>
          <w:szCs w:val="22"/>
          <w:color w:val="auto"/>
        </w:rPr>
        <w:t>Kamal Adawi, Chief Financial Ofcer</w:t>
      </w:r>
    </w:p>
    <w:p>
      <w:pPr>
        <w:spacing w:after="0" w:line="233" w:lineRule="auto"/>
        <w:rPr>
          <w:sz w:val="20"/>
          <w:szCs w:val="20"/>
          <w:color w:val="auto"/>
        </w:rPr>
      </w:pPr>
      <w:r>
        <w:rPr>
          <w:rFonts w:ascii="Arial" w:cs="Arial" w:eastAsia="Arial" w:hAnsi="Arial"/>
          <w:sz w:val="22"/>
          <w:szCs w:val="22"/>
          <w:color w:val="auto"/>
        </w:rPr>
        <w:t>kadawi@exagen.com</w:t>
      </w:r>
    </w:p>
    <w:sectPr>
      <w:pgSz w:w="11900" w:h="16838" w:orient="portrait"/>
      <w:cols w:equalWidth="0" w:num="1">
        <w:col w:w="11220"/>
      </w:cols>
      <w:pgMar w:left="320" w:top="13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9" Type="http://schemas.openxmlformats.org/officeDocument/2006/relationships/hyperlink" Target="https://www.sec.gov/Archives/edgar/data/1274737/000119312519240403/d692844dex1038.htm" TargetMode="External"/><Relationship Id="rId10" Type="http://schemas.openxmlformats.org/officeDocument/2006/relationships/hyperlink" Target="https://www.sec.gov/Archives/edgar/data/1274737/000119312519228011/d692844dex10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2023-07-24T15:12:25Z</dcterms:created>
  <dcterms:modified xsi:type="dcterms:W3CDTF">2023-07-24T15:12:25Z</dcterms:modified>
</cp:coreProperties>
</file>