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9, 2023</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40" w:space="720"/>
            <w:col w:w="254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3"/>
          <w:szCs w:val="13"/>
          <w:b w:val="1"/>
          <w:bCs w:val="1"/>
          <w:color w:val="auto"/>
        </w:rPr>
        <w:t>(State or other jurisdiction</w:t>
      </w:r>
    </w:p>
    <w:p>
      <w:pPr>
        <w:spacing w:after="0" w:line="37"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4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jc w:val="center"/>
        <w:ind w:right="15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520" w:space="720"/>
            <w:col w:w="2680"/>
          </w:cols>
          <w:pgMar w:left="320" w:top="1259" w:right="339" w:bottom="1440" w:gutter="0" w:footer="0" w:header="0"/>
          <w:type w:val="continuous"/>
        </w:sectPr>
      </w:pP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51"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80" w:type="dxa"/>
            <w:vAlign w:val="bottom"/>
          </w:tcPr>
          <w:p>
            <w:pPr>
              <w:spacing w:after="0"/>
              <w:rPr>
                <w:sz w:val="15"/>
                <w:szCs w:val="15"/>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3"/>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8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28"/>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rPr>
              <w:t>XGN</w:t>
            </w:r>
          </w:p>
        </w:tc>
        <w:tc>
          <w:tcPr>
            <w:tcW w:w="18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55" w:lineRule="exact"/>
        <w:rPr>
          <w:sz w:val="24"/>
          <w:szCs w:val="24"/>
          <w:color w:val="auto"/>
        </w:rPr>
      </w:pPr>
    </w:p>
    <w:p>
      <w:pPr>
        <w:ind w:right="80"/>
        <w:spacing w:after="0" w:line="228"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9" w:lineRule="exact"/>
        <w:rPr>
          <w:sz w:val="24"/>
          <w:szCs w:val="24"/>
          <w:color w:val="auto"/>
        </w:rPr>
      </w:pPr>
    </w:p>
    <w:p>
      <w:pPr>
        <w:ind w:right="580"/>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Exagen Inc. (the "Company") held its 2023 annual meeting of stockholders (the "Annual Meeting") on June 9, 2023. At the Annual Meeting, the Company's stockholders voted on two proposals, as described below. Each of the proposals was described in detail in the Company's definitive proxy statement on Schedule 14A filed with the U.S. Securities and Exchange Commission on April 28, 2023. The vote totals noted below are final voting results from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Proposal 1</w:t>
      </w:r>
    </w:p>
    <w:p>
      <w:pPr>
        <w:spacing w:after="0" w:line="17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Company's stockholders elected the following three Class I directors for a three-year term of office expiring at the Company's 2026 annual meeting of stockholders and until their successors are duly elected and qualified or until such director's earlier death, resignation or removal.</w:t>
      </w:r>
    </w:p>
    <w:p>
      <w:pPr>
        <w:spacing w:after="0" w:line="116"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3"/>
              </w:rPr>
              <w:t>Name</w:t>
            </w: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Votes For</w:t>
            </w:r>
          </w:p>
        </w:tc>
        <w:tc>
          <w:tcPr>
            <w:tcW w:w="2100" w:type="dxa"/>
            <w:vAlign w:val="bottom"/>
            <w:gridSpan w:val="2"/>
          </w:tcPr>
          <w:p>
            <w:pPr>
              <w:jc w:val="center"/>
              <w:ind w:left="830"/>
              <w:spacing w:after="0"/>
              <w:rPr>
                <w:sz w:val="20"/>
                <w:szCs w:val="20"/>
                <w:color w:val="auto"/>
              </w:rPr>
            </w:pPr>
            <w:r>
              <w:rPr>
                <w:rFonts w:ascii="Arial" w:cs="Arial" w:eastAsia="Arial" w:hAnsi="Arial"/>
                <w:sz w:val="18"/>
                <w:szCs w:val="18"/>
                <w:b w:val="1"/>
                <w:bCs w:val="1"/>
                <w:color w:val="auto"/>
                <w:w w:val="90"/>
              </w:rPr>
              <w:t>Votes Withheld</w:t>
            </w:r>
          </w:p>
        </w:tc>
        <w:tc>
          <w:tcPr>
            <w:tcW w:w="2640" w:type="dxa"/>
            <w:vAlign w:val="bottom"/>
            <w:gridSpan w:val="2"/>
          </w:tcPr>
          <w:p>
            <w:pPr>
              <w:jc w:val="center"/>
              <w:ind w:left="1170"/>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50"/>
        </w:trPr>
        <w:tc>
          <w:tcPr>
            <w:tcW w:w="2600" w:type="dxa"/>
            <w:vAlign w:val="bottom"/>
            <w:gridSpan w:val="3"/>
          </w:tcPr>
          <w:p>
            <w:pPr>
              <w:jc w:val="center"/>
              <w:ind w:right="920"/>
              <w:spacing w:after="0"/>
              <w:rPr>
                <w:sz w:val="20"/>
                <w:szCs w:val="20"/>
                <w:color w:val="auto"/>
              </w:rPr>
            </w:pPr>
            <w:r>
              <w:rPr>
                <w:rFonts w:ascii="Arial" w:cs="Arial" w:eastAsia="Arial" w:hAnsi="Arial"/>
                <w:sz w:val="18"/>
                <w:szCs w:val="18"/>
                <w:color w:val="auto"/>
                <w:w w:val="97"/>
              </w:rPr>
              <w:t>Brian Birk</w:t>
            </w:r>
          </w:p>
        </w:tc>
        <w:tc>
          <w:tcPr>
            <w:tcW w:w="2680" w:type="dxa"/>
            <w:vAlign w:val="bottom"/>
            <w:gridSpan w:val="3"/>
          </w:tcPr>
          <w:p>
            <w:pPr>
              <w:jc w:val="center"/>
              <w:spacing w:after="0"/>
              <w:rPr>
                <w:sz w:val="20"/>
                <w:szCs w:val="20"/>
                <w:color w:val="auto"/>
              </w:rPr>
            </w:pPr>
            <w:r>
              <w:rPr>
                <w:rFonts w:ascii="Arial" w:cs="Arial" w:eastAsia="Arial" w:hAnsi="Arial"/>
                <w:sz w:val="18"/>
                <w:szCs w:val="18"/>
                <w:color w:val="auto"/>
                <w:w w:val="90"/>
              </w:rPr>
              <w:t>10,235,097</w:t>
            </w:r>
          </w:p>
        </w:tc>
        <w:tc>
          <w:tcPr>
            <w:tcW w:w="2100" w:type="dxa"/>
            <w:vAlign w:val="bottom"/>
            <w:gridSpan w:val="2"/>
          </w:tcPr>
          <w:p>
            <w:pPr>
              <w:jc w:val="center"/>
              <w:ind w:left="830"/>
              <w:spacing w:after="0"/>
              <w:rPr>
                <w:sz w:val="20"/>
                <w:szCs w:val="20"/>
                <w:color w:val="auto"/>
              </w:rPr>
            </w:pPr>
            <w:r>
              <w:rPr>
                <w:rFonts w:ascii="Arial" w:cs="Arial" w:eastAsia="Arial" w:hAnsi="Arial"/>
                <w:sz w:val="18"/>
                <w:szCs w:val="18"/>
                <w:color w:val="auto"/>
                <w:w w:val="89"/>
              </w:rPr>
              <w:t>412,248</w:t>
            </w:r>
          </w:p>
        </w:tc>
        <w:tc>
          <w:tcPr>
            <w:tcW w:w="2640" w:type="dxa"/>
            <w:vAlign w:val="bottom"/>
            <w:gridSpan w:val="2"/>
          </w:tcPr>
          <w:p>
            <w:pPr>
              <w:jc w:val="center"/>
              <w:ind w:left="1190"/>
              <w:spacing w:after="0"/>
              <w:rPr>
                <w:sz w:val="20"/>
                <w:szCs w:val="20"/>
                <w:color w:val="auto"/>
              </w:rPr>
            </w:pPr>
            <w:r>
              <w:rPr>
                <w:rFonts w:ascii="Arial" w:cs="Arial" w:eastAsia="Arial" w:hAnsi="Arial"/>
                <w:sz w:val="18"/>
                <w:szCs w:val="18"/>
                <w:color w:val="auto"/>
                <w:w w:val="89"/>
              </w:rPr>
              <w:t>2,862,201</w:t>
            </w:r>
          </w:p>
        </w:tc>
      </w:tr>
      <w:tr>
        <w:trPr>
          <w:trHeight w:val="242"/>
        </w:trPr>
        <w:tc>
          <w:tcPr>
            <w:tcW w:w="2600" w:type="dxa"/>
            <w:vAlign w:val="bottom"/>
            <w:gridSpan w:val="3"/>
          </w:tcPr>
          <w:p>
            <w:pPr>
              <w:jc w:val="center"/>
              <w:ind w:right="940"/>
              <w:spacing w:after="0"/>
              <w:rPr>
                <w:sz w:val="20"/>
                <w:szCs w:val="20"/>
                <w:color w:val="auto"/>
              </w:rPr>
            </w:pPr>
            <w:r>
              <w:rPr>
                <w:rFonts w:ascii="Arial" w:cs="Arial" w:eastAsia="Arial" w:hAnsi="Arial"/>
                <w:sz w:val="18"/>
                <w:szCs w:val="18"/>
                <w:color w:val="auto"/>
                <w:w w:val="91"/>
              </w:rPr>
              <w:t>Tina S. Nova, Ph.D.</w:t>
            </w:r>
          </w:p>
        </w:tc>
        <w:tc>
          <w:tcPr>
            <w:tcW w:w="2680" w:type="dxa"/>
            <w:vAlign w:val="bottom"/>
            <w:gridSpan w:val="3"/>
          </w:tcPr>
          <w:p>
            <w:pPr>
              <w:jc w:val="center"/>
              <w:spacing w:after="0"/>
              <w:rPr>
                <w:sz w:val="20"/>
                <w:szCs w:val="20"/>
                <w:color w:val="auto"/>
              </w:rPr>
            </w:pPr>
            <w:r>
              <w:rPr>
                <w:rFonts w:ascii="Arial" w:cs="Arial" w:eastAsia="Arial" w:hAnsi="Arial"/>
                <w:sz w:val="18"/>
                <w:szCs w:val="18"/>
                <w:color w:val="auto"/>
                <w:w w:val="90"/>
              </w:rPr>
              <w:t>10,515,263</w:t>
            </w:r>
          </w:p>
        </w:tc>
        <w:tc>
          <w:tcPr>
            <w:tcW w:w="2100" w:type="dxa"/>
            <w:vAlign w:val="bottom"/>
            <w:gridSpan w:val="2"/>
          </w:tcPr>
          <w:p>
            <w:pPr>
              <w:jc w:val="center"/>
              <w:ind w:left="830"/>
              <w:spacing w:after="0"/>
              <w:rPr>
                <w:sz w:val="20"/>
                <w:szCs w:val="20"/>
                <w:color w:val="auto"/>
              </w:rPr>
            </w:pPr>
            <w:r>
              <w:rPr>
                <w:rFonts w:ascii="Arial" w:cs="Arial" w:eastAsia="Arial" w:hAnsi="Arial"/>
                <w:sz w:val="18"/>
                <w:szCs w:val="18"/>
                <w:color w:val="auto"/>
                <w:w w:val="89"/>
              </w:rPr>
              <w:t>132,082</w:t>
            </w:r>
          </w:p>
        </w:tc>
        <w:tc>
          <w:tcPr>
            <w:tcW w:w="2640" w:type="dxa"/>
            <w:vAlign w:val="bottom"/>
            <w:gridSpan w:val="2"/>
          </w:tcPr>
          <w:p>
            <w:pPr>
              <w:jc w:val="center"/>
              <w:ind w:left="1190"/>
              <w:spacing w:after="0"/>
              <w:rPr>
                <w:sz w:val="20"/>
                <w:szCs w:val="20"/>
                <w:color w:val="auto"/>
              </w:rPr>
            </w:pPr>
            <w:r>
              <w:rPr>
                <w:rFonts w:ascii="Arial" w:cs="Arial" w:eastAsia="Arial" w:hAnsi="Arial"/>
                <w:sz w:val="18"/>
                <w:szCs w:val="18"/>
                <w:color w:val="auto"/>
                <w:w w:val="89"/>
              </w:rPr>
              <w:t>2,862,201</w:t>
            </w:r>
          </w:p>
        </w:tc>
      </w:tr>
      <w:tr>
        <w:trPr>
          <w:trHeight w:val="230"/>
        </w:trPr>
        <w:tc>
          <w:tcPr>
            <w:tcW w:w="2600" w:type="dxa"/>
            <w:vAlign w:val="bottom"/>
            <w:gridSpan w:val="3"/>
          </w:tcPr>
          <w:p>
            <w:pPr>
              <w:jc w:val="center"/>
              <w:ind w:right="940"/>
              <w:spacing w:after="0"/>
              <w:rPr>
                <w:sz w:val="20"/>
                <w:szCs w:val="20"/>
                <w:color w:val="auto"/>
              </w:rPr>
            </w:pPr>
            <w:r>
              <w:rPr>
                <w:rFonts w:ascii="Arial" w:cs="Arial" w:eastAsia="Arial" w:hAnsi="Arial"/>
                <w:sz w:val="18"/>
                <w:szCs w:val="18"/>
                <w:color w:val="auto"/>
                <w:w w:val="89"/>
              </w:rPr>
              <w:t>Ebetuel Pallares, Ph.D.</w:t>
            </w:r>
          </w:p>
        </w:tc>
        <w:tc>
          <w:tcPr>
            <w:tcW w:w="2680" w:type="dxa"/>
            <w:vAlign w:val="bottom"/>
            <w:gridSpan w:val="3"/>
          </w:tcPr>
          <w:p>
            <w:pPr>
              <w:jc w:val="center"/>
              <w:spacing w:after="0"/>
              <w:rPr>
                <w:sz w:val="20"/>
                <w:szCs w:val="20"/>
                <w:color w:val="auto"/>
              </w:rPr>
            </w:pPr>
            <w:r>
              <w:rPr>
                <w:rFonts w:ascii="Arial" w:cs="Arial" w:eastAsia="Arial" w:hAnsi="Arial"/>
                <w:sz w:val="18"/>
                <w:szCs w:val="18"/>
                <w:color w:val="auto"/>
                <w:w w:val="90"/>
              </w:rPr>
              <w:t>10,306,011</w:t>
            </w:r>
          </w:p>
        </w:tc>
        <w:tc>
          <w:tcPr>
            <w:tcW w:w="2100" w:type="dxa"/>
            <w:vAlign w:val="bottom"/>
            <w:gridSpan w:val="2"/>
          </w:tcPr>
          <w:p>
            <w:pPr>
              <w:jc w:val="center"/>
              <w:ind w:left="830"/>
              <w:spacing w:after="0"/>
              <w:rPr>
                <w:sz w:val="20"/>
                <w:szCs w:val="20"/>
                <w:color w:val="auto"/>
              </w:rPr>
            </w:pPr>
            <w:r>
              <w:rPr>
                <w:rFonts w:ascii="Arial" w:cs="Arial" w:eastAsia="Arial" w:hAnsi="Arial"/>
                <w:sz w:val="18"/>
                <w:szCs w:val="18"/>
                <w:color w:val="auto"/>
                <w:w w:val="89"/>
              </w:rPr>
              <w:t>341,334</w:t>
            </w:r>
          </w:p>
        </w:tc>
        <w:tc>
          <w:tcPr>
            <w:tcW w:w="2640" w:type="dxa"/>
            <w:vAlign w:val="bottom"/>
            <w:gridSpan w:val="2"/>
          </w:tcPr>
          <w:p>
            <w:pPr>
              <w:jc w:val="center"/>
              <w:ind w:left="1190"/>
              <w:spacing w:after="0"/>
              <w:rPr>
                <w:sz w:val="20"/>
                <w:szCs w:val="20"/>
                <w:color w:val="auto"/>
              </w:rPr>
            </w:pPr>
            <w:r>
              <w:rPr>
                <w:rFonts w:ascii="Arial" w:cs="Arial" w:eastAsia="Arial" w:hAnsi="Arial"/>
                <w:sz w:val="18"/>
                <w:szCs w:val="18"/>
                <w:color w:val="auto"/>
                <w:w w:val="89"/>
              </w:rPr>
              <w:t>2,862,201</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Proposal 2</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stockholders ratified the appointment of BDO USA, LLP as the Company's independent registered public accounting firm for the fiscal year ending December 31,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2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4"/>
              </w:rPr>
              <w:t>Votes Against</w:t>
            </w:r>
          </w:p>
        </w:tc>
        <w:tc>
          <w:tcPr>
            <w:tcW w:w="18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330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4140" w:type="dxa"/>
            <w:vAlign w:val="bottom"/>
            <w:gridSpan w:val="3"/>
          </w:tcPr>
          <w:p>
            <w:pPr>
              <w:jc w:val="right"/>
              <w:ind w:right="2220"/>
              <w:spacing w:after="0"/>
              <w:rPr>
                <w:sz w:val="20"/>
                <w:szCs w:val="20"/>
                <w:color w:val="auto"/>
              </w:rPr>
            </w:pPr>
            <w:r>
              <w:rPr>
                <w:rFonts w:ascii="Arial" w:cs="Arial" w:eastAsia="Arial" w:hAnsi="Arial"/>
                <w:sz w:val="18"/>
                <w:szCs w:val="18"/>
                <w:color w:val="auto"/>
              </w:rPr>
              <w:t>13,481,521</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2,643</w:t>
            </w:r>
          </w:p>
        </w:tc>
        <w:tc>
          <w:tcPr>
            <w:tcW w:w="2780" w:type="dxa"/>
            <w:vAlign w:val="bottom"/>
            <w:gridSpan w:val="2"/>
          </w:tcPr>
          <w:p>
            <w:pPr>
              <w:jc w:val="right"/>
              <w:ind w:right="110"/>
              <w:spacing w:after="0"/>
              <w:rPr>
                <w:sz w:val="20"/>
                <w:szCs w:val="20"/>
                <w:color w:val="auto"/>
              </w:rPr>
            </w:pPr>
            <w:r>
              <w:rPr>
                <w:rFonts w:ascii="Arial" w:cs="Arial" w:eastAsia="Arial" w:hAnsi="Arial"/>
                <w:sz w:val="18"/>
                <w:szCs w:val="18"/>
                <w:color w:val="auto"/>
              </w:rPr>
              <w:t>25,382</w:t>
            </w:r>
          </w:p>
        </w:tc>
        <w:tc>
          <w:tcPr>
            <w:tcW w:w="1400" w:type="dxa"/>
            <w:vAlign w:val="bottom"/>
          </w:tcPr>
          <w:p>
            <w:pPr>
              <w:spacing w:after="0"/>
              <w:rPr>
                <w:sz w:val="21"/>
                <w:szCs w:val="21"/>
                <w:color w:val="auto"/>
              </w:rPr>
            </w:pPr>
          </w:p>
        </w:tc>
        <w:tc>
          <w:tcPr>
            <w:tcW w:w="190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r>
      <w:tr>
        <w:trPr>
          <w:trHeight w:val="1586"/>
        </w:trPr>
        <w:tc>
          <w:tcPr>
            <w:tcW w:w="1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800" w:val="left"/>
        </w:tabs>
        <w:rPr>
          <w:sz w:val="20"/>
          <w:szCs w:val="20"/>
          <w:color w:val="auto"/>
        </w:rPr>
      </w:pPr>
      <w:r>
        <w:rPr>
          <w:rFonts w:ascii="Arial" w:cs="Arial" w:eastAsia="Arial" w:hAnsi="Arial"/>
          <w:sz w:val="18"/>
          <w:szCs w:val="18"/>
          <w:color w:val="auto"/>
        </w:rPr>
        <w:t>Date: June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23495</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00"/>
      </w:cols>
      <w:pgMar w:left="320" w:top="109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2023-06-14T16:00:36Z</dcterms:created>
  <dcterms:modified xsi:type="dcterms:W3CDTF">2023-06-14T16:00:36Z</dcterms:modified>
</cp:coreProperties>
</file>