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30068X103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1,148,768.00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1,148,768.00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1,148,768.00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30068X103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1,148,768.00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1,148,768.00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1,148,768.00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Exagen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1261 Liberty Way, Vista, CA, 92081.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4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the Shares (as defined in Item 2(d) below)</w:t>
      </w:r>
    </w:p>
    <w:p>
      <w:pPr>
        <w:spacing w:after="0" w:line="1" w:lineRule="exact"/>
        <w:rPr>
          <w:sz w:val="20"/>
          <w:szCs w:val="20"/>
          <w:color w:val="auto"/>
        </w:rPr>
      </w:pPr>
    </w:p>
    <w:p>
      <w:pPr>
        <w:ind w:left="920" w:right="180" w:hanging="912"/>
        <w:spacing w:after="0" w:line="233"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40 10th Avenue, Floor 7, New York, New York 10014.</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30068X103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80"/>
          </w:cols>
          <w:pgMar w:left="360" w:top="126" w:right="459" w:bottom="194" w:gutter="0" w:footer="0" w:header="0"/>
        </w:sectPr>
      </w:pPr>
    </w:p>
    <w:bookmarkStart w:id="3" w:name="page4"/>
    <w:bookmarkEnd w:id="3"/>
    <w:p>
      <w:pPr>
        <w:ind w:left="920" w:right="20"/>
        <w:spacing w:after="0" w:line="234" w:lineRule="auto"/>
        <w:rPr>
          <w:sz w:val="20"/>
          <w:szCs w:val="20"/>
          <w:color w:val="auto"/>
        </w:rPr>
      </w:pPr>
      <w:r>
        <w:rPr>
          <w:rFonts w:ascii="Times New Roman" w:cs="Times New Roman" w:eastAsia="Times New Roman" w:hAnsi="Times New Roman"/>
          <w:sz w:val="22"/>
          <w:szCs w:val="22"/>
          <w:color w:val="auto"/>
        </w:rPr>
        <w:t>The information required by Items 4(a) - (c) is set forth in Rows 5 - 11 of the cover page for each of the Reporting Persons and is incorporated herein by reference. The amounts reported herein assume the exercise of warrants held by the Reporting Persons to purchase 358,306 Shares (the "Warrants"), the maximum amount that may be exercised given the current number of outstanding shares and the shares held by the Reporting Persons. Pursuant to the terms of the Warrants, the Reporting Persons cannot exercise any of the Warrants to the extent the Reporting Persons would beneficially own, after any such exercise, more than 4.99% of the outstanding Shares. The percentages set forth herein are calculated based upon 22,663,099 Shares outstanding as of October 31, 2025, as reported in the Company's Quarterly Report on Form 10-Q for the quarterly period ended September 30, 2025, filed with the Securities and Exchange Commission on November 4, 2025, and assume the exercise of Warrants held by the Reporting Persons to purchase 358,306 Shares.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RTW Investments: 4.99% Dr. Wong: 4.99%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RTW Investments: 0 Dr. Wong: 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1,148,768 Shares Dr. Wong: 1,148,768 Shares</w:t>
      </w:r>
    </w:p>
    <w:p>
      <w:pPr>
        <w:spacing w:after="0" w:line="287" w:lineRule="exact"/>
        <w:rPr>
          <w:sz w:val="20"/>
          <w:szCs w:val="20"/>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right="4540" w:firstLine="6"/>
        <w:spacing w:after="0" w:line="509" w:lineRule="auto"/>
        <w:tabs>
          <w:tab w:leader="none" w:pos="36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RTW Investments: 1,148,768 Shares Dr. Wong: 1,148,768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Name/Title: Roderick Wong, M.D., Managing Partner</w:t>
      </w:r>
    </w:p>
    <w:p>
      <w:pPr>
        <w:spacing w:after="0" w:line="56"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Roderick Wong</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Roderick Wong, M.D.</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ind w:right="70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12" w:right="1440" w:bottom="1440" w:gutter="0" w:footer="0" w:header="0"/>
        </w:sectPr>
      </w:pPr>
    </w:p>
    <w:bookmarkStart w:id="5" w:name="page6"/>
    <w:bookmarkEnd w:id="5"/>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4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20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17,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Roderick Wong, M.D.</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Roderick Wong, M.D.</w:t>
      </w:r>
    </w:p>
    <w:p>
      <w:pPr>
        <w:ind w:left="420"/>
        <w:spacing w:after="0"/>
        <w:rPr>
          <w:sz w:val="20"/>
          <w:szCs w:val="20"/>
          <w:color w:val="auto"/>
        </w:rPr>
      </w:pPr>
      <w:r>
        <w:rPr>
          <w:rFonts w:ascii="Times New Roman" w:cs="Times New Roman" w:eastAsia="Times New Roman" w:hAnsi="Times New Roman"/>
          <w:sz w:val="20"/>
          <w:szCs w:val="20"/>
          <w:color w:val="auto"/>
        </w:rPr>
        <w:t>Title: Managing Partner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 M.D.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Roderick Wong, M.D.</w:t>
      </w:r>
    </w:p>
    <w:sectPr>
      <w:pgSz w:w="11900" w:h="16838" w:orient="portrait"/>
      <w:cols w:equalWidth="0" w:num="1">
        <w:col w:w="11180"/>
      </w:cols>
      <w:pgMar w:left="320" w:top="11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2026-02-17T08:40:20Z</dcterms:created>
  <dcterms:modified xsi:type="dcterms:W3CDTF">2026-02-17T08:40:20Z</dcterms:modified>
</cp:coreProperties>
</file>