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3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7640" w:hanging="469"/>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Tullis-Dickerson Capital Focus III, L.P.</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2020" w:hanging="655"/>
        <w:spacing w:after="0"/>
        <w:tabs>
          <w:tab w:leader="none" w:pos="20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188595</wp:posOffset>
            </wp:positionV>
            <wp:extent cx="5846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-367665</wp:posOffset>
            </wp:positionV>
            <wp:extent cx="6694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-916305</wp:posOffset>
            </wp:positionV>
            <wp:extent cx="6694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-1327785</wp:posOffset>
            </wp:positionV>
            <wp:extent cx="6197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-1533525</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-2150745</wp:posOffset>
            </wp:positionV>
            <wp:extent cx="6694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1,112,357</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-27940</wp:posOffset>
            </wp:positionV>
            <wp:extent cx="5846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5" w:lineRule="exact"/>
        <w:rPr>
          <w:sz w:val="20"/>
          <w:szCs w:val="20"/>
          <w:color w:val="auto"/>
        </w:rPr>
      </w:pPr>
    </w:p>
    <w:p>
      <w:pPr>
        <w:ind w:left="2020" w:right="7280" w:hanging="655"/>
        <w:spacing w:after="0" w:line="282" w:lineRule="auto"/>
        <w:tabs>
          <w:tab w:leader="none" w:pos="2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1,112,357</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1,112,357</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8.7%</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9"/>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Dickerson Partners III, L.L.C.</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2020" w:hanging="655"/>
        <w:spacing w:after="0"/>
        <w:tabs>
          <w:tab w:leader="none" w:pos="20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188595</wp:posOffset>
            </wp:positionV>
            <wp:extent cx="5846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-367665</wp:posOffset>
            </wp:positionV>
            <wp:extent cx="6694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-916305</wp:posOffset>
            </wp:positionV>
            <wp:extent cx="6694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-1327785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-1533525</wp:posOffset>
            </wp:positionV>
            <wp:extent cx="6197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-2150745</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1,112,357</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-27940</wp:posOffset>
            </wp:positionV>
            <wp:extent cx="5846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5" w:lineRule="exact"/>
        <w:rPr>
          <w:sz w:val="20"/>
          <w:szCs w:val="20"/>
          <w:color w:val="auto"/>
        </w:rPr>
      </w:pPr>
    </w:p>
    <w:p>
      <w:pPr>
        <w:ind w:left="2020" w:right="7280" w:hanging="655"/>
        <w:spacing w:after="0" w:line="282" w:lineRule="auto"/>
        <w:tabs>
          <w:tab w:leader="none" w:pos="2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1,112,357</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1,112,357</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9.7%</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8420" w:hanging="469"/>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 Growth Fund, L.P.</w:t>
      </w:r>
    </w:p>
    <w:p>
      <w:pPr>
        <w:spacing w:after="0" w:line="355" w:lineRule="exact"/>
        <w:rPr>
          <w:rFonts w:ascii="Times New Roman" w:cs="Times New Roman" w:eastAsia="Times New Roman" w:hAnsi="Times New Roman"/>
          <w:sz w:val="17"/>
          <w:szCs w:val="17"/>
          <w:color w:val="auto"/>
        </w:rPr>
      </w:pPr>
    </w:p>
    <w:p>
      <w:pPr>
        <w:ind w:left="700" w:hanging="469"/>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2020" w:hanging="655"/>
        <w:spacing w:after="0"/>
        <w:tabs>
          <w:tab w:leader="none" w:pos="20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188595</wp:posOffset>
            </wp:positionV>
            <wp:extent cx="5846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-367665</wp:posOffset>
            </wp:positionV>
            <wp:extent cx="66948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-916305</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-1327785</wp:posOffset>
            </wp:positionV>
            <wp:extent cx="6197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-1533525</wp:posOffset>
            </wp:positionV>
            <wp:extent cx="6197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-2150745</wp:posOffset>
            </wp:positionV>
            <wp:extent cx="6694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627,843</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-27940</wp:posOffset>
            </wp:positionV>
            <wp:extent cx="5846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5" w:lineRule="exact"/>
        <w:rPr>
          <w:sz w:val="20"/>
          <w:szCs w:val="20"/>
          <w:color w:val="auto"/>
        </w:rPr>
      </w:pPr>
    </w:p>
    <w:p>
      <w:pPr>
        <w:ind w:left="2020" w:right="7280" w:hanging="655"/>
        <w:spacing w:after="0" w:line="282" w:lineRule="auto"/>
        <w:tabs>
          <w:tab w:leader="none" w:pos="2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627,843</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627,843</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8260" w:hanging="469"/>
        <w:spacing w:after="0" w:line="312" w:lineRule="auto"/>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Tullis-Growth Partners, L.L.C.</w:t>
      </w:r>
    </w:p>
    <w:p>
      <w:pPr>
        <w:spacing w:after="0" w:line="355" w:lineRule="exact"/>
        <w:rPr>
          <w:rFonts w:ascii="Times New Roman" w:cs="Times New Roman" w:eastAsia="Times New Roman" w:hAnsi="Times New Roman"/>
          <w:sz w:val="17"/>
          <w:szCs w:val="17"/>
          <w:color w:val="auto"/>
        </w:rPr>
      </w:pPr>
    </w:p>
    <w:p>
      <w:pPr>
        <w:ind w:left="700" w:hanging="469"/>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2020" w:hanging="655"/>
        <w:spacing w:after="0"/>
        <w:tabs>
          <w:tab w:leader="none" w:pos="20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188595</wp:posOffset>
            </wp:positionV>
            <wp:extent cx="58464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-367665</wp:posOffset>
            </wp:positionV>
            <wp:extent cx="66948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-916305</wp:posOffset>
            </wp:positionV>
            <wp:extent cx="6694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-1327785</wp:posOffset>
            </wp:positionV>
            <wp:extent cx="6197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-1533525</wp:posOffset>
            </wp:positionV>
            <wp:extent cx="61976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-2150745</wp:posOffset>
            </wp:positionV>
            <wp:extent cx="6694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627,843</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-27940</wp:posOffset>
            </wp:positionV>
            <wp:extent cx="5846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95" w:lineRule="exact"/>
        <w:rPr>
          <w:sz w:val="20"/>
          <w:szCs w:val="20"/>
          <w:color w:val="auto"/>
        </w:rPr>
      </w:pPr>
    </w:p>
    <w:p>
      <w:pPr>
        <w:ind w:left="2020" w:right="7280" w:hanging="655"/>
        <w:spacing w:after="0" w:line="282" w:lineRule="auto"/>
        <w:tabs>
          <w:tab w:leader="none" w:pos="2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627,843</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627,843</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8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8420" w:hanging="469"/>
        <w:spacing w:after="0" w:line="312" w:lineRule="auto"/>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 Growth Fund II, L.P.</w:t>
      </w:r>
    </w:p>
    <w:p>
      <w:pPr>
        <w:spacing w:after="0" w:line="355" w:lineRule="exact"/>
        <w:rPr>
          <w:rFonts w:ascii="Times New Roman" w:cs="Times New Roman" w:eastAsia="Times New Roman" w:hAnsi="Times New Roman"/>
          <w:sz w:val="17"/>
          <w:szCs w:val="17"/>
          <w:color w:val="auto"/>
        </w:rPr>
      </w:pPr>
    </w:p>
    <w:p>
      <w:pPr>
        <w:ind w:left="700" w:hanging="469"/>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2020" w:hanging="655"/>
        <w:spacing w:after="0"/>
        <w:tabs>
          <w:tab w:leader="none" w:pos="20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188595</wp:posOffset>
            </wp:positionV>
            <wp:extent cx="58464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-367665</wp:posOffset>
            </wp:positionV>
            <wp:extent cx="6694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-916305</wp:posOffset>
            </wp:positionV>
            <wp:extent cx="66948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-1327785</wp:posOffset>
            </wp:positionV>
            <wp:extent cx="6197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-1533525</wp:posOffset>
            </wp:positionV>
            <wp:extent cx="6197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-2150745</wp:posOffset>
            </wp:positionV>
            <wp:extent cx="6694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105,453</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-27940</wp:posOffset>
            </wp:positionV>
            <wp:extent cx="58464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5" w:lineRule="exact"/>
        <w:rPr>
          <w:sz w:val="20"/>
          <w:szCs w:val="20"/>
          <w:color w:val="auto"/>
        </w:rPr>
      </w:pPr>
    </w:p>
    <w:p>
      <w:pPr>
        <w:ind w:left="2020" w:right="7280" w:hanging="655"/>
        <w:spacing w:after="0" w:line="282" w:lineRule="auto"/>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105,453</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105,453</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0.8%</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8100" w:hanging="469"/>
        <w:spacing w:after="0" w:line="312" w:lineRule="auto"/>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Tullis-Growth Partners II, L.L.C.</w:t>
      </w:r>
    </w:p>
    <w:p>
      <w:pPr>
        <w:spacing w:after="0" w:line="355" w:lineRule="exact"/>
        <w:rPr>
          <w:rFonts w:ascii="Times New Roman" w:cs="Times New Roman" w:eastAsia="Times New Roman" w:hAnsi="Times New Roman"/>
          <w:sz w:val="17"/>
          <w:szCs w:val="17"/>
          <w:color w:val="auto"/>
        </w:rPr>
      </w:pPr>
    </w:p>
    <w:p>
      <w:pPr>
        <w:ind w:left="700" w:hanging="46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2020" w:hanging="655"/>
        <w:spacing w:after="0"/>
        <w:tabs>
          <w:tab w:leader="none" w:pos="20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188595</wp:posOffset>
            </wp:positionV>
            <wp:extent cx="5846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-367665</wp:posOffset>
            </wp:positionV>
            <wp:extent cx="6694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-916305</wp:posOffset>
            </wp:positionV>
            <wp:extent cx="6694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-1327785</wp:posOffset>
            </wp:positionV>
            <wp:extent cx="61976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-1533525</wp:posOffset>
            </wp:positionV>
            <wp:extent cx="61976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-2150745</wp:posOffset>
            </wp:positionV>
            <wp:extent cx="6694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105,453</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-27940</wp:posOffset>
            </wp:positionV>
            <wp:extent cx="58464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95" w:lineRule="exact"/>
        <w:rPr>
          <w:sz w:val="20"/>
          <w:szCs w:val="20"/>
          <w:color w:val="auto"/>
        </w:rPr>
      </w:pPr>
    </w:p>
    <w:p>
      <w:pPr>
        <w:ind w:left="2020" w:right="7280" w:hanging="655"/>
        <w:spacing w:after="0" w:line="282" w:lineRule="auto"/>
        <w:tabs>
          <w:tab w:leader="none" w:pos="2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105,453</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105,453</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0.8%</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right="8420" w:hanging="469"/>
        <w:spacing w:after="0" w:line="282"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James L.L. Tullis</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hanging="790"/>
        <w:spacing w:after="0" w:line="207" w:lineRule="exact"/>
        <w:tabs>
          <w:tab w:leader="none" w:pos="148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00" w:right="7860" w:hanging="469"/>
        <w:spacing w:after="0" w:line="282"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11430</wp:posOffset>
            </wp:positionV>
            <wp:extent cx="66948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-536575</wp:posOffset>
            </wp:positionV>
            <wp:extent cx="66948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-948055</wp:posOffset>
            </wp:positionV>
            <wp:extent cx="61976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-1153795</wp:posOffset>
            </wp:positionV>
            <wp:extent cx="61976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-1771015</wp:posOffset>
            </wp:positionV>
            <wp:extent cx="66948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44,869</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1,845,653</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44,869</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20" w:right="7280" w:hanging="655"/>
        <w:spacing w:after="0" w:line="282" w:lineRule="auto"/>
        <w:tabs>
          <w:tab w:leader="none" w:pos="2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1,845,653</w:t>
      </w:r>
    </w:p>
    <w:p>
      <w:pPr>
        <w:spacing w:after="0" w:line="377" w:lineRule="exact"/>
        <w:rPr>
          <w:rFonts w:ascii="Times New Roman" w:cs="Times New Roman" w:eastAsia="Times New Roman" w:hAnsi="Times New Roman"/>
          <w:sz w:val="18"/>
          <w:szCs w:val="18"/>
          <w:color w:val="auto"/>
        </w:rPr>
      </w:pPr>
    </w:p>
    <w:p>
      <w:pPr>
        <w:ind w:left="700" w:right="5680" w:hanging="469"/>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1,890,522</w:t>
      </w:r>
    </w:p>
    <w:p>
      <w:pPr>
        <w:spacing w:after="0" w:line="348" w:lineRule="exact"/>
        <w:rPr>
          <w:rFonts w:ascii="Times New Roman" w:cs="Times New Roman" w:eastAsia="Times New Roman" w:hAnsi="Times New Roman"/>
          <w:sz w:val="18"/>
          <w:szCs w:val="18"/>
          <w:color w:val="auto"/>
        </w:rPr>
      </w:pPr>
    </w:p>
    <w:p>
      <w:pPr>
        <w:ind w:left="700" w:hanging="469"/>
        <w:spacing w:after="0" w:line="207" w:lineRule="exact"/>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00" w:right="6700" w:hanging="469"/>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14.6%</w:t>
      </w:r>
    </w:p>
    <w:p>
      <w:pPr>
        <w:spacing w:after="0" w:line="377" w:lineRule="exact"/>
        <w:rPr>
          <w:rFonts w:ascii="Times New Roman" w:cs="Times New Roman" w:eastAsia="Times New Roman" w:hAnsi="Times New Roman"/>
          <w:sz w:val="18"/>
          <w:szCs w:val="18"/>
          <w:color w:val="auto"/>
        </w:rPr>
      </w:pPr>
    </w:p>
    <w:p>
      <w:pPr>
        <w:ind w:left="700" w:hanging="469"/>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360" w:right="8540" w:hanging="454"/>
        <w:spacing w:after="0" w:line="312"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Exagen, Inc.</w:t>
      </w:r>
    </w:p>
    <w:p>
      <w:pPr>
        <w:spacing w:after="0" w:line="45" w:lineRule="exact"/>
        <w:rPr>
          <w:rFonts w:ascii="Times New Roman" w:cs="Times New Roman" w:eastAsia="Times New Roman" w:hAnsi="Times New Roman"/>
          <w:sz w:val="17"/>
          <w:szCs w:val="17"/>
          <w:color w:val="auto"/>
        </w:rPr>
      </w:pPr>
    </w:p>
    <w:p>
      <w:pPr>
        <w:ind w:left="1360" w:right="6220" w:hanging="454"/>
        <w:spacing w:after="0" w:line="312"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1261 Liberty Way, Suite C, Vista, CA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-1905</wp:posOffset>
            </wp:positionV>
            <wp:extent cx="6266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-353060</wp:posOffset>
            </wp:positionV>
            <wp:extent cx="6266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360" w:hanging="454"/>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6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being filed on behalf of each of the following persons (each, a “Reporting Person” and collectively, the “Reporting Persons”):</w:t>
      </w:r>
    </w:p>
    <w:p>
      <w:pPr>
        <w:ind w:left="2140" w:hanging="451"/>
        <w:spacing w:after="0"/>
        <w:tabs>
          <w:tab w:leader="none" w:pos="2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Capital Focus III, L.P. (“</w:t>
      </w:r>
      <w:r>
        <w:rPr>
          <w:rFonts w:ascii="Times New Roman" w:cs="Times New Roman" w:eastAsia="Times New Roman" w:hAnsi="Times New Roman"/>
          <w:sz w:val="18"/>
          <w:szCs w:val="18"/>
          <w:b w:val="1"/>
          <w:bCs w:val="1"/>
          <w:u w:val="single" w:color="auto"/>
          <w:color w:val="auto"/>
        </w:rPr>
        <w:t>TD Capital Focus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140" w:hanging="451"/>
        <w:spacing w:after="0"/>
        <w:tabs>
          <w:tab w:leader="none" w:pos="2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Partners III, L.L.C., the general partner of TD Capital Focus</w:t>
      </w:r>
    </w:p>
    <w:p>
      <w:pPr>
        <w:spacing w:after="0" w:line="9" w:lineRule="exact"/>
        <w:rPr>
          <w:rFonts w:ascii="Times New Roman" w:cs="Times New Roman" w:eastAsia="Times New Roman" w:hAnsi="Times New Roman"/>
          <w:sz w:val="18"/>
          <w:szCs w:val="18"/>
          <w:color w:val="auto"/>
        </w:rPr>
      </w:pPr>
    </w:p>
    <w:p>
      <w:pPr>
        <w:ind w:left="2160" w:hanging="471"/>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L.P. (“</w:t>
      </w:r>
      <w:r>
        <w:rPr>
          <w:rFonts w:ascii="Times New Roman" w:cs="Times New Roman" w:eastAsia="Times New Roman" w:hAnsi="Times New Roman"/>
          <w:sz w:val="18"/>
          <w:szCs w:val="18"/>
          <w:b w:val="1"/>
          <w:bCs w:val="1"/>
          <w:u w:val="single" w:color="auto"/>
          <w:color w:val="auto"/>
        </w:rPr>
        <w:t>Tullis Growth Fund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120" w:hanging="431"/>
        <w:spacing w:after="0"/>
        <w:tabs>
          <w:tab w:leader="none" w:pos="2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L.L.C., the general partner of Tullis Growth Fund</w:t>
      </w:r>
    </w:p>
    <w:p>
      <w:pPr>
        <w:spacing w:after="0" w:line="9" w:lineRule="exact"/>
        <w:rPr>
          <w:rFonts w:ascii="Times New Roman" w:cs="Times New Roman" w:eastAsia="Times New Roman" w:hAnsi="Times New Roman"/>
          <w:sz w:val="18"/>
          <w:szCs w:val="18"/>
          <w:color w:val="auto"/>
        </w:rPr>
      </w:pPr>
    </w:p>
    <w:p>
      <w:pPr>
        <w:ind w:left="2120" w:hanging="431"/>
        <w:spacing w:after="0"/>
        <w:tabs>
          <w:tab w:leader="none" w:pos="2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II, L.P. (“</w:t>
      </w:r>
      <w:r>
        <w:rPr>
          <w:rFonts w:ascii="Times New Roman" w:cs="Times New Roman" w:eastAsia="Times New Roman" w:hAnsi="Times New Roman"/>
          <w:sz w:val="18"/>
          <w:szCs w:val="18"/>
          <w:b w:val="1"/>
          <w:bCs w:val="1"/>
          <w:u w:val="single" w:color="auto"/>
          <w:color w:val="auto"/>
        </w:rPr>
        <w:t>Tullis Growth Fund II</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140" w:hanging="451"/>
        <w:spacing w:after="0"/>
        <w:tabs>
          <w:tab w:leader="none" w:pos="2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II, L.L.C., the general partner of Tullis Growth Fund II</w:t>
      </w:r>
    </w:p>
    <w:p>
      <w:pPr>
        <w:spacing w:after="0" w:line="9" w:lineRule="exact"/>
        <w:rPr>
          <w:rFonts w:ascii="Times New Roman" w:cs="Times New Roman" w:eastAsia="Times New Roman" w:hAnsi="Times New Roman"/>
          <w:sz w:val="18"/>
          <w:szCs w:val="18"/>
          <w:color w:val="auto"/>
        </w:rPr>
      </w:pPr>
    </w:p>
    <w:p>
      <w:pPr>
        <w:ind w:left="2140" w:hanging="451"/>
        <w:spacing w:after="0"/>
        <w:tabs>
          <w:tab w:leader="none" w:pos="2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L.L. Tullis as a principal of each of the foregoing entities and in his individual capacity</w:t>
      </w:r>
    </w:p>
    <w:p>
      <w:pPr>
        <w:spacing w:after="0" w:line="112" w:lineRule="exact"/>
        <w:rPr>
          <w:rFonts w:ascii="Times New Roman" w:cs="Times New Roman" w:eastAsia="Times New Roman" w:hAnsi="Times New Roman"/>
          <w:sz w:val="18"/>
          <w:szCs w:val="18"/>
          <w:color w:val="auto"/>
        </w:rPr>
      </w:pPr>
    </w:p>
    <w:p>
      <w:pPr>
        <w:ind w:left="1360" w:hanging="454"/>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7" w:lineRule="exact"/>
        <w:rPr>
          <w:rFonts w:ascii="Times New Roman" w:cs="Times New Roman" w:eastAsia="Times New Roman" w:hAnsi="Times New Roman"/>
          <w:sz w:val="18"/>
          <w:szCs w:val="18"/>
          <w:color w:val="auto"/>
        </w:rPr>
      </w:pPr>
    </w:p>
    <w:p>
      <w:pPr>
        <w:ind w:left="136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the Reporting Persons is 11770 US Highway One, Suite 503, Palm Beach Gardens, FL 33408</w:t>
      </w:r>
    </w:p>
    <w:p>
      <w:pPr>
        <w:spacing w:after="0" w:line="86" w:lineRule="exact"/>
        <w:rPr>
          <w:rFonts w:ascii="Times New Roman" w:cs="Times New Roman" w:eastAsia="Times New Roman" w:hAnsi="Times New Roman"/>
          <w:sz w:val="18"/>
          <w:szCs w:val="18"/>
          <w:color w:val="auto"/>
        </w:rPr>
      </w:pPr>
    </w:p>
    <w:p>
      <w:pPr>
        <w:ind w:left="1360" w:hanging="454"/>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L. Tullis is a citizen of the United States and each of the remaining Reporting Persons were formed in Delaware</w:t>
      </w:r>
    </w:p>
    <w:p>
      <w:pPr>
        <w:spacing w:after="0" w:line="112" w:lineRule="exact"/>
        <w:rPr>
          <w:rFonts w:ascii="Times New Roman" w:cs="Times New Roman" w:eastAsia="Times New Roman" w:hAnsi="Times New Roman"/>
          <w:sz w:val="18"/>
          <w:szCs w:val="18"/>
          <w:color w:val="auto"/>
        </w:rPr>
      </w:pPr>
    </w:p>
    <w:p>
      <w:pPr>
        <w:ind w:left="1360" w:right="7720" w:hanging="454"/>
        <w:spacing w:after="0" w:line="282" w:lineRule="auto"/>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67" w:lineRule="exact"/>
        <w:rPr>
          <w:rFonts w:ascii="Times New Roman" w:cs="Times New Roman" w:eastAsia="Times New Roman" w:hAnsi="Times New Roman"/>
          <w:sz w:val="18"/>
          <w:szCs w:val="18"/>
          <w:color w:val="auto"/>
        </w:rPr>
      </w:pPr>
    </w:p>
    <w:p>
      <w:pPr>
        <w:ind w:left="1360" w:right="8480" w:hanging="454"/>
        <w:spacing w:after="0" w:line="282" w:lineRule="auto"/>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11430</wp:posOffset>
            </wp:positionV>
            <wp:extent cx="6266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-339725</wp:posOffset>
            </wp:positionV>
            <wp:extent cx="6266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-690880</wp:posOffset>
            </wp:positionV>
            <wp:extent cx="6266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-1042670</wp:posOffset>
            </wp:positionV>
            <wp:extent cx="6266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-1530985</wp:posOffset>
            </wp:positionV>
            <wp:extent cx="6266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5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20" w:hanging="468"/>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68"/>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68"/>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company as defined in section 3(a)(19) of the Act (15 U.S.C. 78c);</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4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4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4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44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44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44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w:t>
            </w:r>
          </w:p>
        </w:tc>
      </w:tr>
      <w:tr>
        <w:trPr>
          <w:trHeight w:val="234"/>
        </w:trPr>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 of 1940 (15 U.S.C. 80a-3);</w:t>
            </w:r>
          </w:p>
        </w:tc>
      </w:tr>
    </w:tbl>
    <w:p>
      <w:pPr>
        <w:spacing w:after="0" w:line="90" w:lineRule="exact"/>
        <w:rPr>
          <w:sz w:val="20"/>
          <w:szCs w:val="20"/>
          <w:color w:val="auto"/>
        </w:rPr>
      </w:pPr>
    </w:p>
    <w:p>
      <w:pPr>
        <w:ind w:left="1320" w:hanging="468"/>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 240.13d–1(b)(1)(ii)(J);</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Group, in accordance with § 240.13d–1(b)(1)(ii)(K). If filing as a non-U.S. institution in accordance with</w:t>
      </w:r>
    </w:p>
    <w:p>
      <w:pPr>
        <w:spacing w:after="0" w:line="27" w:lineRule="exact"/>
        <w:rPr>
          <w:sz w:val="20"/>
          <w:szCs w:val="20"/>
          <w:color w:val="auto"/>
        </w:rPr>
      </w:pPr>
    </w:p>
    <w:p>
      <w:pPr>
        <w:spacing w:after="0"/>
        <w:tabs>
          <w:tab w:leader="none" w:pos="0" w:val="left"/>
        </w:tabs>
        <w:numPr>
          <w:ilvl w:val="0"/>
          <w:numId w:val="28"/>
        </w:numPr>
        <w:rPr>
          <w:rFonts w:ascii="Times New Roman" w:cs="Times New Roman" w:eastAsia="Times New Roman" w:hAnsi="Times New Roman"/>
          <w:sz w:val="18"/>
          <w:szCs w:val="18"/>
          <w:color w:val="auto"/>
        </w:rPr>
      </w:pPr>
    </w:p>
    <w:p>
      <w:pPr>
        <w:spacing w:after="0" w:line="9" w:lineRule="exact"/>
        <w:rPr>
          <w:sz w:val="20"/>
          <w:szCs w:val="20"/>
          <w:color w:val="auto"/>
        </w:rPr>
      </w:pPr>
    </w:p>
    <w:p>
      <w:pPr>
        <w:ind w:left="1940" w:hanging="129"/>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institution:____________________________</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80" w:top="954" w:right="519" w:bottom="1440" w:gutter="0" w:footer="0" w:header="0"/>
        </w:sectPr>
      </w:pPr>
    </w:p>
    <w:bookmarkStart w:id="9" w:name="page10"/>
    <w:bookmarkEnd w:id="9"/>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480" w:hanging="390"/>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the cover page of each Reporting Person.</w:t>
      </w:r>
    </w:p>
    <w:p>
      <w:pPr>
        <w:spacing w:after="0" w:line="27" w:lineRule="exact"/>
        <w:rPr>
          <w:rFonts w:ascii="Times New Roman" w:cs="Times New Roman" w:eastAsia="Times New Roman" w:hAnsi="Times New Roman"/>
          <w:sz w:val="18"/>
          <w:szCs w:val="18"/>
          <w:color w:val="auto"/>
        </w:rPr>
      </w:pPr>
    </w:p>
    <w:p>
      <w:pPr>
        <w:ind w:left="14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the general partner of Tullis-Dickerson Capital Focus III, L.P., Tullis Dickerson Partners III, L.L.C. is deemed to beneficially own 1,112,357 shares of the Issuer’s common stock. As the general partner of Tullis Growth Fund, L.P. , Tullis-Growth Partners, L.L.C. is deemed to beneficially own 627,843 shares of the Issuer’s common stock. As the general partner of Tullis Growth Fund II, L.P., Tullis-Growth Partners II, LLC is deemed to beneficially own 105,453 shares of the Issuer’s common stock. James L.L. Tullis, in his individual capacity, beneficially owns 44,869 shares of the Issuer’s common stock and is a principal of each of the foregoing entities and may be deemed to possess voting and investment control over, and may be deemed to have an indirect beneficial ownership with respect to the shares held by Tullis-Dickerson Capital Focus III, L.P., Tullis Growth Fund, L.P., and Tullis Growth Fund II, L.P.</w:t>
      </w:r>
    </w:p>
    <w:p>
      <w:pPr>
        <w:spacing w:after="0" w:line="193" w:lineRule="exact"/>
        <w:rPr>
          <w:rFonts w:ascii="Times New Roman" w:cs="Times New Roman" w:eastAsia="Times New Roman" w:hAnsi="Times New Roman"/>
          <w:sz w:val="18"/>
          <w:szCs w:val="18"/>
          <w:color w:val="auto"/>
        </w:rPr>
      </w:pPr>
    </w:p>
    <w:p>
      <w:pPr>
        <w:ind w:left="14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88" w:lineRule="exact"/>
        <w:rPr>
          <w:rFonts w:ascii="Times New Roman" w:cs="Times New Roman" w:eastAsia="Times New Roman" w:hAnsi="Times New Roman"/>
          <w:sz w:val="18"/>
          <w:szCs w:val="18"/>
          <w:color w:val="auto"/>
        </w:rPr>
      </w:pPr>
    </w:p>
    <w:p>
      <w:pPr>
        <w:ind w:left="1480" w:hanging="395"/>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2100" w:hanging="627"/>
        <w:spacing w:after="0"/>
        <w:tabs>
          <w:tab w:leader="none" w:pos="2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Capital Focus III, L.P.: 8.7%</w:t>
      </w:r>
    </w:p>
    <w:p>
      <w:pPr>
        <w:spacing w:after="0" w:line="27" w:lineRule="exact"/>
        <w:rPr>
          <w:rFonts w:ascii="Times New Roman" w:cs="Times New Roman" w:eastAsia="Times New Roman" w:hAnsi="Times New Roman"/>
          <w:sz w:val="18"/>
          <w:szCs w:val="18"/>
          <w:color w:val="auto"/>
        </w:rPr>
      </w:pPr>
    </w:p>
    <w:p>
      <w:pPr>
        <w:ind w:left="2120" w:hanging="647"/>
        <w:spacing w:after="0"/>
        <w:tabs>
          <w:tab w:leader="none" w:pos="2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Tullis-Dickerson Partners III, L.L.C.: 8.7%</w:t>
      </w:r>
    </w:p>
    <w:p>
      <w:pPr>
        <w:spacing w:after="0" w:line="9" w:lineRule="exact"/>
        <w:rPr>
          <w:rFonts w:ascii="Times New Roman" w:cs="Times New Roman" w:eastAsia="Times New Roman" w:hAnsi="Times New Roman"/>
          <w:sz w:val="18"/>
          <w:szCs w:val="18"/>
          <w:color w:val="auto"/>
        </w:rPr>
      </w:pPr>
    </w:p>
    <w:p>
      <w:pPr>
        <w:ind w:left="2120" w:hanging="647"/>
        <w:spacing w:after="0"/>
        <w:tabs>
          <w:tab w:leader="none" w:pos="2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L.P.: 4.9%</w:t>
      </w:r>
    </w:p>
    <w:p>
      <w:pPr>
        <w:spacing w:after="0" w:line="9" w:lineRule="exact"/>
        <w:rPr>
          <w:rFonts w:ascii="Times New Roman" w:cs="Times New Roman" w:eastAsia="Times New Roman" w:hAnsi="Times New Roman"/>
          <w:sz w:val="18"/>
          <w:szCs w:val="18"/>
          <w:color w:val="auto"/>
        </w:rPr>
      </w:pPr>
    </w:p>
    <w:p>
      <w:pPr>
        <w:ind w:left="2100" w:hanging="627"/>
        <w:spacing w:after="0"/>
        <w:tabs>
          <w:tab w:leader="none" w:pos="2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L.L.C.: 4.9%</w:t>
      </w:r>
    </w:p>
    <w:p>
      <w:pPr>
        <w:spacing w:after="0" w:line="9" w:lineRule="exact"/>
        <w:rPr>
          <w:rFonts w:ascii="Times New Roman" w:cs="Times New Roman" w:eastAsia="Times New Roman" w:hAnsi="Times New Roman"/>
          <w:sz w:val="18"/>
          <w:szCs w:val="18"/>
          <w:color w:val="auto"/>
        </w:rPr>
      </w:pPr>
    </w:p>
    <w:p>
      <w:pPr>
        <w:ind w:left="2080" w:hanging="607"/>
        <w:spacing w:after="0"/>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 Growth Fund II, L.P.: 0.8%</w:t>
      </w:r>
    </w:p>
    <w:p>
      <w:pPr>
        <w:spacing w:after="0" w:line="9" w:lineRule="exact"/>
        <w:rPr>
          <w:rFonts w:ascii="Times New Roman" w:cs="Times New Roman" w:eastAsia="Times New Roman" w:hAnsi="Times New Roman"/>
          <w:sz w:val="18"/>
          <w:szCs w:val="18"/>
          <w:color w:val="auto"/>
        </w:rPr>
      </w:pPr>
    </w:p>
    <w:p>
      <w:pPr>
        <w:ind w:left="2100" w:hanging="627"/>
        <w:spacing w:after="0"/>
        <w:tabs>
          <w:tab w:leader="none" w:pos="2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Tullis-Growth Partners II, L.L.C., 0.8%</w:t>
      </w:r>
    </w:p>
    <w:p>
      <w:pPr>
        <w:spacing w:after="0" w:line="9" w:lineRule="exact"/>
        <w:rPr>
          <w:rFonts w:ascii="Times New Roman" w:cs="Times New Roman" w:eastAsia="Times New Roman" w:hAnsi="Times New Roman"/>
          <w:sz w:val="18"/>
          <w:szCs w:val="18"/>
          <w:color w:val="auto"/>
        </w:rPr>
      </w:pPr>
    </w:p>
    <w:p>
      <w:pPr>
        <w:ind w:left="2120" w:hanging="647"/>
        <w:spacing w:after="0"/>
        <w:tabs>
          <w:tab w:leader="none" w:pos="2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L. Tullis: 14.2% as a principal of each of the foregoing entities and 0.4%,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-1270635</wp:posOffset>
            </wp:positionV>
            <wp:extent cx="61976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187" w:lineRule="exact"/>
        <w:rPr>
          <w:sz w:val="20"/>
          <w:szCs w:val="20"/>
          <w:color w:val="auto"/>
        </w:rPr>
      </w:pPr>
    </w:p>
    <w:p>
      <w:pPr>
        <w:ind w:left="1480" w:right="120"/>
        <w:spacing w:after="0" w:line="275" w:lineRule="auto"/>
        <w:rPr>
          <w:sz w:val="20"/>
          <w:szCs w:val="20"/>
          <w:color w:val="auto"/>
        </w:rPr>
      </w:pPr>
      <w:r>
        <w:rPr>
          <w:rFonts w:ascii="Times New Roman" w:cs="Times New Roman" w:eastAsia="Times New Roman" w:hAnsi="Times New Roman"/>
          <w:sz w:val="18"/>
          <w:szCs w:val="18"/>
          <w:color w:val="auto"/>
        </w:rPr>
        <w:t>The calculations of beneficial ownership percentages are based on 12,652,138 shares of common stock outstanding as of November 6, 2020, as reported by the Issuer in its Form 10-Q filed with the Securities and Exchange Commission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156210</wp:posOffset>
            </wp:positionV>
            <wp:extent cx="61976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75" w:lineRule="exact"/>
        <w:rPr>
          <w:sz w:val="20"/>
          <w:szCs w:val="20"/>
          <w:color w:val="auto"/>
        </w:rPr>
      </w:pPr>
    </w:p>
    <w:p>
      <w:pPr>
        <w:ind w:left="1480" w:hanging="390"/>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the cover page of each Reporting Person.</w:t>
      </w:r>
    </w:p>
    <w:p>
      <w:pPr>
        <w:spacing w:after="0" w:line="130" w:lineRule="exact"/>
        <w:rPr>
          <w:rFonts w:ascii="Times New Roman" w:cs="Times New Roman" w:eastAsia="Times New Roman" w:hAnsi="Times New Roman"/>
          <w:sz w:val="18"/>
          <w:szCs w:val="18"/>
          <w:color w:val="auto"/>
        </w:rPr>
      </w:pPr>
    </w:p>
    <w:p>
      <w:pPr>
        <w:ind w:left="2020" w:hanging="409"/>
        <w:spacing w:after="0"/>
        <w:tabs>
          <w:tab w:leader="none" w:pos="2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-161925</wp:posOffset>
            </wp:positionV>
            <wp:extent cx="61976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See row 6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51435</wp:posOffset>
            </wp:positionV>
            <wp:extent cx="58464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11" w:lineRule="exact"/>
        <w:rPr>
          <w:sz w:val="20"/>
          <w:szCs w:val="20"/>
          <w:color w:val="auto"/>
        </w:rPr>
      </w:pPr>
    </w:p>
    <w:p>
      <w:pPr>
        <w:ind w:left="2020" w:hanging="434"/>
        <w:spacing w:after="0"/>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See row 7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51435</wp:posOffset>
            </wp:positionV>
            <wp:extent cx="58464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11" w:lineRule="exact"/>
        <w:rPr>
          <w:sz w:val="20"/>
          <w:szCs w:val="20"/>
          <w:color w:val="auto"/>
        </w:rPr>
      </w:pPr>
    </w:p>
    <w:p>
      <w:pPr>
        <w:ind w:left="2020" w:right="5160" w:hanging="459"/>
        <w:spacing w:after="0" w:line="578" w:lineRule="auto"/>
        <w:tabs>
          <w:tab w:leader="none" w:pos="2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8 of the cover page of each Reporting Person.</w:t>
      </w:r>
    </w:p>
    <w:p>
      <w:pPr>
        <w:spacing w:after="0" w:line="43" w:lineRule="exact"/>
        <w:rPr>
          <w:rFonts w:ascii="Times New Roman" w:cs="Times New Roman" w:eastAsia="Times New Roman" w:hAnsi="Times New Roman"/>
          <w:sz w:val="17"/>
          <w:szCs w:val="17"/>
          <w:color w:val="auto"/>
        </w:rPr>
      </w:pPr>
    </w:p>
    <w:p>
      <w:pPr>
        <w:ind w:left="2020" w:hanging="454"/>
        <w:spacing w:after="0"/>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-299085</wp:posOffset>
            </wp:positionV>
            <wp:extent cx="58464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325755</wp:posOffset>
            </wp:positionV>
            <wp:extent cx="58464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20" w:right="740" w:hanging="101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00"/>
          </w:cols>
          <w:pgMar w:left="380" w:top="954" w:right="419" w:bottom="0" w:gutter="0" w:footer="0" w:header="0"/>
        </w:sectPr>
      </w:pPr>
    </w:p>
    <w:bookmarkStart w:id="10" w:name="page11"/>
    <w:bookmarkEnd w:id="10"/>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441" w:right="1440" w:bottom="1440" w:gutter="0" w:footer="0" w:header="0"/>
        </w:sectPr>
      </w:pPr>
    </w:p>
    <w:bookmarkStart w:id="11" w:name="page12"/>
    <w:bookmarkEnd w:id="11"/>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7287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color w:val="auto"/>
        </w:rPr>
        <w:t>Date</w:t>
      </w:r>
    </w:p>
    <w:p>
      <w:pPr>
        <w:spacing w:after="0" w:line="2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 xml:space="preserve">TULLIS-DICKERSON CAPITAL FOCUS III, </w:t>
      </w:r>
      <w:r>
        <w:rPr>
          <w:rFonts w:ascii="Times New Roman" w:cs="Times New Roman" w:eastAsia="Times New Roman" w:hAnsi="Times New Roman"/>
          <w:sz w:val="18"/>
          <w:szCs w:val="18"/>
          <w:color w:val="auto"/>
        </w:rPr>
        <w:t>L.P.</w:t>
      </w:r>
    </w:p>
    <w:p>
      <w:pPr>
        <w:spacing w:after="0" w:line="229"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Tullis-Dickerson Partners III, L.L.C., its general partner</w:t>
      </w:r>
    </w:p>
    <w:p>
      <w:pPr>
        <w:spacing w:after="0" w:line="225"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TULLIS GROWTH FUND, L.P.</w:t>
      </w:r>
    </w:p>
    <w:p>
      <w:pPr>
        <w:spacing w:after="0" w:line="229"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Tullis-Growth Partners, L.L.C., its general partner</w:t>
      </w:r>
    </w:p>
    <w:p>
      <w:pPr>
        <w:spacing w:after="0" w:line="225"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TULLIS GROWTH FUND II, L.P.</w:t>
      </w:r>
    </w:p>
    <w:p>
      <w:pPr>
        <w:spacing w:after="0" w:line="229"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Tullis-Growth Partners II, L.L.C., its general partner</w:t>
      </w:r>
    </w:p>
    <w:p>
      <w:pPr>
        <w:spacing w:after="0" w:line="225"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TULLIS-DICKERSON PARTNERS III, L.L.C.</w:t>
      </w:r>
    </w:p>
    <w:p>
      <w:pPr>
        <w:spacing w:after="0" w:line="229"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jc w:val="center"/>
        <w:ind w:left="558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TULLIS-GROWTH PARTNERS, L.L.C.</w:t>
      </w:r>
    </w:p>
    <w:p>
      <w:pPr>
        <w:spacing w:after="0" w:line="229"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TULLIS-GROWTH PARTNERS II, L.L.C.</w:t>
      </w:r>
    </w:p>
    <w:p>
      <w:pPr>
        <w:spacing w:after="0" w:line="229" w:lineRule="exact"/>
        <w:rPr>
          <w:sz w:val="20"/>
          <w:szCs w:val="20"/>
          <w:color w:val="auto"/>
        </w:rPr>
      </w:pPr>
    </w:p>
    <w:p>
      <w:pPr>
        <w:ind w:left="536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JAMES L.L. TULLIS</w:t>
      </w:r>
      <w:r>
        <w:rPr>
          <w:rFonts w:ascii="Times New Roman" w:cs="Times New Roman" w:eastAsia="Times New Roman" w:hAnsi="Times New Roman"/>
          <w:sz w:val="18"/>
          <w:szCs w:val="18"/>
          <w:color w:val="auto"/>
        </w:rPr>
        <w:t>, Individually</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057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54" w:right="519" w:bottom="1440" w:gutter="0" w:footer="0" w:header="0"/>
        </w:sectPr>
      </w:pPr>
    </w:p>
    <w:bookmarkStart w:id="12" w:name="page13"/>
    <w:bookmarkEnd w:id="12"/>
    <w:p>
      <w:pPr>
        <w:jc w:val="center"/>
        <w:ind w:right="-259"/>
        <w:spacing w:after="0"/>
        <w:rPr>
          <w:sz w:val="20"/>
          <w:szCs w:val="20"/>
          <w:color w:val="auto"/>
        </w:rPr>
      </w:pPr>
      <w:r>
        <w:rPr>
          <w:rFonts w:ascii="Times New Roman" w:cs="Times New Roman" w:eastAsia="Times New Roman" w:hAnsi="Times New Roman"/>
          <w:sz w:val="18"/>
          <w:szCs w:val="18"/>
          <w:color w:val="auto"/>
        </w:rPr>
        <w:t>JOINT FILING AGREEMENT PURSUANT TO RULE 13d-1(k)</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 xml:space="preserve">TULLIS-DICKERSON CAPITAL FOCUS III, </w:t>
      </w:r>
      <w:r>
        <w:rPr>
          <w:rFonts w:ascii="Times New Roman" w:cs="Times New Roman" w:eastAsia="Times New Roman" w:hAnsi="Times New Roman"/>
          <w:sz w:val="18"/>
          <w:szCs w:val="18"/>
          <w:color w:val="auto"/>
        </w:rPr>
        <w:t>L.P.</w:t>
      </w:r>
    </w:p>
    <w:p>
      <w:pPr>
        <w:spacing w:after="0" w:line="229"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Tullis-Dickerson Partners III, L.L.C., its general partner</w:t>
      </w:r>
    </w:p>
    <w:p>
      <w:pPr>
        <w:spacing w:after="0" w:line="225"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TULLIS-DICKERSON PARTNERS III, L.L.C.</w:t>
      </w:r>
    </w:p>
    <w:p>
      <w:pPr>
        <w:spacing w:after="0" w:line="229"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TULLIS GROWTH FUND, L.P.</w:t>
      </w:r>
    </w:p>
    <w:p>
      <w:pPr>
        <w:spacing w:after="0" w:line="229"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Tullis-Growth Partners, L.L.C., its general partner</w:t>
      </w:r>
    </w:p>
    <w:p>
      <w:pPr>
        <w:spacing w:after="0" w:line="225"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TULLIS-GROWTH PARTNERS, L.L.C.</w:t>
      </w:r>
    </w:p>
    <w:p>
      <w:pPr>
        <w:spacing w:after="0" w:line="229"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13" w:name="page14"/>
    <w:bookmarkEnd w:id="13"/>
    <w:p>
      <w:pPr>
        <w:ind w:left="4260"/>
        <w:spacing w:after="0"/>
        <w:rPr>
          <w:sz w:val="20"/>
          <w:szCs w:val="20"/>
          <w:color w:val="auto"/>
        </w:rPr>
      </w:pPr>
      <w:r>
        <w:rPr>
          <w:rFonts w:ascii="Times New Roman" w:cs="Times New Roman" w:eastAsia="Times New Roman" w:hAnsi="Times New Roman"/>
          <w:sz w:val="18"/>
          <w:szCs w:val="18"/>
          <w:b w:val="1"/>
          <w:bCs w:val="1"/>
          <w:color w:val="auto"/>
        </w:rPr>
        <w:t>TULLIS GROWTH FUND II, L.P.</w:t>
      </w:r>
    </w:p>
    <w:p>
      <w:pPr>
        <w:spacing w:after="0" w:line="229" w:lineRule="exact"/>
        <w:rPr>
          <w:sz w:val="20"/>
          <w:szCs w:val="20"/>
          <w:color w:val="auto"/>
        </w:rPr>
      </w:pPr>
    </w:p>
    <w:p>
      <w:pPr>
        <w:ind w:left="426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Tullis-Growth Partners II, L.L.C., its general partner</w:t>
      </w:r>
    </w:p>
    <w:p>
      <w:pPr>
        <w:spacing w:after="0" w:line="225" w:lineRule="exact"/>
        <w:rPr>
          <w:sz w:val="20"/>
          <w:szCs w:val="20"/>
          <w:color w:val="auto"/>
        </w:rPr>
      </w:pPr>
    </w:p>
    <w:p>
      <w:pPr>
        <w:ind w:left="426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17145</wp:posOffset>
            </wp:positionV>
            <wp:extent cx="3463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4660"/>
        <w:spacing w:after="0"/>
        <w:tabs>
          <w:tab w:leader="none" w:pos="52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TULLIS-GROWTH PARTNERS II, L.L.C.</w:t>
      </w:r>
    </w:p>
    <w:p>
      <w:pPr>
        <w:spacing w:after="0" w:line="229" w:lineRule="exact"/>
        <w:rPr>
          <w:sz w:val="20"/>
          <w:szCs w:val="20"/>
          <w:color w:val="auto"/>
        </w:rPr>
      </w:pPr>
    </w:p>
    <w:p>
      <w:pPr>
        <w:ind w:left="426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17145</wp:posOffset>
            </wp:positionV>
            <wp:extent cx="3463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James L.L. Tullis</w:t>
      </w:r>
    </w:p>
    <w:p>
      <w:pPr>
        <w:spacing w:after="0" w:line="23" w:lineRule="exact"/>
        <w:rPr>
          <w:sz w:val="20"/>
          <w:szCs w:val="20"/>
          <w:color w:val="auto"/>
        </w:rPr>
      </w:pPr>
    </w:p>
    <w:p>
      <w:pPr>
        <w:ind w:left="4660"/>
        <w:spacing w:after="0"/>
        <w:tabs>
          <w:tab w:leader="none" w:pos="52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17145</wp:posOffset>
            </wp:positionV>
            <wp:extent cx="37204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JAMES L.L. TULLIS</w:t>
      </w:r>
      <w:r>
        <w:rPr>
          <w:rFonts w:ascii="Times New Roman" w:cs="Times New Roman" w:eastAsia="Times New Roman" w:hAnsi="Times New Roman"/>
          <w:sz w:val="18"/>
          <w:szCs w:val="18"/>
          <w:color w:val="auto"/>
        </w:rPr>
        <w:t>, Individually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3F2DBA31"/>
    <w:multiLevelType w:val="hybridMultilevel"/>
    <w:lvl w:ilvl="0">
      <w:lvlJc w:val="left"/>
      <w:lvlText w:val="%1"/>
      <w:numFmt w:val="decimal"/>
      <w:start w:val="1"/>
    </w:lvl>
    <w:lvl w:ilvl="1">
      <w:lvlJc w:val="left"/>
      <w:lvlText w:val="%2."/>
      <w:numFmt w:val="decimal"/>
      <w:start w:val="8"/>
    </w:lvl>
  </w:abstractNum>
  <w:abstractNum w:abstractNumId="4">
    <w:nsid w:val="7C83E458"/>
    <w:multiLevelType w:val="hybridMultilevel"/>
    <w:lvl w:ilvl="0">
      <w:lvlJc w:val="left"/>
      <w:lvlText w:val="%1."/>
      <w:numFmt w:val="decimal"/>
      <w:start w:val="9"/>
    </w:lvl>
    <w:lvl w:ilvl="1">
      <w:lvlJc w:val="left"/>
      <w:lvlText w:val="%2"/>
      <w:numFmt w:val="decimal"/>
      <w:start w:val="1"/>
    </w:lvl>
  </w:abstractNum>
  <w:abstractNum w:abstractNumId="5">
    <w:nsid w:val="257130A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62BBD95A"/>
    <w:multiLevelType w:val="hybridMultilevel"/>
    <w:lvl w:ilvl="0">
      <w:lvlJc w:val="left"/>
      <w:lvlText w:val="%1"/>
      <w:numFmt w:val="decimal"/>
      <w:start w:val="1"/>
    </w:lvl>
    <w:lvl w:ilvl="1">
      <w:lvlJc w:val="left"/>
      <w:lvlText w:val="%2."/>
      <w:numFmt w:val="decimal"/>
      <w:start w:val="8"/>
    </w:lvl>
  </w:abstractNum>
  <w:abstractNum w:abstractNumId="7">
    <w:nsid w:val="436C6125"/>
    <w:multiLevelType w:val="hybridMultilevel"/>
    <w:lvl w:ilvl="0">
      <w:lvlJc w:val="left"/>
      <w:lvlText w:val="%1."/>
      <w:numFmt w:val="decimal"/>
      <w:start w:val="9"/>
    </w:lvl>
    <w:lvl w:ilvl="1">
      <w:lvlJc w:val="left"/>
      <w:lvlText w:val="%2"/>
      <w:numFmt w:val="decimal"/>
      <w:start w:val="1"/>
    </w:lvl>
  </w:abstractNum>
  <w:abstractNum w:abstractNumId="8">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333AB105"/>
    <w:multiLevelType w:val="hybridMultilevel"/>
    <w:lvl w:ilvl="0">
      <w:lvlJc w:val="left"/>
      <w:lvlText w:val="%1"/>
      <w:numFmt w:val="decimal"/>
      <w:start w:val="1"/>
    </w:lvl>
    <w:lvl w:ilvl="1">
      <w:lvlJc w:val="left"/>
      <w:lvlText w:val="%2."/>
      <w:numFmt w:val="decimal"/>
      <w:start w:val="8"/>
    </w:lvl>
  </w:abstractNum>
  <w:abstractNum w:abstractNumId="10">
    <w:nsid w:val="721DA317"/>
    <w:multiLevelType w:val="hybridMultilevel"/>
    <w:lvl w:ilvl="0">
      <w:lvlJc w:val="left"/>
      <w:lvlText w:val="%1."/>
      <w:numFmt w:val="decimal"/>
      <w:start w:val="9"/>
    </w:lvl>
    <w:lvl w:ilvl="1">
      <w:lvlJc w:val="left"/>
      <w:lvlText w:val="%2"/>
      <w:numFmt w:val="decimal"/>
      <w:start w:val="1"/>
    </w:lvl>
  </w:abstractNum>
  <w:abstractNum w:abstractNumId="11">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2D1D5AE9"/>
    <w:multiLevelType w:val="hybridMultilevel"/>
    <w:lvl w:ilvl="0">
      <w:lvlJc w:val="left"/>
      <w:lvlText w:val="%1"/>
      <w:numFmt w:val="decimal"/>
      <w:start w:val="1"/>
    </w:lvl>
    <w:lvl w:ilvl="1">
      <w:lvlJc w:val="left"/>
      <w:lvlText w:val="%2."/>
      <w:numFmt w:val="decimal"/>
      <w:start w:val="8"/>
    </w:lvl>
  </w:abstractNum>
  <w:abstractNum w:abstractNumId="13">
    <w:nsid w:val="6763845E"/>
    <w:multiLevelType w:val="hybridMultilevel"/>
    <w:lvl w:ilvl="0">
      <w:lvlJc w:val="left"/>
      <w:lvlText w:val="%1."/>
      <w:numFmt w:val="decimal"/>
      <w:start w:val="9"/>
    </w:lvl>
    <w:lvl w:ilvl="1">
      <w:lvlJc w:val="left"/>
      <w:lvlText w:val="%2"/>
      <w:numFmt w:val="decimal"/>
      <w:start w:val="1"/>
    </w:lvl>
  </w:abstractNum>
  <w:abstractNum w:abstractNumId="14">
    <w:nsid w:val="75A2A8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8EDBDAB"/>
    <w:multiLevelType w:val="hybridMultilevel"/>
    <w:lvl w:ilvl="0">
      <w:lvlJc w:val="left"/>
      <w:lvlText w:val="%1"/>
      <w:numFmt w:val="decimal"/>
      <w:start w:val="1"/>
    </w:lvl>
    <w:lvl w:ilvl="1">
      <w:lvlJc w:val="left"/>
      <w:lvlText w:val="%2."/>
      <w:numFmt w:val="decimal"/>
      <w:start w:val="8"/>
    </w:lvl>
  </w:abstractNum>
  <w:abstractNum w:abstractNumId="16">
    <w:nsid w:val="79838CB2"/>
    <w:multiLevelType w:val="hybridMultilevel"/>
    <w:lvl w:ilvl="0">
      <w:lvlJc w:val="left"/>
      <w:lvlText w:val="%1."/>
      <w:numFmt w:val="decimal"/>
      <w:start w:val="9"/>
    </w:lvl>
    <w:lvl w:ilvl="1">
      <w:lvlJc w:val="left"/>
      <w:lvlText w:val="%2"/>
      <w:numFmt w:val="decimal"/>
      <w:start w:val="1"/>
    </w:lvl>
  </w:abstractNum>
  <w:abstractNum w:abstractNumId="17">
    <w:nsid w:val="4353D0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B03E0C6"/>
    <w:multiLevelType w:val="hybridMultilevel"/>
    <w:lvl w:ilvl="0">
      <w:lvlJc w:val="left"/>
      <w:lvlText w:val="%1"/>
      <w:numFmt w:val="decimal"/>
      <w:start w:val="1"/>
    </w:lvl>
    <w:lvl w:ilvl="1">
      <w:lvlJc w:val="left"/>
      <w:lvlText w:val="%2."/>
      <w:numFmt w:val="decimal"/>
      <w:start w:val="8"/>
    </w:lvl>
  </w:abstractNum>
  <w:abstractNum w:abstractNumId="19">
    <w:nsid w:val="189A769B"/>
    <w:multiLevelType w:val="hybridMultilevel"/>
    <w:lvl w:ilvl="0">
      <w:lvlJc w:val="left"/>
      <w:lvlText w:val="%1."/>
      <w:numFmt w:val="decimal"/>
      <w:start w:val="9"/>
    </w:lvl>
    <w:lvl w:ilvl="1">
      <w:lvlJc w:val="left"/>
      <w:lvlText w:val="%2"/>
      <w:numFmt w:val="decimal"/>
      <w:start w:val="1"/>
    </w:lvl>
  </w:abstractNum>
  <w:abstractNum w:abstractNumId="20">
    <w:nsid w:val="54E49EB4"/>
    <w:multiLevelType w:val="hybridMultilevel"/>
    <w:lvl w:ilvl="0">
      <w:lvlJc w:val="left"/>
      <w:lvlText w:val="%1."/>
      <w:numFmt w:val="decimal"/>
      <w:start w:val="1"/>
    </w:lvl>
    <w:lvl w:ilvl="1">
      <w:lvlJc w:val="left"/>
      <w:lvlText w:val="(%2)"/>
      <w:numFmt w:val="lowerLetter"/>
      <w:start w:val="1"/>
    </w:lvl>
  </w:abstractNum>
  <w:abstractNum w:abstractNumId="21">
    <w:nsid w:val="71F32454"/>
    <w:multiLevelType w:val="hybridMultilevel"/>
    <w:lvl w:ilvl="0">
      <w:lvlJc w:val="left"/>
      <w:lvlText w:val="%1"/>
      <w:numFmt w:val="decimal"/>
      <w:start w:val="1"/>
    </w:lvl>
    <w:lvl w:ilvl="1">
      <w:lvlJc w:val="left"/>
      <w:lvlText w:val="%2."/>
      <w:numFmt w:val="decimal"/>
      <w:start w:val="8"/>
    </w:lvl>
  </w:abstractNum>
  <w:abstractNum w:abstractNumId="22">
    <w:nsid w:val="2CA88611"/>
    <w:multiLevelType w:val="hybridMultilevel"/>
    <w:lvl w:ilvl="0">
      <w:lvlJc w:val="left"/>
      <w:lvlText w:val="%1."/>
      <w:numFmt w:val="decimal"/>
      <w:start w:val="9"/>
    </w:lvl>
    <w:lvl w:ilvl="1">
      <w:lvlJc w:val="left"/>
      <w:lvlText w:val="%2"/>
      <w:numFmt w:val="decimal"/>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lvl w:ilvl="1">
      <w:lvlJc w:val="left"/>
      <w:lvlText w:val="%2."/>
      <w:numFmt w:val="lowerRoman"/>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0"/>
    </w:lvl>
  </w:abstractNum>
  <w:abstractNum w:abstractNumId="27">
    <w:nsid w:val="1E7FF521"/>
    <w:multiLevelType w:val="hybridMultilevel"/>
    <w:lvl w:ilvl="0">
      <w:lvlJc w:val="left"/>
      <w:lvlText w:val="(%1)"/>
      <w:numFmt w:val="lowerLetter"/>
      <w:start w:val="1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Roman"/>
      <w:start w:val="1"/>
    </w:lvl>
  </w:abstractNum>
  <w:abstractNum w:abstractNumId="30">
    <w:nsid w:val="6CEAF087"/>
    <w:multiLevelType w:val="hybridMultilevel"/>
    <w:lvl w:ilvl="0">
      <w:lvlJc w:val="left"/>
      <w:lvlText w:val="(%1)"/>
      <w:numFmt w:val="lowerLetter"/>
      <w:start w:val="3"/>
    </w:lvl>
    <w:lvl w:ilvl="1">
      <w:lvlJc w:val="left"/>
      <w:lvlText w:val="(%2)"/>
      <w:numFmt w:val="lowerLetter"/>
      <w:start w:val="9"/>
    </w:lvl>
  </w:abstractNum>
  <w:abstractNum w:abstractNumId="31">
    <w:nsid w:val="22221A70"/>
    <w:multiLevelType w:val="hybridMultilevel"/>
    <w:lvl w:ilvl="0">
      <w:lvlJc w:val="left"/>
      <w:lvlText w:val="(%1)"/>
      <w:numFmt w:val="lowerRoman"/>
      <w:start w:val="2"/>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2021-02-16T06:09:52Z</dcterms:created>
  <dcterms:modified xsi:type="dcterms:W3CDTF">2021-02-16T06:09:52Z</dcterms:modified>
</cp:coreProperties>
</file>