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7612018.xml.htm"/>
      <w:bookmarkStart w:id="1" w:name="kswkform4a_17876120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Robertson Bruce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1261 LIBERTY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VISTA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92081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EXAGEN INC.</w:t>
              </w:r>
            </w:hyperlink>
            <w:r>
              <w:rPr/>
              <w:t xml:space="preserve"> [ </w:t>
            </w:r>
            <w:r>
              <w:rPr>
                <w:rFonts w:ascii="Times;serif" w:hAnsi="Times;serif"/>
                <w:color w:val="0000FF"/>
                <w:sz w:val="24"/>
                <w:shd w:fill="FFFFFF" w:val="clear"/>
              </w:rPr>
              <w:t>XGN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08/19/2026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06/09/2026</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37,500</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19, 2026, the reporting person filed a Form 4 which inadvertently reported that, following his grant of 37,500 stock options, he beneficially owned 55,000 stock options. In fact, as reported in this amendment, the reporting person was granted 37,500 and beneficially owns 37,500 stock options.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G. Black,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9625" TargetMode="External"/><Relationship Id="rId5" Type="http://schemas.openxmlformats.org/officeDocument/2006/relationships/hyperlink" Target="http://www.sec.gov/cgi-bin/browse-edgar?action=getcompany&amp;CIK=00012747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676</Words>
  <Characters>3662</Characters>
  <CharactersWithSpaces>4266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