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17, 2021</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3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6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33"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Exagen Inc. (the "Company") held its 2021 annual meeting of stockholders (the "Annual Meeting") on June 17, 2021. At the Annual Meeting, the Company's stockholders voted on two proposals, as described below. Each of the proposals was described in detail in the Company's definitive proxy statement on Schedule 14A filed with the U.S. Securities and Exchange Commission on April 27, 2021. The vote totals noted below are final voting results from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Proposal 1</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Company's stockholders elected the following two Class II directors for a three-year term of office expiring at the Company's 2024 annual meeting of stockholders and until their successors are duly elected and qualified or until such director's earlier death, resignation or removal.</w:t>
      </w:r>
    </w:p>
    <w:p>
      <w:pPr>
        <w:spacing w:after="0" w:line="116"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3"/>
              </w:rPr>
              <w:t>Name</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8"/>
                <w:szCs w:val="18"/>
                <w:b w:val="1"/>
                <w:bCs w:val="1"/>
                <w:color w:val="auto"/>
                <w:w w:val="89"/>
              </w:rPr>
              <w:t>Votes Withheld</w:t>
            </w:r>
          </w:p>
        </w:tc>
        <w:tc>
          <w:tcPr>
            <w:tcW w:w="480" w:type="dxa"/>
            <w:vAlign w:val="bottom"/>
          </w:tcPr>
          <w:p>
            <w:pPr>
              <w:spacing w:after="0"/>
              <w:rPr>
                <w:sz w:val="17"/>
                <w:szCs w:val="17"/>
                <w:color w:val="auto"/>
              </w:rPr>
            </w:pPr>
          </w:p>
        </w:tc>
        <w:tc>
          <w:tcPr>
            <w:tcW w:w="18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49"/>
        </w:trPr>
        <w:tc>
          <w:tcPr>
            <w:tcW w:w="2040" w:type="dxa"/>
            <w:vAlign w:val="bottom"/>
            <w:gridSpan w:val="3"/>
          </w:tcPr>
          <w:p>
            <w:pPr>
              <w:jc w:val="center"/>
              <w:ind w:right="780"/>
              <w:spacing w:after="0"/>
              <w:rPr>
                <w:sz w:val="20"/>
                <w:szCs w:val="20"/>
                <w:color w:val="auto"/>
              </w:rPr>
            </w:pPr>
            <w:r>
              <w:rPr>
                <w:rFonts w:ascii="Arial" w:cs="Arial" w:eastAsia="Arial" w:hAnsi="Arial"/>
                <w:sz w:val="18"/>
                <w:szCs w:val="18"/>
                <w:color w:val="auto"/>
                <w:w w:val="88"/>
              </w:rPr>
              <w:t>Frank Stokes</w:t>
            </w:r>
          </w:p>
        </w:tc>
        <w:tc>
          <w:tcPr>
            <w:tcW w:w="220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11,567,382</w:t>
            </w:r>
          </w:p>
        </w:tc>
        <w:tc>
          <w:tcPr>
            <w:tcW w:w="1780" w:type="dxa"/>
            <w:vAlign w:val="bottom"/>
            <w:gridSpan w:val="2"/>
          </w:tcPr>
          <w:p>
            <w:pPr>
              <w:jc w:val="right"/>
              <w:ind w:right="290"/>
              <w:spacing w:after="0"/>
              <w:rPr>
                <w:sz w:val="20"/>
                <w:szCs w:val="20"/>
                <w:color w:val="auto"/>
              </w:rPr>
            </w:pPr>
            <w:r>
              <w:rPr>
                <w:rFonts w:ascii="Arial" w:cs="Arial" w:eastAsia="Arial" w:hAnsi="Arial"/>
                <w:sz w:val="18"/>
                <w:szCs w:val="18"/>
                <w:color w:val="auto"/>
              </w:rPr>
              <w:t>1,740</w:t>
            </w:r>
          </w:p>
        </w:tc>
        <w:tc>
          <w:tcPr>
            <w:tcW w:w="480" w:type="dxa"/>
            <w:vAlign w:val="bottom"/>
          </w:tcPr>
          <w:p>
            <w:pPr>
              <w:spacing w:after="0"/>
              <w:rPr>
                <w:sz w:val="21"/>
                <w:szCs w:val="21"/>
                <w:color w:val="auto"/>
              </w:rPr>
            </w:pPr>
          </w:p>
        </w:tc>
        <w:tc>
          <w:tcPr>
            <w:tcW w:w="186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2,136,654</w:t>
            </w:r>
          </w:p>
        </w:tc>
      </w:tr>
      <w:tr>
        <w:trPr>
          <w:trHeight w:val="230"/>
        </w:trPr>
        <w:tc>
          <w:tcPr>
            <w:tcW w:w="2040" w:type="dxa"/>
            <w:vAlign w:val="bottom"/>
            <w:gridSpan w:val="3"/>
          </w:tcPr>
          <w:p>
            <w:pPr>
              <w:jc w:val="center"/>
              <w:ind w:right="780"/>
              <w:spacing w:after="0"/>
              <w:rPr>
                <w:sz w:val="20"/>
                <w:szCs w:val="20"/>
                <w:color w:val="auto"/>
              </w:rPr>
            </w:pPr>
            <w:r>
              <w:rPr>
                <w:rFonts w:ascii="Arial" w:cs="Arial" w:eastAsia="Arial" w:hAnsi="Arial"/>
                <w:sz w:val="18"/>
                <w:szCs w:val="18"/>
                <w:color w:val="auto"/>
                <w:w w:val="93"/>
              </w:rPr>
              <w:t>James L.L. Tullis</w:t>
            </w:r>
          </w:p>
        </w:tc>
        <w:tc>
          <w:tcPr>
            <w:tcW w:w="220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10,730,656</w:t>
            </w:r>
          </w:p>
        </w:tc>
        <w:tc>
          <w:tcPr>
            <w:tcW w:w="1780" w:type="dxa"/>
            <w:vAlign w:val="bottom"/>
            <w:gridSpan w:val="2"/>
          </w:tcPr>
          <w:p>
            <w:pPr>
              <w:jc w:val="right"/>
              <w:ind w:right="210"/>
              <w:spacing w:after="0"/>
              <w:rPr>
                <w:sz w:val="20"/>
                <w:szCs w:val="20"/>
                <w:color w:val="auto"/>
              </w:rPr>
            </w:pPr>
            <w:r>
              <w:rPr>
                <w:rFonts w:ascii="Arial" w:cs="Arial" w:eastAsia="Arial" w:hAnsi="Arial"/>
                <w:sz w:val="18"/>
                <w:szCs w:val="18"/>
                <w:color w:val="auto"/>
              </w:rPr>
              <w:t>838,466</w:t>
            </w:r>
          </w:p>
        </w:tc>
        <w:tc>
          <w:tcPr>
            <w:tcW w:w="480" w:type="dxa"/>
            <w:vAlign w:val="bottom"/>
          </w:tcPr>
          <w:p>
            <w:pPr>
              <w:spacing w:after="0"/>
              <w:rPr>
                <w:sz w:val="20"/>
                <w:szCs w:val="20"/>
                <w:color w:val="auto"/>
              </w:rPr>
            </w:pPr>
          </w:p>
        </w:tc>
        <w:tc>
          <w:tcPr>
            <w:tcW w:w="186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2,136,654</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Proposal 2</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stockholders ratified the appointment of BDO USA, LLP as the Company's independent registered public accounting firm for the fiscal year ending December 31, 2021.</w:t>
      </w:r>
    </w:p>
    <w:p>
      <w:pPr>
        <w:spacing w:after="0" w:line="140"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2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4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50"/>
        </w:trPr>
        <w:tc>
          <w:tcPr>
            <w:tcW w:w="3000" w:type="dxa"/>
            <w:vAlign w:val="bottom"/>
            <w:gridSpan w:val="3"/>
          </w:tcPr>
          <w:p>
            <w:pPr>
              <w:jc w:val="right"/>
              <w:ind w:right="2180"/>
              <w:spacing w:after="0"/>
              <w:rPr>
                <w:sz w:val="20"/>
                <w:szCs w:val="20"/>
                <w:color w:val="auto"/>
              </w:rPr>
            </w:pPr>
            <w:r>
              <w:rPr>
                <w:rFonts w:ascii="Arial" w:cs="Arial" w:eastAsia="Arial" w:hAnsi="Arial"/>
                <w:sz w:val="18"/>
                <w:szCs w:val="18"/>
                <w:color w:val="auto"/>
                <w:w w:val="88"/>
              </w:rPr>
              <w:t>13,666,304</w:t>
            </w:r>
          </w:p>
        </w:tc>
        <w:tc>
          <w:tcPr>
            <w:tcW w:w="20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130"/>
              <w:spacing w:after="0"/>
              <w:rPr>
                <w:sz w:val="20"/>
                <w:szCs w:val="20"/>
                <w:color w:val="auto"/>
              </w:rPr>
            </w:pPr>
            <w:r>
              <w:rPr>
                <w:rFonts w:ascii="Arial" w:cs="Arial" w:eastAsia="Arial" w:hAnsi="Arial"/>
                <w:sz w:val="18"/>
                <w:szCs w:val="18"/>
                <w:color w:val="auto"/>
              </w:rPr>
              <w:t>39,472</w:t>
            </w:r>
          </w:p>
        </w:tc>
        <w:tc>
          <w:tcPr>
            <w:tcW w:w="14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1200"/>
          </w:cols>
          <w:pgMar w:left="320" w:top="1336"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June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2021-06-21T07:31:52Z</dcterms:created>
  <dcterms:modified xsi:type="dcterms:W3CDTF">2021-06-21T07:31:52Z</dcterms:modified>
</cp:coreProperties>
</file>