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22"/>
          <w:szCs w:val="22"/>
          <w:b w:val="1"/>
          <w:bCs w:val="1"/>
          <w:color w:val="auto"/>
        </w:rPr>
        <w:t>UNITED STATES</w:t>
      </w:r>
    </w:p>
    <w:p>
      <w:pPr>
        <w:spacing w:after="0" w:line="7"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59"/>
        <w:spacing w:after="0"/>
        <w:rPr>
          <w:sz w:val="20"/>
          <w:szCs w:val="20"/>
          <w:color w:val="auto"/>
        </w:rPr>
      </w:pPr>
      <w:r>
        <w:rPr>
          <w:rFonts w:ascii="Arial" w:cs="Arial" w:eastAsia="Arial" w:hAnsi="Arial"/>
          <w:sz w:val="20"/>
          <w:szCs w:val="20"/>
          <w:b w:val="1"/>
          <w:bCs w:val="1"/>
          <w:color w:val="auto"/>
        </w:rPr>
        <w:t>Washington, D.C. 20549</w:t>
      </w:r>
    </w:p>
    <w:p>
      <w:pPr>
        <w:spacing w:after="0" w:line="189"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SCHEDULE 13G</w:t>
      </w:r>
    </w:p>
    <w:p>
      <w:pPr>
        <w:spacing w:after="0" w:line="200" w:lineRule="exact"/>
        <w:rPr>
          <w:sz w:val="24"/>
          <w:szCs w:val="24"/>
          <w:color w:val="auto"/>
        </w:rPr>
      </w:pPr>
    </w:p>
    <w:p>
      <w:pPr>
        <w:spacing w:after="0" w:line="213" w:lineRule="exact"/>
        <w:rPr>
          <w:sz w:val="24"/>
          <w:szCs w:val="24"/>
          <w:color w:val="auto"/>
        </w:rPr>
      </w:pPr>
    </w:p>
    <w:p>
      <w:pPr>
        <w:jc w:val="center"/>
        <w:ind w:right="-139"/>
        <w:spacing w:after="0"/>
        <w:rPr>
          <w:sz w:val="20"/>
          <w:szCs w:val="20"/>
          <w:color w:val="auto"/>
        </w:rPr>
      </w:pPr>
      <w:r>
        <w:rPr>
          <w:rFonts w:ascii="Arial" w:cs="Arial" w:eastAsia="Arial" w:hAnsi="Arial"/>
          <w:sz w:val="20"/>
          <w:szCs w:val="20"/>
          <w:b w:val="1"/>
          <w:bCs w:val="1"/>
          <w:color w:val="auto"/>
        </w:rPr>
        <w:t>Under the Securities Exchange Act of 1934</w:t>
      </w:r>
    </w:p>
    <w:p>
      <w:pPr>
        <w:spacing w:after="0" w:line="400"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u w:val="single" w:color="auto"/>
          <w:color w:val="auto"/>
        </w:rPr>
        <w:t>Exagen Inc.</w:t>
      </w:r>
    </w:p>
    <w:p>
      <w:pPr>
        <w:spacing w:after="0" w:line="17" w:lineRule="exact"/>
        <w:rPr>
          <w:sz w:val="24"/>
          <w:szCs w:val="24"/>
          <w:color w:val="auto"/>
        </w:rPr>
      </w:pPr>
    </w:p>
    <w:p>
      <w:pPr>
        <w:jc w:val="center"/>
        <w:ind w:right="-159"/>
        <w:spacing w:after="0"/>
        <w:rPr>
          <w:sz w:val="20"/>
          <w:szCs w:val="20"/>
          <w:color w:val="auto"/>
        </w:rPr>
      </w:pPr>
      <w:r>
        <w:rPr>
          <w:rFonts w:ascii="Arial" w:cs="Arial" w:eastAsia="Arial" w:hAnsi="Arial"/>
          <w:sz w:val="20"/>
          <w:szCs w:val="20"/>
          <w:color w:val="auto"/>
        </w:rPr>
        <w:t>(Name of Issuer)</w:t>
      </w:r>
    </w:p>
    <w:p>
      <w:pPr>
        <w:spacing w:after="0" w:line="200" w:lineRule="exact"/>
        <w:rPr>
          <w:sz w:val="24"/>
          <w:szCs w:val="24"/>
          <w:color w:val="auto"/>
        </w:rPr>
      </w:pPr>
    </w:p>
    <w:p>
      <w:pPr>
        <w:spacing w:after="0" w:line="205"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u w:val="single" w:color="auto"/>
          <w:color w:val="auto"/>
        </w:rPr>
        <w:t>Common Stock</w:t>
      </w:r>
    </w:p>
    <w:p>
      <w:pPr>
        <w:spacing w:after="0" w:line="17" w:lineRule="exact"/>
        <w:rPr>
          <w:sz w:val="24"/>
          <w:szCs w:val="24"/>
          <w:color w:val="auto"/>
        </w:rPr>
      </w:pPr>
    </w:p>
    <w:p>
      <w:pPr>
        <w:jc w:val="center"/>
        <w:ind w:right="-139"/>
        <w:spacing w:after="0"/>
        <w:rPr>
          <w:sz w:val="20"/>
          <w:szCs w:val="20"/>
          <w:color w:val="auto"/>
        </w:rPr>
      </w:pPr>
      <w:r>
        <w:rPr>
          <w:rFonts w:ascii="Arial" w:cs="Arial" w:eastAsia="Arial" w:hAnsi="Arial"/>
          <w:sz w:val="20"/>
          <w:szCs w:val="20"/>
          <w:color w:val="auto"/>
        </w:rPr>
        <w:t>(Title of Class of Securities)</w:t>
      </w:r>
    </w:p>
    <w:p>
      <w:pPr>
        <w:spacing w:after="0" w:line="200" w:lineRule="exact"/>
        <w:rPr>
          <w:sz w:val="24"/>
          <w:szCs w:val="24"/>
          <w:color w:val="auto"/>
        </w:rPr>
      </w:pPr>
    </w:p>
    <w:p>
      <w:pPr>
        <w:spacing w:after="0" w:line="205"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u w:val="single" w:color="auto"/>
          <w:color w:val="auto"/>
        </w:rPr>
        <w:t>30068x103</w:t>
      </w:r>
    </w:p>
    <w:p>
      <w:pPr>
        <w:spacing w:after="0" w:line="17" w:lineRule="exact"/>
        <w:rPr>
          <w:sz w:val="24"/>
          <w:szCs w:val="24"/>
          <w:color w:val="auto"/>
        </w:rPr>
      </w:pPr>
    </w:p>
    <w:p>
      <w:pPr>
        <w:jc w:val="center"/>
        <w:ind w:right="-139"/>
        <w:spacing w:after="0"/>
        <w:rPr>
          <w:sz w:val="20"/>
          <w:szCs w:val="20"/>
          <w:color w:val="auto"/>
        </w:rPr>
      </w:pPr>
      <w:r>
        <w:rPr>
          <w:rFonts w:ascii="Arial" w:cs="Arial" w:eastAsia="Arial" w:hAnsi="Arial"/>
          <w:sz w:val="20"/>
          <w:szCs w:val="20"/>
          <w:color w:val="auto"/>
        </w:rPr>
        <w:t>(CUSIP Number)</w:t>
      </w:r>
    </w:p>
    <w:p>
      <w:pPr>
        <w:spacing w:after="0" w:line="200" w:lineRule="exact"/>
        <w:rPr>
          <w:sz w:val="24"/>
          <w:szCs w:val="24"/>
          <w:color w:val="auto"/>
        </w:rPr>
      </w:pPr>
    </w:p>
    <w:p>
      <w:pPr>
        <w:spacing w:after="0" w:line="205"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u w:val="single" w:color="auto"/>
          <w:color w:val="auto"/>
        </w:rPr>
        <w:t>September 10, 2021</w:t>
      </w:r>
    </w:p>
    <w:p>
      <w:pPr>
        <w:spacing w:after="0" w:line="17" w:lineRule="exact"/>
        <w:rPr>
          <w:sz w:val="24"/>
          <w:szCs w:val="24"/>
          <w:color w:val="auto"/>
        </w:rPr>
      </w:pPr>
    </w:p>
    <w:p>
      <w:pPr>
        <w:jc w:val="center"/>
        <w:ind w:right="-139"/>
        <w:spacing w:after="0"/>
        <w:rPr>
          <w:sz w:val="20"/>
          <w:szCs w:val="20"/>
          <w:color w:val="auto"/>
        </w:rPr>
      </w:pPr>
      <w:r>
        <w:rPr>
          <w:rFonts w:ascii="Arial" w:cs="Arial" w:eastAsia="Arial" w:hAnsi="Arial"/>
          <w:sz w:val="20"/>
          <w:szCs w:val="20"/>
          <w:color w:val="auto"/>
        </w:rPr>
        <w:t>(Date of Event which Requires Filing of this Statement)</w:t>
      </w:r>
    </w:p>
    <w:p>
      <w:pPr>
        <w:spacing w:after="0" w:line="391"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360" w:lineRule="exact"/>
        <w:rPr>
          <w:sz w:val="24"/>
          <w:szCs w:val="24"/>
          <w:color w:val="auto"/>
        </w:rPr>
      </w:pPr>
    </w:p>
    <w:p>
      <w:pPr>
        <w:jc w:val="both"/>
        <w:ind w:left="4660" w:right="4520" w:firstLine="4"/>
        <w:spacing w:after="0" w:line="291" w:lineRule="auto"/>
        <w:tabs>
          <w:tab w:leader="none" w:pos="4855" w:val="left"/>
        </w:tabs>
        <w:numPr>
          <w:ilvl w:val="1"/>
          <w:numId w:val="1"/>
        </w:numPr>
        <w:rPr>
          <w:rFonts w:ascii="Arial" w:cs="Arial" w:eastAsia="Arial" w:hAnsi="Arial"/>
          <w:sz w:val="16"/>
          <w:szCs w:val="16"/>
          <w:color w:val="auto"/>
        </w:rPr>
      </w:pPr>
      <w:r>
        <w:rPr>
          <w:rFonts w:ascii="Arial" w:cs="Arial" w:eastAsia="Arial" w:hAnsi="Arial"/>
          <w:sz w:val="16"/>
          <w:szCs w:val="16"/>
          <w:color w:val="auto"/>
        </w:rPr>
        <w:t>] Rule 13d-1(b) [X] Rule 13d-1(c)</w:t>
      </w:r>
    </w:p>
    <w:p>
      <w:pPr>
        <w:ind w:left="4860" w:hanging="196"/>
        <w:spacing w:after="0"/>
        <w:tabs>
          <w:tab w:leader="none" w:pos="4860" w:val="left"/>
        </w:tabs>
        <w:numPr>
          <w:ilvl w:val="1"/>
          <w:numId w:val="1"/>
        </w:numPr>
        <w:rPr>
          <w:rFonts w:ascii="Arial" w:cs="Arial" w:eastAsia="Arial" w:hAnsi="Arial"/>
          <w:sz w:val="18"/>
          <w:szCs w:val="18"/>
          <w:color w:val="auto"/>
        </w:rPr>
      </w:pPr>
      <w:r>
        <w:rPr>
          <w:rFonts w:ascii="Arial" w:cs="Arial" w:eastAsia="Arial" w:hAnsi="Arial"/>
          <w:sz w:val="18"/>
          <w:szCs w:val="18"/>
          <w:color w:val="auto"/>
        </w:rPr>
        <w:t>] Rule 13d-1(d)</w:t>
      </w:r>
    </w:p>
    <w:p>
      <w:pPr>
        <w:spacing w:after="0" w:line="359" w:lineRule="exact"/>
        <w:rPr>
          <w:rFonts w:ascii="Arial" w:cs="Arial" w:eastAsia="Arial" w:hAnsi="Arial"/>
          <w:sz w:val="18"/>
          <w:szCs w:val="18"/>
          <w:color w:val="auto"/>
        </w:rPr>
      </w:pPr>
    </w:p>
    <w:p>
      <w:pPr>
        <w:ind w:right="620"/>
        <w:spacing w:after="0" w:line="342" w:lineRule="auto"/>
        <w:rPr>
          <w:rFonts w:ascii="Arial" w:cs="Arial" w:eastAsia="Arial" w:hAnsi="Arial"/>
          <w:sz w:val="18"/>
          <w:szCs w:val="18"/>
          <w:color w:val="auto"/>
        </w:rPr>
      </w:pPr>
      <w:r>
        <w:rPr>
          <w:rFonts w:ascii="Arial" w:cs="Arial" w:eastAsia="Arial" w:hAnsi="Arial"/>
          <w:sz w:val="16"/>
          <w:szCs w:val="16"/>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72" w:lineRule="exact"/>
        <w:rPr>
          <w:sz w:val="24"/>
          <w:szCs w:val="24"/>
          <w:color w:val="auto"/>
        </w:rPr>
      </w:pPr>
    </w:p>
    <w:p>
      <w:pPr>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Instructions).</w:t>
      </w:r>
    </w:p>
    <w:p>
      <w:pPr>
        <w:sectPr>
          <w:pgSz w:w="11900" w:h="16838" w:orient="portrait"/>
          <w:cols w:equalWidth="0" w:num="1">
            <w:col w:w="10500"/>
          </w:cols>
          <w:pgMar w:left="320" w:top="220" w:right="1079" w:bottom="1440" w:gutter="0" w:footer="0" w:header="0"/>
        </w:sectPr>
      </w:pPr>
    </w:p>
    <w:bookmarkStart w:id="1" w:name="page2"/>
    <w:bookmarkEnd w:id="1"/>
    <w:p>
      <w:pPr>
        <w:ind w:left="3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541020</wp:posOffset>
            </wp:positionV>
            <wp:extent cx="2078355" cy="2698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078355" cy="269875"/>
                    </a:xfrm>
                    <a:prstGeom prst="rect">
                      <a:avLst/>
                    </a:prstGeom>
                    <a:noFill/>
                  </pic:spPr>
                </pic:pic>
              </a:graphicData>
            </a:graphic>
          </wp:anchor>
        </w:drawing>
        <w:t>CUSIP No.: 30068x103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6755130" cy="45434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55130" cy="454342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left="620" w:right="7260" w:hanging="380"/>
        <w:spacing w:after="0" w:line="312" w:lineRule="auto"/>
        <w:tabs>
          <w:tab w:leader="none" w:pos="620" w:val="left"/>
        </w:tabs>
        <w:numPr>
          <w:ilvl w:val="0"/>
          <w:numId w:val="2"/>
        </w:numPr>
        <w:rPr>
          <w:rFonts w:ascii="Arial" w:cs="Arial" w:eastAsia="Arial" w:hAnsi="Arial"/>
          <w:sz w:val="17"/>
          <w:szCs w:val="17"/>
          <w:color w:val="auto"/>
        </w:rPr>
      </w:pPr>
      <w:r>
        <w:rPr>
          <w:rFonts w:ascii="Arial" w:cs="Arial" w:eastAsia="Arial" w:hAnsi="Arial"/>
          <w:sz w:val="17"/>
          <w:szCs w:val="17"/>
          <w:b w:val="1"/>
          <w:bCs w:val="1"/>
          <w:color w:val="auto"/>
        </w:rPr>
        <w:t xml:space="preserve">NAME OF REPORTING PERSON </w:t>
      </w:r>
      <w:r>
        <w:rPr>
          <w:rFonts w:ascii="Arial" w:cs="Arial" w:eastAsia="Arial" w:hAnsi="Arial"/>
          <w:sz w:val="17"/>
          <w:szCs w:val="17"/>
          <w:color w:val="auto"/>
        </w:rPr>
        <w:t>Cowen Financial Products LLC</w:t>
      </w:r>
    </w:p>
    <w:p>
      <w:pPr>
        <w:spacing w:after="0" w:line="99" w:lineRule="exact"/>
        <w:rPr>
          <w:sz w:val="20"/>
          <w:szCs w:val="20"/>
          <w:color w:val="auto"/>
        </w:rPr>
      </w:pPr>
    </w:p>
    <w:p>
      <w:pPr>
        <w:ind w:left="620"/>
        <w:spacing w:after="0"/>
        <w:rPr>
          <w:sz w:val="20"/>
          <w:szCs w:val="20"/>
          <w:color w:val="auto"/>
        </w:rPr>
      </w:pPr>
      <w:r>
        <w:rPr>
          <w:rFonts w:ascii="Arial" w:cs="Arial" w:eastAsia="Arial" w:hAnsi="Arial"/>
          <w:sz w:val="18"/>
          <w:szCs w:val="18"/>
          <w:b w:val="1"/>
          <w:bCs w:val="1"/>
          <w:color w:val="auto"/>
        </w:rPr>
        <w:t>I.R.S. IDENTIFICATION NO. OF ABOVE PERSON (ENTITIES ONLY)</w:t>
      </w:r>
    </w:p>
    <w:p>
      <w:pPr>
        <w:spacing w:after="0" w:line="27" w:lineRule="exact"/>
        <w:rPr>
          <w:sz w:val="20"/>
          <w:szCs w:val="20"/>
          <w:color w:val="auto"/>
        </w:rPr>
      </w:pPr>
    </w:p>
    <w:p>
      <w:pPr>
        <w:ind w:left="620"/>
        <w:spacing w:after="0"/>
        <w:rPr>
          <w:sz w:val="20"/>
          <w:szCs w:val="20"/>
          <w:color w:val="auto"/>
        </w:rPr>
      </w:pPr>
      <w:r>
        <w:rPr>
          <w:rFonts w:ascii="Arial" w:cs="Arial" w:eastAsia="Arial" w:hAnsi="Arial"/>
          <w:sz w:val="18"/>
          <w:szCs w:val="18"/>
          <w:color w:val="auto"/>
        </w:rPr>
        <w:t>27-0423711</w:t>
      </w:r>
    </w:p>
    <w:p>
      <w:pPr>
        <w:spacing w:after="0" w:line="139" w:lineRule="exact"/>
        <w:rPr>
          <w:sz w:val="20"/>
          <w:szCs w:val="20"/>
          <w:color w:val="auto"/>
        </w:rPr>
      </w:pPr>
    </w:p>
    <w:p>
      <w:pPr>
        <w:ind w:left="620" w:hanging="380"/>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CHECK THE APPROPRIATE BOX IF A MEMBER OF A GROUP</w:t>
      </w:r>
    </w:p>
    <w:p>
      <w:pPr>
        <w:spacing w:after="0" w:line="27" w:lineRule="exact"/>
        <w:rPr>
          <w:rFonts w:ascii="Arial" w:cs="Arial" w:eastAsia="Arial" w:hAnsi="Arial"/>
          <w:sz w:val="18"/>
          <w:szCs w:val="18"/>
          <w:color w:val="auto"/>
        </w:rPr>
      </w:pPr>
    </w:p>
    <w:p>
      <w:pPr>
        <w:ind w:left="880" w:hanging="251"/>
        <w:spacing w:after="0"/>
        <w:tabs>
          <w:tab w:leader="none" w:pos="880" w:val="left"/>
        </w:tabs>
        <w:numPr>
          <w:ilvl w:val="1"/>
          <w:numId w:val="3"/>
        </w:numPr>
        <w:rPr>
          <w:rFonts w:ascii="Arial" w:cs="Arial" w:eastAsia="Arial" w:hAnsi="Arial"/>
          <w:sz w:val="18"/>
          <w:szCs w:val="18"/>
          <w:color w:val="auto"/>
        </w:rPr>
      </w:pPr>
      <w:r>
        <w:rPr>
          <w:rFonts w:ascii="Arial" w:cs="Arial" w:eastAsia="Arial" w:hAnsi="Arial"/>
          <w:sz w:val="18"/>
          <w:szCs w:val="18"/>
          <w:color w:val="auto"/>
        </w:rPr>
        <w:t>[  ]</w:t>
      </w:r>
    </w:p>
    <w:p>
      <w:pPr>
        <w:spacing w:after="0" w:line="9" w:lineRule="exact"/>
        <w:rPr>
          <w:rFonts w:ascii="Arial" w:cs="Arial" w:eastAsia="Arial" w:hAnsi="Arial"/>
          <w:sz w:val="18"/>
          <w:szCs w:val="18"/>
          <w:color w:val="auto"/>
        </w:rPr>
      </w:pPr>
    </w:p>
    <w:p>
      <w:pPr>
        <w:ind w:left="880" w:hanging="251"/>
        <w:spacing w:after="0"/>
        <w:tabs>
          <w:tab w:leader="none" w:pos="880" w:val="left"/>
        </w:tabs>
        <w:numPr>
          <w:ilvl w:val="1"/>
          <w:numId w:val="3"/>
        </w:numPr>
        <w:rPr>
          <w:rFonts w:ascii="Arial" w:cs="Arial" w:eastAsia="Arial" w:hAnsi="Arial"/>
          <w:sz w:val="18"/>
          <w:szCs w:val="18"/>
          <w:color w:val="auto"/>
        </w:rPr>
      </w:pPr>
      <w:r>
        <w:rPr>
          <w:rFonts w:ascii="Arial" w:cs="Arial" w:eastAsia="Arial" w:hAnsi="Arial"/>
          <w:sz w:val="18"/>
          <w:szCs w:val="18"/>
          <w:color w:val="auto"/>
        </w:rPr>
        <w:t>[  ]</w:t>
      </w:r>
    </w:p>
    <w:p>
      <w:pPr>
        <w:spacing w:after="0" w:line="139" w:lineRule="exact"/>
        <w:rPr>
          <w:sz w:val="20"/>
          <w:szCs w:val="20"/>
          <w:color w:val="auto"/>
        </w:rPr>
      </w:pPr>
    </w:p>
    <w:p>
      <w:pPr>
        <w:ind w:left="620" w:hanging="380"/>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SEC USE ONLY</w:t>
      </w:r>
    </w:p>
    <w:p>
      <w:pPr>
        <w:spacing w:after="0" w:line="158" w:lineRule="exact"/>
        <w:rPr>
          <w:sz w:val="20"/>
          <w:szCs w:val="20"/>
          <w:color w:val="auto"/>
        </w:rPr>
      </w:pPr>
    </w:p>
    <w:p>
      <w:pPr>
        <w:ind w:left="620" w:right="6080" w:hanging="380"/>
        <w:spacing w:after="0" w:line="282" w:lineRule="auto"/>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CITIZENSHIP OR PLACE OF ORGANIZATION </w:t>
      </w:r>
      <w:r>
        <w:rPr>
          <w:rFonts w:ascii="Arial" w:cs="Arial" w:eastAsia="Arial" w:hAnsi="Arial"/>
          <w:sz w:val="18"/>
          <w:szCs w:val="18"/>
          <w:color w:val="auto"/>
        </w:rPr>
        <w:t>USA</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164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9"/>
              </w:rPr>
              <w:t>NUMBER OF</w:t>
            </w:r>
          </w:p>
        </w:tc>
        <w:tc>
          <w:tcPr>
            <w:tcW w:w="520" w:type="dxa"/>
            <w:vAlign w:val="bottom"/>
            <w:tcBorders>
              <w:top w:val="single" w:sz="8" w:color="auto"/>
              <w:right w:val="single" w:sz="8" w:color="auto"/>
            </w:tcBorders>
          </w:tcPr>
          <w:p>
            <w:pPr>
              <w:jc w:val="right"/>
              <w:ind w:right="150"/>
              <w:spacing w:after="0"/>
              <w:rPr>
                <w:sz w:val="20"/>
                <w:szCs w:val="20"/>
                <w:color w:val="auto"/>
              </w:rPr>
            </w:pPr>
            <w:r>
              <w:rPr>
                <w:rFonts w:ascii="Arial" w:cs="Arial" w:eastAsia="Arial" w:hAnsi="Arial"/>
                <w:sz w:val="18"/>
                <w:szCs w:val="18"/>
                <w:color w:val="auto"/>
              </w:rPr>
              <w:t>5</w:t>
            </w:r>
          </w:p>
        </w:tc>
        <w:tc>
          <w:tcPr>
            <w:tcW w:w="8480" w:type="dxa"/>
            <w:vAlign w:val="bottom"/>
            <w:tcBorders>
              <w:top w:val="single" w:sz="8" w:color="auto"/>
            </w:tcBorders>
          </w:tcPr>
          <w:p>
            <w:pPr>
              <w:ind w:left="60"/>
              <w:spacing w:after="0"/>
              <w:rPr>
                <w:sz w:val="20"/>
                <w:szCs w:val="20"/>
                <w:color w:val="auto"/>
              </w:rPr>
            </w:pPr>
            <w:r>
              <w:rPr>
                <w:rFonts w:ascii="Arial" w:cs="Arial" w:eastAsia="Arial" w:hAnsi="Arial"/>
                <w:sz w:val="18"/>
                <w:szCs w:val="18"/>
                <w:b w:val="1"/>
                <w:bCs w:val="1"/>
                <w:color w:val="auto"/>
              </w:rPr>
              <w:t>SOLE VOTING POWER</w:t>
            </w:r>
          </w:p>
        </w:tc>
        <w:tc>
          <w:tcPr>
            <w:tcW w:w="0" w:type="dxa"/>
            <w:vAlign w:val="bottom"/>
          </w:tcPr>
          <w:p>
            <w:pPr>
              <w:spacing w:after="0"/>
              <w:rPr>
                <w:sz w:val="1"/>
                <w:szCs w:val="1"/>
                <w:color w:val="auto"/>
              </w:rPr>
            </w:pPr>
          </w:p>
        </w:tc>
      </w:tr>
      <w:tr>
        <w:trPr>
          <w:trHeight w:val="104"/>
        </w:trPr>
        <w:tc>
          <w:tcPr>
            <w:tcW w:w="1640" w:type="dxa"/>
            <w:vAlign w:val="bottom"/>
            <w:tcBorders>
              <w:right w:val="single" w:sz="8" w:color="auto"/>
            </w:tcBorders>
            <w:vMerge w:val="continue"/>
          </w:tcPr>
          <w:p>
            <w:pPr>
              <w:spacing w:after="0"/>
              <w:rPr>
                <w:sz w:val="9"/>
                <w:szCs w:val="9"/>
                <w:color w:val="auto"/>
              </w:rPr>
            </w:pPr>
          </w:p>
        </w:tc>
        <w:tc>
          <w:tcPr>
            <w:tcW w:w="520" w:type="dxa"/>
            <w:vAlign w:val="bottom"/>
            <w:tcBorders>
              <w:right w:val="single" w:sz="8" w:color="auto"/>
            </w:tcBorders>
          </w:tcPr>
          <w:p>
            <w:pPr>
              <w:spacing w:after="0"/>
              <w:rPr>
                <w:sz w:val="9"/>
                <w:szCs w:val="9"/>
                <w:color w:val="auto"/>
              </w:rPr>
            </w:pPr>
          </w:p>
        </w:tc>
        <w:tc>
          <w:tcPr>
            <w:tcW w:w="8480" w:type="dxa"/>
            <w:vAlign w:val="bottom"/>
            <w:vMerge w:val="restart"/>
          </w:tcPr>
          <w:p>
            <w:pPr>
              <w:ind w:left="60"/>
              <w:spacing w:after="0"/>
              <w:rPr>
                <w:sz w:val="20"/>
                <w:szCs w:val="20"/>
                <w:color w:val="auto"/>
              </w:rPr>
            </w:pPr>
            <w:r>
              <w:rPr>
                <w:rFonts w:ascii="Arial" w:cs="Arial" w:eastAsia="Arial" w:hAnsi="Arial"/>
                <w:sz w:val="18"/>
                <w:szCs w:val="18"/>
                <w:color w:val="auto"/>
              </w:rPr>
              <w:t>873,631</w:t>
            </w:r>
          </w:p>
        </w:tc>
        <w:tc>
          <w:tcPr>
            <w:tcW w:w="0" w:type="dxa"/>
            <w:vAlign w:val="bottom"/>
          </w:tcPr>
          <w:p>
            <w:pPr>
              <w:spacing w:after="0"/>
              <w:rPr>
                <w:sz w:val="1"/>
                <w:szCs w:val="1"/>
                <w:color w:val="auto"/>
              </w:rPr>
            </w:pPr>
          </w:p>
        </w:tc>
      </w:tr>
      <w:tr>
        <w:trPr>
          <w:trHeight w:val="126"/>
        </w:trPr>
        <w:tc>
          <w:tcPr>
            <w:tcW w:w="1640" w:type="dxa"/>
            <w:vAlign w:val="bottom"/>
            <w:tcBorders>
              <w:right w:val="single" w:sz="8" w:color="auto"/>
            </w:tcBorders>
            <w:vMerge w:val="restart"/>
          </w:tcPr>
          <w:p>
            <w:pPr>
              <w:jc w:val="center"/>
              <w:spacing w:after="0" w:line="194" w:lineRule="exact"/>
              <w:rPr>
                <w:sz w:val="20"/>
                <w:szCs w:val="20"/>
                <w:color w:val="auto"/>
              </w:rPr>
            </w:pPr>
            <w:r>
              <w:rPr>
                <w:rFonts w:ascii="Arial" w:cs="Arial" w:eastAsia="Arial" w:hAnsi="Arial"/>
                <w:sz w:val="18"/>
                <w:szCs w:val="18"/>
                <w:b w:val="1"/>
                <w:bCs w:val="1"/>
                <w:color w:val="auto"/>
                <w:w w:val="95"/>
              </w:rPr>
              <w:t>SHARES</w:t>
            </w:r>
          </w:p>
        </w:tc>
        <w:tc>
          <w:tcPr>
            <w:tcW w:w="520" w:type="dxa"/>
            <w:vAlign w:val="bottom"/>
            <w:tcBorders>
              <w:right w:val="single" w:sz="8" w:color="auto"/>
            </w:tcBorders>
          </w:tcPr>
          <w:p>
            <w:pPr>
              <w:spacing w:after="0"/>
              <w:rPr>
                <w:sz w:val="10"/>
                <w:szCs w:val="10"/>
                <w:color w:val="auto"/>
              </w:rPr>
            </w:pPr>
          </w:p>
        </w:tc>
        <w:tc>
          <w:tcPr>
            <w:tcW w:w="8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1640" w:type="dxa"/>
            <w:vAlign w:val="bottom"/>
            <w:tcBorders>
              <w:right w:val="single" w:sz="8" w:color="auto"/>
            </w:tcBorders>
            <w:vMerge w:val="continue"/>
          </w:tcPr>
          <w:p>
            <w:pPr>
              <w:spacing w:after="0"/>
              <w:rPr>
                <w:sz w:val="5"/>
                <w:szCs w:val="5"/>
                <w:color w:val="auto"/>
              </w:rPr>
            </w:pPr>
          </w:p>
        </w:tc>
        <w:tc>
          <w:tcPr>
            <w:tcW w:w="520" w:type="dxa"/>
            <w:vAlign w:val="bottom"/>
            <w:tcBorders>
              <w:bottom w:val="single" w:sz="8" w:color="auto"/>
              <w:right w:val="single" w:sz="8" w:color="auto"/>
            </w:tcBorders>
          </w:tcPr>
          <w:p>
            <w:pPr>
              <w:spacing w:after="0"/>
              <w:rPr>
                <w:sz w:val="5"/>
                <w:szCs w:val="5"/>
                <w:color w:val="auto"/>
              </w:rPr>
            </w:pPr>
          </w:p>
        </w:tc>
        <w:tc>
          <w:tcPr>
            <w:tcW w:w="84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BENEFICIALLY</w:t>
            </w:r>
          </w:p>
        </w:tc>
        <w:tc>
          <w:tcPr>
            <w:tcW w:w="520" w:type="dxa"/>
            <w:vAlign w:val="bottom"/>
            <w:tcBorders>
              <w:right w:val="single" w:sz="8" w:color="auto"/>
            </w:tcBorders>
          </w:tcPr>
          <w:p>
            <w:pPr>
              <w:jc w:val="right"/>
              <w:ind w:right="150"/>
              <w:spacing w:after="0"/>
              <w:rPr>
                <w:sz w:val="20"/>
                <w:szCs w:val="20"/>
                <w:color w:val="auto"/>
              </w:rPr>
            </w:pPr>
            <w:r>
              <w:rPr>
                <w:rFonts w:ascii="Arial" w:cs="Arial" w:eastAsia="Arial" w:hAnsi="Arial"/>
                <w:sz w:val="18"/>
                <w:szCs w:val="18"/>
                <w:color w:val="auto"/>
              </w:rPr>
              <w:t>6</w:t>
            </w:r>
          </w:p>
        </w:tc>
        <w:tc>
          <w:tcPr>
            <w:tcW w:w="8480" w:type="dxa"/>
            <w:vAlign w:val="bottom"/>
          </w:tcPr>
          <w:p>
            <w:pPr>
              <w:ind w:left="60"/>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122"/>
        </w:trPr>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OWNED BY</w:t>
            </w:r>
          </w:p>
        </w:tc>
        <w:tc>
          <w:tcPr>
            <w:tcW w:w="520" w:type="dxa"/>
            <w:vAlign w:val="bottom"/>
            <w:tcBorders>
              <w:bottom w:val="single" w:sz="8" w:color="auto"/>
              <w:right w:val="single" w:sz="8" w:color="auto"/>
            </w:tcBorders>
          </w:tcPr>
          <w:p>
            <w:pPr>
              <w:spacing w:after="0"/>
              <w:rPr>
                <w:sz w:val="10"/>
                <w:szCs w:val="10"/>
                <w:color w:val="auto"/>
              </w:rPr>
            </w:pPr>
          </w:p>
        </w:tc>
        <w:tc>
          <w:tcPr>
            <w:tcW w:w="84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1640" w:type="dxa"/>
            <w:vAlign w:val="bottom"/>
            <w:tcBorders>
              <w:right w:val="single" w:sz="8" w:color="auto"/>
            </w:tcBorders>
            <w:vMerge w:val="continue"/>
          </w:tcPr>
          <w:p>
            <w:pPr>
              <w:spacing w:after="0"/>
              <w:rPr>
                <w:sz w:val="6"/>
                <w:szCs w:val="6"/>
                <w:color w:val="auto"/>
              </w:rPr>
            </w:pPr>
          </w:p>
        </w:tc>
        <w:tc>
          <w:tcPr>
            <w:tcW w:w="520" w:type="dxa"/>
            <w:vAlign w:val="bottom"/>
            <w:tcBorders>
              <w:right w:val="single" w:sz="8" w:color="auto"/>
            </w:tcBorders>
            <w:vMerge w:val="restart"/>
          </w:tcPr>
          <w:p>
            <w:pPr>
              <w:jc w:val="right"/>
              <w:ind w:right="150"/>
              <w:spacing w:after="0"/>
              <w:rPr>
                <w:sz w:val="20"/>
                <w:szCs w:val="20"/>
                <w:color w:val="auto"/>
              </w:rPr>
            </w:pPr>
            <w:r>
              <w:rPr>
                <w:rFonts w:ascii="Arial" w:cs="Arial" w:eastAsia="Arial" w:hAnsi="Arial"/>
                <w:sz w:val="18"/>
                <w:szCs w:val="18"/>
                <w:color w:val="auto"/>
              </w:rPr>
              <w:t>7</w:t>
            </w:r>
          </w:p>
        </w:tc>
        <w:tc>
          <w:tcPr>
            <w:tcW w:w="848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193"/>
        </w:trPr>
        <w:tc>
          <w:tcPr>
            <w:tcW w:w="1640" w:type="dxa"/>
            <w:vAlign w:val="bottom"/>
            <w:tcBorders>
              <w:right w:val="single" w:sz="8" w:color="auto"/>
            </w:tcBorders>
          </w:tcPr>
          <w:p>
            <w:pPr>
              <w:jc w:val="center"/>
              <w:spacing w:after="0" w:line="193" w:lineRule="exact"/>
              <w:rPr>
                <w:sz w:val="20"/>
                <w:szCs w:val="20"/>
                <w:color w:val="auto"/>
              </w:rPr>
            </w:pPr>
            <w:r>
              <w:rPr>
                <w:rFonts w:ascii="Arial" w:cs="Arial" w:eastAsia="Arial" w:hAnsi="Arial"/>
                <w:sz w:val="18"/>
                <w:szCs w:val="18"/>
                <w:b w:val="1"/>
                <w:bCs w:val="1"/>
                <w:color w:val="auto"/>
              </w:rPr>
              <w:t>EACH</w:t>
            </w:r>
          </w:p>
        </w:tc>
        <w:tc>
          <w:tcPr>
            <w:tcW w:w="520" w:type="dxa"/>
            <w:vAlign w:val="bottom"/>
            <w:tcBorders>
              <w:right w:val="single" w:sz="8" w:color="auto"/>
            </w:tcBorders>
            <w:vMerge w:val="continue"/>
          </w:tcPr>
          <w:p>
            <w:pPr>
              <w:spacing w:after="0"/>
              <w:rPr>
                <w:sz w:val="16"/>
                <w:szCs w:val="16"/>
                <w:color w:val="auto"/>
              </w:rPr>
            </w:pPr>
          </w:p>
        </w:tc>
        <w:tc>
          <w:tcPr>
            <w:tcW w:w="8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REPORTING</w:t>
            </w:r>
          </w:p>
        </w:tc>
        <w:tc>
          <w:tcPr>
            <w:tcW w:w="520" w:type="dxa"/>
            <w:vAlign w:val="bottom"/>
            <w:tcBorders>
              <w:right w:val="single" w:sz="8" w:color="auto"/>
            </w:tcBorders>
          </w:tcPr>
          <w:p>
            <w:pPr>
              <w:spacing w:after="0"/>
              <w:rPr>
                <w:sz w:val="20"/>
                <w:szCs w:val="20"/>
                <w:color w:val="auto"/>
              </w:rPr>
            </w:pPr>
          </w:p>
        </w:tc>
        <w:tc>
          <w:tcPr>
            <w:tcW w:w="8480" w:type="dxa"/>
            <w:vAlign w:val="bottom"/>
          </w:tcPr>
          <w:p>
            <w:pPr>
              <w:ind w:left="60"/>
              <w:spacing w:after="0"/>
              <w:rPr>
                <w:sz w:val="20"/>
                <w:szCs w:val="20"/>
                <w:color w:val="auto"/>
              </w:rPr>
            </w:pPr>
            <w:r>
              <w:rPr>
                <w:rFonts w:ascii="Arial" w:cs="Arial" w:eastAsia="Arial" w:hAnsi="Arial"/>
                <w:sz w:val="18"/>
                <w:szCs w:val="18"/>
                <w:color w:val="auto"/>
              </w:rPr>
              <w:t>873,631</w:t>
            </w:r>
          </w:p>
        </w:tc>
        <w:tc>
          <w:tcPr>
            <w:tcW w:w="0" w:type="dxa"/>
            <w:vAlign w:val="bottom"/>
          </w:tcPr>
          <w:p>
            <w:pPr>
              <w:spacing w:after="0"/>
              <w:rPr>
                <w:sz w:val="1"/>
                <w:szCs w:val="1"/>
                <w:color w:val="auto"/>
              </w:rPr>
            </w:pPr>
          </w:p>
        </w:tc>
      </w:tr>
      <w:tr>
        <w:trPr>
          <w:trHeight w:val="59"/>
        </w:trPr>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PERSON WITH</w:t>
            </w:r>
          </w:p>
        </w:tc>
        <w:tc>
          <w:tcPr>
            <w:tcW w:w="520" w:type="dxa"/>
            <w:vAlign w:val="bottom"/>
            <w:tcBorders>
              <w:bottom w:val="single" w:sz="8" w:color="auto"/>
              <w:right w:val="single" w:sz="8" w:color="auto"/>
            </w:tcBorders>
          </w:tcPr>
          <w:p>
            <w:pPr>
              <w:spacing w:after="0"/>
              <w:rPr>
                <w:sz w:val="5"/>
                <w:szCs w:val="5"/>
                <w:color w:val="auto"/>
              </w:rPr>
            </w:pPr>
          </w:p>
        </w:tc>
        <w:tc>
          <w:tcPr>
            <w:tcW w:w="84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56"/>
        </w:trPr>
        <w:tc>
          <w:tcPr>
            <w:tcW w:w="1640" w:type="dxa"/>
            <w:vAlign w:val="bottom"/>
            <w:tcBorders>
              <w:right w:val="single" w:sz="8" w:color="auto"/>
            </w:tcBorders>
            <w:vMerge w:val="continue"/>
          </w:tcPr>
          <w:p>
            <w:pPr>
              <w:spacing w:after="0"/>
              <w:rPr>
                <w:sz w:val="13"/>
                <w:szCs w:val="13"/>
                <w:color w:val="auto"/>
              </w:rPr>
            </w:pPr>
          </w:p>
        </w:tc>
        <w:tc>
          <w:tcPr>
            <w:tcW w:w="520" w:type="dxa"/>
            <w:vAlign w:val="bottom"/>
            <w:tcBorders>
              <w:right w:val="single" w:sz="8" w:color="auto"/>
            </w:tcBorders>
            <w:vMerge w:val="restart"/>
          </w:tcPr>
          <w:p>
            <w:pPr>
              <w:jc w:val="right"/>
              <w:ind w:right="150"/>
              <w:spacing w:after="0"/>
              <w:rPr>
                <w:sz w:val="20"/>
                <w:szCs w:val="20"/>
                <w:color w:val="auto"/>
              </w:rPr>
            </w:pPr>
            <w:r>
              <w:rPr>
                <w:rFonts w:ascii="Arial" w:cs="Arial" w:eastAsia="Arial" w:hAnsi="Arial"/>
                <w:sz w:val="18"/>
                <w:szCs w:val="18"/>
                <w:color w:val="auto"/>
              </w:rPr>
              <w:t>8</w:t>
            </w:r>
          </w:p>
        </w:tc>
        <w:tc>
          <w:tcPr>
            <w:tcW w:w="848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122"/>
        </w:trPr>
        <w:tc>
          <w:tcPr>
            <w:tcW w:w="1640" w:type="dxa"/>
            <w:vAlign w:val="bottom"/>
            <w:tcBorders>
              <w:right w:val="single" w:sz="8" w:color="auto"/>
            </w:tcBorders>
          </w:tcPr>
          <w:p>
            <w:pPr>
              <w:spacing w:after="0"/>
              <w:rPr>
                <w:sz w:val="10"/>
                <w:szCs w:val="10"/>
                <w:color w:val="auto"/>
              </w:rPr>
            </w:pPr>
          </w:p>
        </w:tc>
        <w:tc>
          <w:tcPr>
            <w:tcW w:w="520" w:type="dxa"/>
            <w:vAlign w:val="bottom"/>
            <w:tcBorders>
              <w:right w:val="single" w:sz="8" w:color="auto"/>
            </w:tcBorders>
            <w:vMerge w:val="continue"/>
          </w:tcPr>
          <w:p>
            <w:pPr>
              <w:spacing w:after="0"/>
              <w:rPr>
                <w:sz w:val="10"/>
                <w:szCs w:val="10"/>
                <w:color w:val="auto"/>
              </w:rPr>
            </w:pPr>
          </w:p>
        </w:tc>
        <w:tc>
          <w:tcPr>
            <w:tcW w:w="8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1640" w:type="dxa"/>
            <w:vAlign w:val="bottom"/>
            <w:tcBorders>
              <w:bottom w:val="single" w:sz="8" w:color="auto"/>
              <w:right w:val="single" w:sz="8" w:color="auto"/>
            </w:tcBorders>
          </w:tcPr>
          <w:p>
            <w:pPr>
              <w:spacing w:after="0"/>
              <w:rPr>
                <w:sz w:val="5"/>
                <w:szCs w:val="5"/>
                <w:color w:val="auto"/>
              </w:rPr>
            </w:pPr>
          </w:p>
        </w:tc>
        <w:tc>
          <w:tcPr>
            <w:tcW w:w="520" w:type="dxa"/>
            <w:vAlign w:val="bottom"/>
            <w:tcBorders>
              <w:bottom w:val="single" w:sz="8" w:color="auto"/>
              <w:right w:val="single" w:sz="8" w:color="auto"/>
            </w:tcBorders>
          </w:tcPr>
          <w:p>
            <w:pPr>
              <w:spacing w:after="0"/>
              <w:rPr>
                <w:sz w:val="5"/>
                <w:szCs w:val="5"/>
                <w:color w:val="auto"/>
              </w:rPr>
            </w:pPr>
          </w:p>
        </w:tc>
        <w:tc>
          <w:tcPr>
            <w:tcW w:w="84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620" w:right="3080" w:hanging="380"/>
        <w:spacing w:after="0" w:line="282" w:lineRule="auto"/>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AGGREGATE AMOUNT BENEFICIALLY OWNED BY EACH REPORTING PERSON </w:t>
      </w:r>
      <w:r>
        <w:rPr>
          <w:rFonts w:ascii="Arial" w:cs="Arial" w:eastAsia="Arial" w:hAnsi="Arial"/>
          <w:sz w:val="18"/>
          <w:szCs w:val="18"/>
          <w:color w:val="auto"/>
        </w:rPr>
        <w:t>873,361</w:t>
      </w:r>
    </w:p>
    <w:p>
      <w:pPr>
        <w:spacing w:after="0" w:line="94" w:lineRule="exact"/>
        <w:rPr>
          <w:sz w:val="20"/>
          <w:szCs w:val="20"/>
          <w:color w:val="auto"/>
        </w:rPr>
      </w:pPr>
    </w:p>
    <w:p>
      <w:pPr>
        <w:ind w:left="620" w:right="2560" w:hanging="425"/>
        <w:spacing w:after="0" w:line="282" w:lineRule="auto"/>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CHECK BOX IF THE AGGREGATE AMOUNT IN ROW (9) EXCLUDES CERTAIN SHARES </w:t>
      </w:r>
      <w:r>
        <w:rPr>
          <w:rFonts w:ascii="Arial" w:cs="Arial" w:eastAsia="Arial" w:hAnsi="Arial"/>
          <w:sz w:val="18"/>
          <w:szCs w:val="18"/>
          <w:color w:val="auto"/>
        </w:rPr>
        <w:t>[ ]</w:t>
      </w:r>
    </w:p>
    <w:p>
      <w:pPr>
        <w:spacing w:after="0" w:line="94" w:lineRule="exact"/>
        <w:rPr>
          <w:rFonts w:ascii="Arial" w:cs="Arial" w:eastAsia="Arial" w:hAnsi="Arial"/>
          <w:sz w:val="18"/>
          <w:szCs w:val="18"/>
          <w:color w:val="auto"/>
        </w:rPr>
      </w:pPr>
    </w:p>
    <w:p>
      <w:pPr>
        <w:ind w:left="620" w:right="4700" w:hanging="422"/>
        <w:spacing w:after="0" w:line="282" w:lineRule="auto"/>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PERCENT OF CLASS REPRESENTED BY AMOUNT IN ROW (9) </w:t>
      </w:r>
      <w:r>
        <w:rPr>
          <w:rFonts w:ascii="Arial" w:cs="Arial" w:eastAsia="Arial" w:hAnsi="Arial"/>
          <w:sz w:val="18"/>
          <w:szCs w:val="18"/>
          <w:color w:val="auto"/>
        </w:rPr>
        <w:t>5.41%</w:t>
      </w:r>
    </w:p>
    <w:p>
      <w:pPr>
        <w:spacing w:after="0" w:line="94" w:lineRule="exact"/>
        <w:rPr>
          <w:rFonts w:ascii="Arial" w:cs="Arial" w:eastAsia="Arial" w:hAnsi="Arial"/>
          <w:sz w:val="18"/>
          <w:szCs w:val="18"/>
          <w:color w:val="auto"/>
        </w:rPr>
      </w:pPr>
    </w:p>
    <w:p>
      <w:pPr>
        <w:ind w:left="620" w:right="7340" w:hanging="425"/>
        <w:spacing w:after="0" w:line="282" w:lineRule="auto"/>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TYPE OF REPORTING PERSON </w:t>
      </w:r>
      <w:r>
        <w:rPr>
          <w:rFonts w:ascii="Arial" w:cs="Arial" w:eastAsia="Arial" w:hAnsi="Arial"/>
          <w:sz w:val="18"/>
          <w:szCs w:val="18"/>
          <w:color w:val="auto"/>
        </w:rPr>
        <w:t>Passive Investor</w:t>
      </w:r>
    </w:p>
    <w:p>
      <w:pPr>
        <w:sectPr>
          <w:pgSz w:w="11900" w:h="16838" w:orient="portrait"/>
          <w:cols w:equalWidth="0" w:num="1">
            <w:col w:w="10640"/>
          </w:cols>
          <w:pgMar w:left="320" w:top="931" w:right="939" w:bottom="1440" w:gutter="0" w:footer="0" w:header="0"/>
        </w:sectPr>
      </w:pPr>
    </w:p>
    <w:bookmarkStart w:id="2" w:name="page3"/>
    <w:bookmarkEnd w:id="2"/>
    <w:p>
      <w:pPr>
        <w:ind w:left="3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541020</wp:posOffset>
            </wp:positionV>
            <wp:extent cx="2078355" cy="2698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78355" cy="269875"/>
                    </a:xfrm>
                    <a:prstGeom prst="rect">
                      <a:avLst/>
                    </a:prstGeom>
                    <a:noFill/>
                  </pic:spPr>
                </pic:pic>
              </a:graphicData>
            </a:graphic>
          </wp:anchor>
        </w:drawing>
        <w:t>CUSIP No.: 30068x103</w:t>
      </w:r>
    </w:p>
    <w:p>
      <w:pPr>
        <w:spacing w:after="0" w:line="200" w:lineRule="exact"/>
        <w:rPr>
          <w:sz w:val="20"/>
          <w:szCs w:val="20"/>
          <w:color w:val="auto"/>
        </w:rPr>
      </w:pPr>
    </w:p>
    <w:p>
      <w:pPr>
        <w:spacing w:after="0" w:line="336"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NAME OF ISSUER:</w:t>
      </w:r>
    </w:p>
    <w:p>
      <w:pPr>
        <w:spacing w:after="0" w:line="9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Exagen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ADDRESS OF ISSUER'S PRINCIPAL EXECUTIVE OFFICES:</w:t>
      </w:r>
    </w:p>
    <w:p>
      <w:pPr>
        <w:spacing w:after="0" w:line="9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1261 Liberty Way</w:t>
      </w:r>
    </w:p>
    <w:p>
      <w:pPr>
        <w:spacing w:after="0" w:line="23"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Vista, CA 92081</w:t>
      </w:r>
    </w:p>
    <w:p>
      <w:pPr>
        <w:spacing w:after="0" w:line="207"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2(a).</w:t>
        <w:tab/>
        <w:t>NAME OF PERSON FILING:</w:t>
      </w:r>
    </w:p>
    <w:p>
      <w:pPr>
        <w:spacing w:after="0" w:line="9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Cowen Financial Products LLC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2(b).  ADDRESS OF PRINCIPAL BUSINESS OFFICE OR, IF NONE, RESIDENCE:</w:t>
      </w:r>
    </w:p>
    <w:p>
      <w:pPr>
        <w:spacing w:after="0" w:line="9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599 Lexington Ave</w:t>
      </w:r>
    </w:p>
    <w:p>
      <w:pPr>
        <w:spacing w:after="0" w:line="23"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New York, NY 10022</w:t>
      </w:r>
    </w:p>
    <w:p>
      <w:pPr>
        <w:spacing w:after="0" w:line="207"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2(c).</w:t>
        <w:tab/>
        <w:t>CITIZENSHIP:</w:t>
      </w:r>
    </w:p>
    <w:p>
      <w:pPr>
        <w:spacing w:after="0" w:line="9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USA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2(d).  TITLE OF CLASS OF SECURITIES:</w:t>
      </w:r>
    </w:p>
    <w:p>
      <w:pPr>
        <w:spacing w:after="0" w:line="9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Common Stock</w:t>
      </w:r>
    </w:p>
    <w:p>
      <w:pPr>
        <w:spacing w:after="0" w:line="22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2(e).</w:t>
      </w:r>
      <w:r>
        <w:rPr>
          <w:sz w:val="20"/>
          <w:szCs w:val="20"/>
          <w:color w:val="auto"/>
        </w:rPr>
        <w:tab/>
      </w:r>
      <w:r>
        <w:rPr>
          <w:rFonts w:ascii="Arial" w:cs="Arial" w:eastAsia="Arial" w:hAnsi="Arial"/>
          <w:sz w:val="17"/>
          <w:szCs w:val="17"/>
          <w:b w:val="1"/>
          <w:bCs w:val="1"/>
          <w:color w:val="auto"/>
        </w:rPr>
        <w:t>CUSIP NUMBER:</w:t>
      </w:r>
    </w:p>
    <w:p>
      <w:pPr>
        <w:spacing w:after="0" w:line="9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30068x103</w:t>
      </w:r>
    </w:p>
    <w:p>
      <w:pPr>
        <w:spacing w:after="0" w:line="221" w:lineRule="exact"/>
        <w:rPr>
          <w:sz w:val="20"/>
          <w:szCs w:val="20"/>
          <w:color w:val="auto"/>
        </w:rPr>
      </w:pPr>
    </w:p>
    <w:p>
      <w:pPr>
        <w:ind w:left="1020" w:hanging="1025"/>
        <w:spacing w:after="0" w:line="282" w:lineRule="auto"/>
        <w:tabs>
          <w:tab w:leader="none" w:pos="10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IF THIS STATEMENT IS FILED PURSUANT TO SECTION 240.13d-1(b), or 13d-2(b) or (c) CHECK WHETHER THE PERSON FILING IS A:</w:t>
      </w:r>
    </w:p>
    <w:p>
      <w:pPr>
        <w:spacing w:after="0" w:line="85" w:lineRule="exact"/>
        <w:rPr>
          <w:sz w:val="20"/>
          <w:szCs w:val="20"/>
          <w:color w:val="auto"/>
        </w:rPr>
      </w:pPr>
    </w:p>
    <w:p>
      <w:pPr>
        <w:ind w:left="1480" w:hanging="457"/>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Broker or dealer registered under Section 15 of the Act (15 U.S.C. 78c);</w:t>
      </w:r>
    </w:p>
    <w:p>
      <w:pPr>
        <w:spacing w:after="0" w:line="144" w:lineRule="exact"/>
        <w:rPr>
          <w:rFonts w:ascii="Arial" w:cs="Arial" w:eastAsia="Arial" w:hAnsi="Arial"/>
          <w:sz w:val="18"/>
          <w:szCs w:val="18"/>
          <w:color w:val="auto"/>
        </w:rPr>
      </w:pPr>
    </w:p>
    <w:p>
      <w:pPr>
        <w:ind w:left="1480" w:hanging="457"/>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Bank as defined in Section 3(a)(6) of the Act (15 U.S.C. 78c);</w:t>
      </w:r>
    </w:p>
    <w:p>
      <w:pPr>
        <w:spacing w:after="0" w:line="144" w:lineRule="exact"/>
        <w:rPr>
          <w:rFonts w:ascii="Arial" w:cs="Arial" w:eastAsia="Arial" w:hAnsi="Arial"/>
          <w:sz w:val="18"/>
          <w:szCs w:val="18"/>
          <w:color w:val="auto"/>
        </w:rPr>
      </w:pPr>
    </w:p>
    <w:p>
      <w:pPr>
        <w:ind w:left="1480" w:hanging="457"/>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Insurance company as defined in Section 3(a)(19) of the Act (15 U.S.C. 78c);</w:t>
      </w:r>
    </w:p>
    <w:p>
      <w:pPr>
        <w:spacing w:after="0" w:line="144" w:lineRule="exact"/>
        <w:rPr>
          <w:rFonts w:ascii="Arial" w:cs="Arial" w:eastAsia="Arial" w:hAnsi="Arial"/>
          <w:sz w:val="18"/>
          <w:szCs w:val="18"/>
          <w:color w:val="auto"/>
        </w:rPr>
      </w:pPr>
    </w:p>
    <w:p>
      <w:pPr>
        <w:ind w:left="1480" w:hanging="457"/>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Investment company registered under Section 8 of the Investment Company Act of 1940 (15 U.S.C 80a-8);</w:t>
      </w:r>
    </w:p>
    <w:p>
      <w:pPr>
        <w:spacing w:after="0" w:line="144" w:lineRule="exact"/>
        <w:rPr>
          <w:rFonts w:ascii="Arial" w:cs="Arial" w:eastAsia="Arial" w:hAnsi="Arial"/>
          <w:sz w:val="18"/>
          <w:szCs w:val="18"/>
          <w:color w:val="auto"/>
        </w:rPr>
      </w:pPr>
    </w:p>
    <w:p>
      <w:pPr>
        <w:ind w:left="1480" w:hanging="457"/>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An investment adviser in accordance with 240.13d-1(b)(1)(ii)(E);</w:t>
      </w:r>
    </w:p>
    <w:p>
      <w:pPr>
        <w:spacing w:after="0" w:line="144" w:lineRule="exact"/>
        <w:rPr>
          <w:rFonts w:ascii="Arial" w:cs="Arial" w:eastAsia="Arial" w:hAnsi="Arial"/>
          <w:sz w:val="18"/>
          <w:szCs w:val="18"/>
          <w:color w:val="auto"/>
        </w:rPr>
      </w:pPr>
    </w:p>
    <w:p>
      <w:pPr>
        <w:ind w:left="1480" w:hanging="457"/>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An employee benefit plan or endowment fund in accordance with 240.13d-1(b)(1)(ii)(F);</w:t>
      </w:r>
    </w:p>
    <w:p>
      <w:pPr>
        <w:spacing w:after="0" w:line="144" w:lineRule="exact"/>
        <w:rPr>
          <w:rFonts w:ascii="Arial" w:cs="Arial" w:eastAsia="Arial" w:hAnsi="Arial"/>
          <w:sz w:val="18"/>
          <w:szCs w:val="18"/>
          <w:color w:val="auto"/>
        </w:rPr>
      </w:pPr>
    </w:p>
    <w:p>
      <w:pPr>
        <w:ind w:left="1480" w:hanging="457"/>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A parent holding company or control person in accordance with 240.13d-1(b)(1)(ii)(G);</w:t>
      </w:r>
    </w:p>
    <w:p>
      <w:pPr>
        <w:spacing w:after="0" w:line="144" w:lineRule="exact"/>
        <w:rPr>
          <w:rFonts w:ascii="Arial" w:cs="Arial" w:eastAsia="Arial" w:hAnsi="Arial"/>
          <w:sz w:val="18"/>
          <w:szCs w:val="18"/>
          <w:color w:val="auto"/>
        </w:rPr>
      </w:pPr>
    </w:p>
    <w:p>
      <w:pPr>
        <w:ind w:left="1480" w:hanging="457"/>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A savings associations as defined in Section 3(b) of the Federal Deposit Insurance Act (12 U.S.C. 1813);</w:t>
      </w:r>
    </w:p>
    <w:p>
      <w:pPr>
        <w:spacing w:after="0" w:line="144" w:lineRule="exact"/>
        <w:rPr>
          <w:rFonts w:ascii="Arial" w:cs="Arial" w:eastAsia="Arial" w:hAnsi="Arial"/>
          <w:sz w:val="18"/>
          <w:szCs w:val="18"/>
          <w:color w:val="auto"/>
        </w:rPr>
      </w:pPr>
    </w:p>
    <w:p>
      <w:pPr>
        <w:ind w:left="2180" w:right="500" w:hanging="1157"/>
        <w:spacing w:after="0" w:line="277" w:lineRule="auto"/>
        <w:tabs>
          <w:tab w:leader="none" w:pos="1469" w:val="left"/>
        </w:tabs>
        <w:numPr>
          <w:ilvl w:val="0"/>
          <w:numId w:val="8"/>
        </w:numPr>
        <w:rPr>
          <w:rFonts w:ascii="Arial" w:cs="Arial" w:eastAsia="Arial" w:hAnsi="Arial"/>
          <w:sz w:val="18"/>
          <w:szCs w:val="18"/>
          <w:color w:val="auto"/>
        </w:rPr>
      </w:pPr>
      <w:r>
        <w:rPr>
          <w:rFonts w:ascii="Arial" w:cs="Arial" w:eastAsia="Arial" w:hAnsi="Arial"/>
          <w:sz w:val="18"/>
          <w:szCs w:val="18"/>
          <w:color w:val="auto"/>
        </w:rPr>
        <w:t>[ ]A church plan that is excluded from the definition of an investment company under Section 3(c)(14) of the Investment Company Act of 1940 (15 U.S.C. 80a-3);</w:t>
      </w:r>
    </w:p>
    <w:p>
      <w:pPr>
        <w:spacing w:after="0" w:line="89" w:lineRule="exact"/>
        <w:rPr>
          <w:rFonts w:ascii="Arial" w:cs="Arial" w:eastAsia="Arial" w:hAnsi="Arial"/>
          <w:sz w:val="18"/>
          <w:szCs w:val="18"/>
          <w:color w:val="auto"/>
        </w:rPr>
      </w:pPr>
    </w:p>
    <w:p>
      <w:pPr>
        <w:ind w:left="1480" w:hanging="457"/>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A non-U.S. institution in accordance with 240.13d-1(b)(1)(ii)(J);</w:t>
      </w:r>
    </w:p>
    <w:p>
      <w:pPr>
        <w:spacing w:after="0" w:line="144" w:lineRule="exact"/>
        <w:rPr>
          <w:rFonts w:ascii="Arial" w:cs="Arial" w:eastAsia="Arial" w:hAnsi="Arial"/>
          <w:sz w:val="18"/>
          <w:szCs w:val="18"/>
          <w:color w:val="auto"/>
        </w:rPr>
      </w:pPr>
    </w:p>
    <w:p>
      <w:pPr>
        <w:ind w:left="1480" w:hanging="457"/>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Group, in accordance with 240.13d-1(b)(1)(ii)(K). If filing as a non-U.S. institution in accordance with</w:t>
      </w:r>
    </w:p>
    <w:p>
      <w:pPr>
        <w:spacing w:after="0" w:line="23" w:lineRule="exact"/>
        <w:rPr>
          <w:rFonts w:ascii="Arial" w:cs="Arial" w:eastAsia="Arial" w:hAnsi="Arial"/>
          <w:sz w:val="18"/>
          <w:szCs w:val="18"/>
          <w:color w:val="auto"/>
        </w:rPr>
      </w:pPr>
    </w:p>
    <w:p>
      <w:pPr>
        <w:ind w:left="2180"/>
        <w:spacing w:after="0"/>
        <w:rPr>
          <w:rFonts w:ascii="Arial" w:cs="Arial" w:eastAsia="Arial" w:hAnsi="Arial"/>
          <w:sz w:val="18"/>
          <w:szCs w:val="18"/>
          <w:color w:val="auto"/>
        </w:rPr>
      </w:pPr>
      <w:r>
        <w:rPr>
          <w:rFonts w:ascii="Arial" w:cs="Arial" w:eastAsia="Arial" w:hAnsi="Arial"/>
          <w:sz w:val="18"/>
          <w:szCs w:val="18"/>
          <w:color w:val="auto"/>
        </w:rPr>
        <w:t>240.13d1(b)(1)(ii)(J), please specify the type of institution:</w:t>
      </w:r>
    </w:p>
    <w:p>
      <w:pPr>
        <w:spacing w:after="0" w:line="200" w:lineRule="exact"/>
        <w:rPr>
          <w:sz w:val="20"/>
          <w:szCs w:val="20"/>
          <w:color w:val="auto"/>
        </w:rPr>
      </w:pPr>
    </w:p>
    <w:p>
      <w:pPr>
        <w:spacing w:after="0" w:line="236"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8"/>
          <w:szCs w:val="18"/>
          <w:b w:val="1"/>
          <w:bCs w:val="1"/>
          <w:color w:val="auto"/>
        </w:rPr>
        <w:t>OWNERSHIP</w:t>
      </w:r>
    </w:p>
    <w:p>
      <w:pPr>
        <w:spacing w:after="0" w:line="279"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(a) Amount beneficially owned:</w:t>
      </w:r>
    </w:p>
    <w:p>
      <w:pPr>
        <w:spacing w:after="0" w:line="148"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873,361</w:t>
      </w:r>
    </w:p>
    <w:p>
      <w:pPr>
        <w:spacing w:after="0" w:line="140"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(b) Percent of class:</w:t>
      </w:r>
    </w:p>
    <w:p>
      <w:pPr>
        <w:spacing w:after="0" w:line="148"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5.41%</w:t>
      </w:r>
    </w:p>
    <w:p>
      <w:pPr>
        <w:spacing w:after="0" w:line="140" w:lineRule="exact"/>
        <w:rPr>
          <w:sz w:val="20"/>
          <w:szCs w:val="20"/>
          <w:color w:val="auto"/>
        </w:rPr>
      </w:pPr>
    </w:p>
    <w:p>
      <w:pPr>
        <w:ind w:left="1260" w:hanging="237"/>
        <w:spacing w:after="0"/>
        <w:tabs>
          <w:tab w:leader="none" w:pos="12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Number of shares as to which the person has:</w:t>
      </w:r>
    </w:p>
    <w:p>
      <w:pPr>
        <w:spacing w:after="0" w:line="148" w:lineRule="exact"/>
        <w:rPr>
          <w:rFonts w:ascii="Arial" w:cs="Arial" w:eastAsia="Arial" w:hAnsi="Arial"/>
          <w:sz w:val="18"/>
          <w:szCs w:val="18"/>
          <w:b w:val="1"/>
          <w:bCs w:val="1"/>
          <w:color w:val="auto"/>
        </w:rPr>
      </w:pPr>
    </w:p>
    <w:p>
      <w:pPr>
        <w:ind w:left="1540" w:hanging="207"/>
        <w:spacing w:after="0"/>
        <w:tabs>
          <w:tab w:leader="none" w:pos="1540" w:val="left"/>
        </w:tabs>
        <w:numPr>
          <w:ilvl w:val="1"/>
          <w:numId w:val="9"/>
        </w:numPr>
        <w:rPr>
          <w:rFonts w:ascii="Arial" w:cs="Arial" w:eastAsia="Arial" w:hAnsi="Arial"/>
          <w:sz w:val="18"/>
          <w:szCs w:val="18"/>
          <w:color w:val="auto"/>
        </w:rPr>
      </w:pPr>
      <w:r>
        <w:rPr>
          <w:rFonts w:ascii="Arial" w:cs="Arial" w:eastAsia="Arial" w:hAnsi="Arial"/>
          <w:sz w:val="18"/>
          <w:szCs w:val="18"/>
          <w:color w:val="auto"/>
        </w:rPr>
        <w:t>sole power to vote or to direct the vote:</w:t>
      </w:r>
    </w:p>
    <w:p>
      <w:pPr>
        <w:spacing w:after="0" w:line="279" w:lineRule="exact"/>
        <w:rPr>
          <w:rFonts w:ascii="Arial" w:cs="Arial" w:eastAsia="Arial" w:hAnsi="Arial"/>
          <w:sz w:val="18"/>
          <w:szCs w:val="18"/>
          <w:color w:val="auto"/>
        </w:rPr>
      </w:pPr>
    </w:p>
    <w:p>
      <w:pPr>
        <w:ind w:left="1600" w:hanging="267"/>
        <w:spacing w:after="0"/>
        <w:tabs>
          <w:tab w:leader="none" w:pos="1600" w:val="left"/>
        </w:tabs>
        <w:numPr>
          <w:ilvl w:val="1"/>
          <w:numId w:val="9"/>
        </w:numPr>
        <w:rPr>
          <w:rFonts w:ascii="Arial" w:cs="Arial" w:eastAsia="Arial" w:hAnsi="Arial"/>
          <w:sz w:val="18"/>
          <w:szCs w:val="18"/>
          <w:color w:val="auto"/>
        </w:rPr>
      </w:pPr>
      <w:r>
        <w:rPr>
          <w:rFonts w:ascii="Arial" w:cs="Arial" w:eastAsia="Arial" w:hAnsi="Arial"/>
          <w:sz w:val="18"/>
          <w:szCs w:val="18"/>
          <w:color w:val="auto"/>
        </w:rPr>
        <w:t>shared power to vote or to direct the vote:</w:t>
      </w:r>
    </w:p>
    <w:p>
      <w:pPr>
        <w:spacing w:after="0" w:line="279" w:lineRule="exact"/>
        <w:rPr>
          <w:rFonts w:ascii="Arial" w:cs="Arial" w:eastAsia="Arial" w:hAnsi="Arial"/>
          <w:sz w:val="18"/>
          <w:szCs w:val="18"/>
          <w:color w:val="auto"/>
        </w:rPr>
      </w:pPr>
    </w:p>
    <w:p>
      <w:pPr>
        <w:ind w:left="1640" w:hanging="307"/>
        <w:spacing w:after="0"/>
        <w:tabs>
          <w:tab w:leader="none" w:pos="1640" w:val="left"/>
        </w:tabs>
        <w:numPr>
          <w:ilvl w:val="1"/>
          <w:numId w:val="9"/>
        </w:numPr>
        <w:rPr>
          <w:rFonts w:ascii="Arial" w:cs="Arial" w:eastAsia="Arial" w:hAnsi="Arial"/>
          <w:sz w:val="18"/>
          <w:szCs w:val="18"/>
          <w:color w:val="auto"/>
        </w:rPr>
      </w:pPr>
      <w:r>
        <w:rPr>
          <w:rFonts w:ascii="Arial" w:cs="Arial" w:eastAsia="Arial" w:hAnsi="Arial"/>
          <w:sz w:val="18"/>
          <w:szCs w:val="18"/>
          <w:color w:val="auto"/>
        </w:rPr>
        <w:t>sole power to dispose or direct the disposition of:</w:t>
      </w:r>
    </w:p>
    <w:p>
      <w:pPr>
        <w:spacing w:after="0" w:line="279" w:lineRule="exact"/>
        <w:rPr>
          <w:rFonts w:ascii="Arial" w:cs="Arial" w:eastAsia="Arial" w:hAnsi="Arial"/>
          <w:sz w:val="18"/>
          <w:szCs w:val="18"/>
          <w:color w:val="auto"/>
        </w:rPr>
      </w:pPr>
    </w:p>
    <w:p>
      <w:pPr>
        <w:ind w:left="1640" w:hanging="307"/>
        <w:spacing w:after="0"/>
        <w:tabs>
          <w:tab w:leader="none" w:pos="1640" w:val="left"/>
        </w:tabs>
        <w:numPr>
          <w:ilvl w:val="1"/>
          <w:numId w:val="9"/>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w:t>
      </w:r>
    </w:p>
    <w:p>
      <w:pPr>
        <w:sectPr>
          <w:pgSz w:w="11900" w:h="16838" w:orient="portrait"/>
          <w:cols w:equalWidth="0" w:num="1">
            <w:col w:w="10360"/>
          </w:cols>
          <w:pgMar w:left="400" w:top="931" w:right="1139" w:bottom="0" w:gutter="0" w:footer="0" w:header="0"/>
        </w:sectPr>
      </w:pPr>
    </w:p>
    <w:bookmarkStart w:id="3" w:name="page4"/>
    <w:bookmarkEnd w:id="3"/>
    <w:p>
      <w:pPr>
        <w:spacing w:after="0"/>
        <w:tabs>
          <w:tab w:leader="none" w:pos="10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OWNERSHIP OF FIVE PERCENT OR LESS OF A CLASS:</w:t>
      </w:r>
    </w:p>
    <w:p>
      <w:pPr>
        <w:spacing w:after="0" w:line="94" w:lineRule="exact"/>
        <w:rPr>
          <w:sz w:val="20"/>
          <w:szCs w:val="20"/>
          <w:color w:val="auto"/>
        </w:rPr>
      </w:pPr>
    </w:p>
    <w:p>
      <w:pPr>
        <w:ind w:left="1020"/>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166"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OWNERSHIP OF MORE THAN FIVE PERCENT ON BEHALF OF ANOTHER PERSON:</w:t>
      </w:r>
    </w:p>
    <w:p>
      <w:pPr>
        <w:spacing w:after="0" w:line="306" w:lineRule="exact"/>
        <w:rPr>
          <w:sz w:val="20"/>
          <w:szCs w:val="20"/>
          <w:color w:val="auto"/>
        </w:rPr>
      </w:pPr>
    </w:p>
    <w:p>
      <w:pPr>
        <w:ind w:left="1020" w:right="260" w:hanging="1025"/>
        <w:spacing w:after="0" w:line="282" w:lineRule="auto"/>
        <w:tabs>
          <w:tab w:leader="none" w:pos="10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w:t>
      </w:r>
    </w:p>
    <w:p>
      <w:pPr>
        <w:spacing w:after="0" w:line="243"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8"/>
          <w:szCs w:val="18"/>
          <w:b w:val="1"/>
          <w:bCs w:val="1"/>
          <w:color w:val="auto"/>
        </w:rPr>
        <w:t>IDENTIFICATION AND CLASSIFICATION OF MEMBERS OF THE GROUP:</w:t>
      </w:r>
    </w:p>
    <w:p>
      <w:pPr>
        <w:spacing w:after="0" w:line="306"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color w:val="auto"/>
        </w:rPr>
        <w:t>NOTICE OF DISSOLUTION OF GROUP:</w:t>
      </w:r>
    </w:p>
    <w:p>
      <w:pPr>
        <w:spacing w:after="0" w:line="306"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10.</w:t>
        <w:tab/>
        <w:t>CERTIFICATION:</w:t>
      </w:r>
    </w:p>
    <w:p>
      <w:pPr>
        <w:spacing w:after="0" w:line="94" w:lineRule="exact"/>
        <w:rPr>
          <w:sz w:val="20"/>
          <w:szCs w:val="20"/>
          <w:color w:val="auto"/>
        </w:rPr>
      </w:pPr>
    </w:p>
    <w:p>
      <w:pPr>
        <w:ind w:left="1020" w:right="100"/>
        <w:spacing w:after="0" w:line="286"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0440"/>
          </w:cols>
          <w:pgMar w:left="400" w:top="121" w:right="1059" w:bottom="1440" w:gutter="0" w:footer="0" w:header="0"/>
        </w:sectPr>
      </w:pPr>
    </w:p>
    <w:bookmarkStart w:id="4" w:name="page5"/>
    <w:bookmarkEnd w:id="4"/>
    <w:p>
      <w:pPr>
        <w:ind w:left="3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541020</wp:posOffset>
            </wp:positionV>
            <wp:extent cx="2078355" cy="2698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78355" cy="269875"/>
                    </a:xfrm>
                    <a:prstGeom prst="rect">
                      <a:avLst/>
                    </a:prstGeom>
                    <a:noFill/>
                  </pic:spPr>
                </pic:pic>
              </a:graphicData>
            </a:graphic>
          </wp:anchor>
        </w:drawing>
        <w:t>CUSIP No.: 30068x103</w:t>
      </w:r>
    </w:p>
    <w:p>
      <w:pPr>
        <w:spacing w:after="0" w:line="200" w:lineRule="exact"/>
        <w:rPr>
          <w:sz w:val="20"/>
          <w:szCs w:val="20"/>
          <w:color w:val="auto"/>
        </w:rPr>
      </w:pPr>
    </w:p>
    <w:p>
      <w:pPr>
        <w:spacing w:after="0" w:line="205" w:lineRule="exact"/>
        <w:rPr>
          <w:sz w:val="20"/>
          <w:szCs w:val="20"/>
          <w:color w:val="auto"/>
        </w:rPr>
      </w:pPr>
    </w:p>
    <w:p>
      <w:pPr>
        <w:ind w:left="4680"/>
        <w:spacing w:after="0"/>
        <w:rPr>
          <w:sz w:val="20"/>
          <w:szCs w:val="20"/>
          <w:color w:val="auto"/>
        </w:rPr>
      </w:pPr>
      <w:r>
        <w:rPr>
          <w:rFonts w:ascii="Arial" w:cs="Arial" w:eastAsia="Arial" w:hAnsi="Arial"/>
          <w:sz w:val="22"/>
          <w:szCs w:val="22"/>
          <w:b w:val="1"/>
          <w:bCs w:val="1"/>
          <w:color w:val="auto"/>
        </w:rPr>
        <w:t>SIGNATURE</w:t>
      </w:r>
    </w:p>
    <w:p>
      <w:pPr>
        <w:spacing w:after="0" w:line="350" w:lineRule="exact"/>
        <w:rPr>
          <w:sz w:val="20"/>
          <w:szCs w:val="20"/>
          <w:color w:val="auto"/>
        </w:rPr>
      </w:pPr>
    </w:p>
    <w:p>
      <w:pPr>
        <w:ind w:left="900"/>
        <w:spacing w:after="0"/>
        <w:rPr>
          <w:sz w:val="20"/>
          <w:szCs w:val="20"/>
          <w:color w:val="auto"/>
        </w:rPr>
      </w:pPr>
      <w:r>
        <w:rPr>
          <w:rFonts w:ascii="Arial" w:cs="Arial" w:eastAsia="Arial" w:hAnsi="Arial"/>
          <w:sz w:val="13"/>
          <w:szCs w:val="13"/>
          <w:color w:val="auto"/>
        </w:rPr>
        <w:t>After reasonable inquiry and to the best of my knowledge and belief, I certify that the information set forth in this statement is true, complete and correct.</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220" w:type="dxa"/>
            <w:vAlign w:val="bottom"/>
          </w:tcPr>
          <w:p>
            <w:pPr>
              <w:spacing w:after="0"/>
              <w:rPr>
                <w:sz w:val="20"/>
                <w:szCs w:val="20"/>
                <w:color w:val="auto"/>
              </w:rPr>
            </w:pPr>
            <w:r>
              <w:rPr>
                <w:rFonts w:ascii="Arial" w:cs="Arial" w:eastAsia="Arial" w:hAnsi="Arial"/>
                <w:sz w:val="16"/>
                <w:szCs w:val="16"/>
                <w:color w:val="auto"/>
              </w:rPr>
              <w:t>December 17 2021</w:t>
            </w:r>
          </w:p>
        </w:tc>
        <w:tc>
          <w:tcPr>
            <w:tcW w:w="6120" w:type="dxa"/>
            <w:vAlign w:val="bottom"/>
            <w:gridSpan w:val="2"/>
          </w:tcPr>
          <w:p>
            <w:pPr>
              <w:ind w:left="980"/>
              <w:spacing w:after="0"/>
              <w:rPr>
                <w:sz w:val="20"/>
                <w:szCs w:val="20"/>
                <w:color w:val="auto"/>
              </w:rPr>
            </w:pPr>
            <w:r>
              <w:rPr>
                <w:rFonts w:ascii="Arial" w:cs="Arial" w:eastAsia="Arial" w:hAnsi="Arial"/>
                <w:sz w:val="16"/>
                <w:szCs w:val="16"/>
                <w:color w:val="auto"/>
              </w:rPr>
              <w:t>Cowen Financial Products LLC</w:t>
            </w:r>
          </w:p>
        </w:tc>
      </w:tr>
      <w:tr>
        <w:trPr>
          <w:trHeight w:val="283"/>
        </w:trPr>
        <w:tc>
          <w:tcPr>
            <w:tcW w:w="2220" w:type="dxa"/>
            <w:vAlign w:val="bottom"/>
          </w:tcPr>
          <w:p>
            <w:pPr>
              <w:spacing w:after="0"/>
              <w:rPr>
                <w:sz w:val="24"/>
                <w:szCs w:val="24"/>
                <w:color w:val="auto"/>
              </w:rPr>
            </w:pPr>
          </w:p>
        </w:tc>
        <w:tc>
          <w:tcPr>
            <w:tcW w:w="1640" w:type="dxa"/>
            <w:vAlign w:val="bottom"/>
          </w:tcPr>
          <w:p>
            <w:pPr>
              <w:ind w:left="980"/>
              <w:spacing w:after="0"/>
              <w:rPr>
                <w:sz w:val="20"/>
                <w:szCs w:val="20"/>
                <w:color w:val="auto"/>
              </w:rPr>
            </w:pPr>
            <w:r>
              <w:rPr>
                <w:rFonts w:ascii="Arial" w:cs="Arial" w:eastAsia="Arial" w:hAnsi="Arial"/>
                <w:sz w:val="16"/>
                <w:szCs w:val="16"/>
                <w:color w:val="auto"/>
              </w:rPr>
              <w:t>By:</w:t>
            </w:r>
          </w:p>
        </w:tc>
        <w:tc>
          <w:tcPr>
            <w:tcW w:w="44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John Holmes</w:t>
            </w:r>
          </w:p>
        </w:tc>
      </w:tr>
      <w:tr>
        <w:trPr>
          <w:trHeight w:val="278"/>
        </w:trPr>
        <w:tc>
          <w:tcPr>
            <w:tcW w:w="2220" w:type="dxa"/>
            <w:vAlign w:val="bottom"/>
          </w:tcPr>
          <w:p>
            <w:pPr>
              <w:spacing w:after="0"/>
              <w:rPr>
                <w:sz w:val="24"/>
                <w:szCs w:val="24"/>
                <w:color w:val="auto"/>
              </w:rPr>
            </w:pPr>
          </w:p>
        </w:tc>
        <w:tc>
          <w:tcPr>
            <w:tcW w:w="1640" w:type="dxa"/>
            <w:vAlign w:val="bottom"/>
          </w:tcPr>
          <w:p>
            <w:pPr>
              <w:ind w:left="980"/>
              <w:spacing w:after="0"/>
              <w:rPr>
                <w:sz w:val="20"/>
                <w:szCs w:val="20"/>
                <w:color w:val="auto"/>
              </w:rPr>
            </w:pPr>
            <w:r>
              <w:rPr>
                <w:rFonts w:ascii="Arial" w:cs="Arial" w:eastAsia="Arial" w:hAnsi="Arial"/>
                <w:sz w:val="16"/>
                <w:szCs w:val="16"/>
                <w:color w:val="auto"/>
              </w:rPr>
              <w:t>Name:</w:t>
            </w:r>
          </w:p>
        </w:tc>
        <w:tc>
          <w:tcPr>
            <w:tcW w:w="4480" w:type="dxa"/>
            <w:vAlign w:val="bottom"/>
          </w:tcPr>
          <w:p>
            <w:pPr>
              <w:spacing w:after="0"/>
              <w:rPr>
                <w:sz w:val="20"/>
                <w:szCs w:val="20"/>
                <w:color w:val="auto"/>
              </w:rPr>
            </w:pPr>
            <w:r>
              <w:rPr>
                <w:rFonts w:ascii="Arial" w:cs="Arial" w:eastAsia="Arial" w:hAnsi="Arial"/>
                <w:sz w:val="16"/>
                <w:szCs w:val="16"/>
                <w:color w:val="auto"/>
              </w:rPr>
              <w:t>John Holmes</w:t>
            </w:r>
          </w:p>
        </w:tc>
      </w:tr>
      <w:tr>
        <w:trPr>
          <w:trHeight w:val="270"/>
        </w:trPr>
        <w:tc>
          <w:tcPr>
            <w:tcW w:w="2220" w:type="dxa"/>
            <w:vAlign w:val="bottom"/>
          </w:tcPr>
          <w:p>
            <w:pPr>
              <w:spacing w:after="0"/>
              <w:rPr>
                <w:sz w:val="23"/>
                <w:szCs w:val="23"/>
                <w:color w:val="auto"/>
              </w:rPr>
            </w:pPr>
          </w:p>
        </w:tc>
        <w:tc>
          <w:tcPr>
            <w:tcW w:w="1640" w:type="dxa"/>
            <w:vAlign w:val="bottom"/>
          </w:tcPr>
          <w:p>
            <w:pPr>
              <w:ind w:left="980"/>
              <w:spacing w:after="0"/>
              <w:rPr>
                <w:sz w:val="20"/>
                <w:szCs w:val="20"/>
                <w:color w:val="auto"/>
              </w:rPr>
            </w:pPr>
            <w:r>
              <w:rPr>
                <w:rFonts w:ascii="Arial" w:cs="Arial" w:eastAsia="Arial" w:hAnsi="Arial"/>
                <w:sz w:val="16"/>
                <w:szCs w:val="16"/>
                <w:color w:val="auto"/>
              </w:rPr>
              <w:t>Title:</w:t>
            </w:r>
          </w:p>
        </w:tc>
        <w:tc>
          <w:tcPr>
            <w:tcW w:w="4480" w:type="dxa"/>
            <w:vAlign w:val="bottom"/>
          </w:tcPr>
          <w:p>
            <w:pPr>
              <w:spacing w:after="0"/>
              <w:rPr>
                <w:sz w:val="20"/>
                <w:szCs w:val="20"/>
                <w:color w:val="auto"/>
              </w:rPr>
            </w:pPr>
            <w:r>
              <w:rPr>
                <w:rFonts w:ascii="Arial" w:cs="Arial" w:eastAsia="Arial" w:hAnsi="Arial"/>
                <w:sz w:val="16"/>
                <w:szCs w:val="16"/>
                <w:color w:val="auto"/>
              </w:rPr>
              <w:t>Chief Operating Officer</w:t>
            </w:r>
          </w:p>
        </w:tc>
      </w:tr>
    </w:tbl>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Attention — Intentional misstatements or omissions of fact constitute Federal criminal violations (See 18 U.S.C. 1001).</w:t>
      </w:r>
    </w:p>
    <w:sectPr>
      <w:pgSz w:w="11900" w:h="16838" w:orient="portrait"/>
      <w:cols w:equalWidth="0" w:num="1">
        <w:col w:w="10139"/>
      </w:cols>
      <w:pgMar w:left="320" w:top="93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lvl w:ilvl="1">
      <w:lvlJc w:val="left"/>
      <w:lvlText w:val="["/>
      <w:numFmt w:val="bullet"/>
      <w:start w:val="1"/>
    </w:lvl>
  </w:abstractNum>
  <w:abstractNum w:abstractNumId="1">
    <w:nsid w:val="3D1B58BA"/>
    <w:multiLevelType w:val="hybridMultilevel"/>
    <w:lvl w:ilvl="0">
      <w:lvlJc w:val="left"/>
      <w:lvlText w:val="1"/>
      <w:numFmt w:val="bullet"/>
      <w:start w:val="1"/>
    </w:lvl>
  </w:abstractNum>
  <w:abstractNum w:abstractNumId="2">
    <w:nsid w:val="507ED7AB"/>
    <w:multiLevelType w:val="hybridMultilevel"/>
    <w:lvl w:ilvl="0">
      <w:lvlJc w:val="left"/>
      <w:lvlText w:val="2"/>
      <w:numFmt w:val="bullet"/>
      <w:start w:val="1"/>
    </w:lvl>
    <w:lvl w:ilvl="1">
      <w:lvlJc w:val="left"/>
      <w:lvlText w:val="(%2)"/>
      <w:numFmt w:val="lowerLetter"/>
      <w:start w:val="1"/>
    </w:lvl>
  </w:abstractNum>
  <w:abstractNum w:abstractNumId="3">
    <w:nsid w:val="2EB141F2"/>
    <w:multiLevelType w:val="hybridMultilevel"/>
    <w:lvl w:ilvl="0">
      <w:lvlJc w:val="left"/>
      <w:lvlText w:val="3"/>
      <w:numFmt w:val="bullet"/>
      <w:start w:val="1"/>
    </w:lvl>
  </w:abstractNum>
  <w:abstractNum w:abstractNumId="4">
    <w:nsid w:val="41B71EFB"/>
    <w:multiLevelType w:val="hybridMultilevel"/>
    <w:lvl w:ilvl="0">
      <w:lvlJc w:val="left"/>
      <w:lvlText w:val="4"/>
      <w:numFmt w:val="bullet"/>
      <w:start w:val="1"/>
    </w:lvl>
  </w:abstractNum>
  <w:abstractNum w:abstractNumId="5">
    <w:nsid w:val="79E2A9E3"/>
    <w:multiLevelType w:val="hybridMultilevel"/>
    <w:lvl w:ilvl="0">
      <w:lvlJc w:val="left"/>
      <w:lvlText w:val="9"/>
      <w:numFmt w:val="bullet"/>
      <w:start w:val="1"/>
    </w:lvl>
  </w:abstractNum>
  <w:abstractNum w:abstractNumId="6">
    <w:nsid w:val="7545E146"/>
    <w:multiLevelType w:val="hybridMultilevel"/>
    <w:lvl w:ilvl="0">
      <w:lvlJc w:val="left"/>
      <w:lvlText w:val="%1"/>
      <w:numFmt w:val="decimal"/>
      <w:start w:val="10"/>
    </w:lvl>
  </w:abstractNum>
  <w:abstractNum w:abstractNumId="7">
    <w:nsid w:val="515F007C"/>
    <w:multiLevelType w:val="hybridMultilevel"/>
    <w:lvl w:ilvl="0">
      <w:lvlJc w:val="left"/>
      <w:lvlText w:val="(%1)"/>
      <w:numFmt w:val="lowerLetter"/>
      <w:start w:val="1"/>
    </w:lvl>
  </w:abstractNum>
  <w:abstractNum w:abstractNumId="8">
    <w:nsid w:val="5BD062C2"/>
    <w:multiLevelType w:val="hybridMultilevel"/>
    <w:lvl w:ilvl="0">
      <w:lvlJc w:val="left"/>
      <w:lvlText w:val="(%1)"/>
      <w:numFmt w:val="lowerLetter"/>
      <w:start w:val="3"/>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2021-12-17T14:58:51Z</dcterms:created>
  <dcterms:modified xsi:type="dcterms:W3CDTF">2021-12-17T14:58:51Z</dcterms:modified>
</cp:coreProperties>
</file>