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filed with the Securities and Exchange Commission on September 18, 2019</w:t>
      </w:r>
    </w:p>
    <w:p>
      <w:pPr>
        <w:spacing w:after="0" w:line="4" w:lineRule="exact"/>
        <w:rPr>
          <w:sz w:val="24"/>
          <w:szCs w:val="24"/>
          <w:color w:val="auto"/>
        </w:rPr>
      </w:pPr>
    </w:p>
    <w:p>
      <w:pPr>
        <w:ind w:left="93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107315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Exagen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980" w:type="dxa"/>
            <w:vAlign w:val="bottom"/>
          </w:tcPr>
          <w:p>
            <w:pPr>
              <w:jc w:val="center"/>
              <w:ind w:right="1211"/>
              <w:spacing w:after="0"/>
              <w:rPr>
                <w:sz w:val="20"/>
                <w:szCs w:val="20"/>
                <w:color w:val="auto"/>
              </w:rPr>
            </w:pPr>
            <w:r>
              <w:rPr>
                <w:rFonts w:ascii="Arial" w:cs="Arial" w:eastAsia="Arial" w:hAnsi="Arial"/>
                <w:sz w:val="14"/>
                <w:szCs w:val="14"/>
                <w:b w:val="1"/>
                <w:bCs w:val="1"/>
                <w:color w:val="auto"/>
                <w:w w:val="94"/>
              </w:rPr>
              <w:t>Delaware</w:t>
            </w:r>
          </w:p>
        </w:tc>
        <w:tc>
          <w:tcPr>
            <w:tcW w:w="26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6"/>
              </w:rPr>
              <w:t>8071</w:t>
            </w:r>
          </w:p>
        </w:tc>
        <w:tc>
          <w:tcPr>
            <w:tcW w:w="420" w:type="dxa"/>
            <w:vAlign w:val="bottom"/>
          </w:tcPr>
          <w:p>
            <w:pPr>
              <w:spacing w:after="0"/>
              <w:rPr>
                <w:sz w:val="14"/>
                <w:szCs w:val="14"/>
                <w:color w:val="auto"/>
              </w:rPr>
            </w:pPr>
          </w:p>
        </w:tc>
        <w:tc>
          <w:tcPr>
            <w:tcW w:w="2800" w:type="dxa"/>
            <w:vAlign w:val="bottom"/>
          </w:tcPr>
          <w:p>
            <w:pPr>
              <w:jc w:val="center"/>
              <w:ind w:left="1490"/>
              <w:spacing w:after="0"/>
              <w:rPr>
                <w:sz w:val="20"/>
                <w:szCs w:val="20"/>
                <w:color w:val="auto"/>
              </w:rPr>
            </w:pPr>
            <w:r>
              <w:rPr>
                <w:rFonts w:ascii="Arial" w:cs="Arial" w:eastAsia="Arial" w:hAnsi="Arial"/>
                <w:sz w:val="14"/>
                <w:szCs w:val="14"/>
                <w:b w:val="1"/>
                <w:bCs w:val="1"/>
                <w:color w:val="auto"/>
                <w:w w:val="90"/>
              </w:rPr>
              <w:t>20-0434866</w:t>
            </w:r>
          </w:p>
        </w:tc>
      </w:tr>
      <w:tr>
        <w:trPr>
          <w:trHeight w:val="135"/>
        </w:trPr>
        <w:tc>
          <w:tcPr>
            <w:tcW w:w="2980" w:type="dxa"/>
            <w:vAlign w:val="bottom"/>
          </w:tcPr>
          <w:p>
            <w:pPr>
              <w:jc w:val="center"/>
              <w:ind w:right="1211"/>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60" w:type="dxa"/>
            <w:vAlign w:val="bottom"/>
          </w:tcPr>
          <w:p>
            <w:pPr>
              <w:spacing w:after="0"/>
              <w:rPr>
                <w:sz w:val="11"/>
                <w:szCs w:val="11"/>
                <w:color w:val="auto"/>
              </w:rPr>
            </w:pPr>
          </w:p>
        </w:tc>
        <w:tc>
          <w:tcPr>
            <w:tcW w:w="2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800" w:type="dxa"/>
            <w:vAlign w:val="bottom"/>
          </w:tcPr>
          <w:p>
            <w:pPr>
              <w:jc w:val="center"/>
              <w:ind w:left="1490"/>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980" w:type="dxa"/>
            <w:vAlign w:val="bottom"/>
          </w:tcPr>
          <w:p>
            <w:pPr>
              <w:jc w:val="center"/>
              <w:ind w:right="1211"/>
              <w:spacing w:after="0"/>
              <w:rPr>
                <w:sz w:val="20"/>
                <w:szCs w:val="20"/>
                <w:color w:val="auto"/>
              </w:rPr>
            </w:pPr>
            <w:r>
              <w:rPr>
                <w:rFonts w:ascii="Arial" w:cs="Arial" w:eastAsia="Arial" w:hAnsi="Arial"/>
                <w:sz w:val="13"/>
                <w:szCs w:val="13"/>
                <w:b w:val="1"/>
                <w:bCs w:val="1"/>
                <w:color w:val="auto"/>
                <w:w w:val="90"/>
              </w:rPr>
              <w:t>Incorporation or Organization)</w:t>
            </w:r>
          </w:p>
        </w:tc>
        <w:tc>
          <w:tcPr>
            <w:tcW w:w="360" w:type="dxa"/>
            <w:vAlign w:val="bottom"/>
          </w:tcPr>
          <w:p>
            <w:pPr>
              <w:spacing w:after="0"/>
              <w:rPr>
                <w:sz w:val="14"/>
                <w:szCs w:val="14"/>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Classification Code Number)</w:t>
            </w:r>
          </w:p>
        </w:tc>
        <w:tc>
          <w:tcPr>
            <w:tcW w:w="2800" w:type="dxa"/>
            <w:vAlign w:val="bottom"/>
          </w:tcPr>
          <w:p>
            <w:pPr>
              <w:jc w:val="center"/>
              <w:ind w:left="1490"/>
              <w:spacing w:after="0"/>
              <w:rPr>
                <w:sz w:val="20"/>
                <w:szCs w:val="20"/>
                <w:color w:val="auto"/>
              </w:rPr>
            </w:pPr>
            <w:r>
              <w:rPr>
                <w:rFonts w:ascii="Arial" w:cs="Arial" w:eastAsia="Arial" w:hAnsi="Arial"/>
                <w:sz w:val="13"/>
                <w:szCs w:val="13"/>
                <w:b w:val="1"/>
                <w:bCs w:val="1"/>
                <w:color w:val="auto"/>
                <w:w w:val="89"/>
              </w:rPr>
              <w:t>Identification Number)</w:t>
            </w:r>
          </w:p>
        </w:tc>
      </w:tr>
      <w:tr>
        <w:trPr>
          <w:trHeight w:val="207"/>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1261 Liberty Way, Suite C</w:t>
            </w:r>
          </w:p>
        </w:tc>
        <w:tc>
          <w:tcPr>
            <w:tcW w:w="2800" w:type="dxa"/>
            <w:vAlign w:val="bottom"/>
          </w:tcPr>
          <w:p>
            <w:pPr>
              <w:spacing w:after="0"/>
              <w:rPr>
                <w:sz w:val="17"/>
                <w:szCs w:val="17"/>
                <w:color w:val="auto"/>
              </w:rPr>
            </w:pPr>
          </w:p>
        </w:tc>
      </w:tr>
      <w:tr>
        <w:trPr>
          <w:trHeight w:val="165"/>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Vista, California 92081</w:t>
            </w:r>
          </w:p>
        </w:tc>
        <w:tc>
          <w:tcPr>
            <w:tcW w:w="2800" w:type="dxa"/>
            <w:vAlign w:val="bottom"/>
          </w:tcPr>
          <w:p>
            <w:pPr>
              <w:spacing w:after="0"/>
              <w:rPr>
                <w:sz w:val="14"/>
                <w:szCs w:val="14"/>
                <w:color w:val="auto"/>
              </w:rPr>
            </w:pPr>
          </w:p>
        </w:tc>
      </w:tr>
      <w:tr>
        <w:trPr>
          <w:trHeight w:val="153"/>
        </w:trPr>
        <w:tc>
          <w:tcPr>
            <w:tcW w:w="2980" w:type="dxa"/>
            <w:vAlign w:val="bottom"/>
          </w:tcPr>
          <w:p>
            <w:pPr>
              <w:spacing w:after="0"/>
              <w:rPr>
                <w:sz w:val="13"/>
                <w:szCs w:val="13"/>
                <w:color w:val="auto"/>
              </w:rPr>
            </w:pPr>
          </w:p>
        </w:tc>
        <w:tc>
          <w:tcPr>
            <w:tcW w:w="2660" w:type="dxa"/>
            <w:vAlign w:val="bottom"/>
            <w:gridSpan w:val="2"/>
          </w:tcPr>
          <w:p>
            <w:pPr>
              <w:jc w:val="center"/>
              <w:ind w:left="288"/>
              <w:spacing w:after="0" w:line="153" w:lineRule="exact"/>
              <w:rPr>
                <w:sz w:val="20"/>
                <w:szCs w:val="20"/>
                <w:color w:val="auto"/>
              </w:rPr>
            </w:pPr>
            <w:r>
              <w:rPr>
                <w:rFonts w:ascii="Arial" w:cs="Arial" w:eastAsia="Arial" w:hAnsi="Arial"/>
                <w:sz w:val="14"/>
                <w:szCs w:val="14"/>
                <w:b w:val="1"/>
                <w:bCs w:val="1"/>
                <w:color w:val="auto"/>
                <w:w w:val="93"/>
              </w:rPr>
              <w:t>(760) 560-1501</w:t>
            </w: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164"/>
        </w:trPr>
        <w:tc>
          <w:tcPr>
            <w:tcW w:w="8860" w:type="dxa"/>
            <w:vAlign w:val="bottom"/>
            <w:gridSpan w:val="5"/>
          </w:tcPr>
          <w:p>
            <w:pPr>
              <w:jc w:val="center"/>
              <w:ind w:left="71"/>
              <w:spacing w:after="0"/>
              <w:rPr>
                <w:sz w:val="20"/>
                <w:szCs w:val="20"/>
                <w:color w:val="auto"/>
              </w:rPr>
            </w:pPr>
            <w:r>
              <w:rPr>
                <w:rFonts w:ascii="Arial" w:cs="Arial" w:eastAsia="Arial" w:hAnsi="Arial"/>
                <w:sz w:val="13"/>
                <w:szCs w:val="13"/>
                <w:b w:val="1"/>
                <w:bCs w:val="1"/>
                <w:color w:val="auto"/>
                <w:w w:val="87"/>
              </w:rPr>
              <w:t>(Address, Including Zip Code, and Telephone Number, Including Area Code, of Registrant’s Principal Executive Offices)</w:t>
            </w:r>
          </w:p>
        </w:tc>
      </w:tr>
      <w:tr>
        <w:trPr>
          <w:trHeight w:val="165"/>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3"/>
        </w:trPr>
        <w:tc>
          <w:tcPr>
            <w:tcW w:w="2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Fortunato Ron Rocca</w:t>
            </w:r>
          </w:p>
        </w:tc>
        <w:tc>
          <w:tcPr>
            <w:tcW w:w="2800" w:type="dxa"/>
            <w:vAlign w:val="bottom"/>
          </w:tcPr>
          <w:p>
            <w:pPr>
              <w:spacing w:after="0"/>
              <w:rPr>
                <w:sz w:val="15"/>
                <w:szCs w:val="15"/>
                <w:color w:val="auto"/>
              </w:rPr>
            </w:pPr>
          </w:p>
        </w:tc>
      </w:tr>
      <w:tr>
        <w:trPr>
          <w:trHeight w:val="149"/>
        </w:trPr>
        <w:tc>
          <w:tcPr>
            <w:tcW w:w="2980" w:type="dxa"/>
            <w:vAlign w:val="bottom"/>
          </w:tcPr>
          <w:p>
            <w:pPr>
              <w:spacing w:after="0"/>
              <w:rPr>
                <w:sz w:val="12"/>
                <w:szCs w:val="12"/>
                <w:color w:val="auto"/>
              </w:rPr>
            </w:pPr>
          </w:p>
        </w:tc>
        <w:tc>
          <w:tcPr>
            <w:tcW w:w="3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280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1261 Liberty Way, Suite C</w:t>
            </w:r>
          </w:p>
        </w:tc>
        <w:tc>
          <w:tcPr>
            <w:tcW w:w="280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Vista, California 92081</w:t>
            </w:r>
          </w:p>
        </w:tc>
        <w:tc>
          <w:tcPr>
            <w:tcW w:w="2800" w:type="dxa"/>
            <w:vAlign w:val="bottom"/>
          </w:tcPr>
          <w:p>
            <w:pPr>
              <w:spacing w:after="0"/>
              <w:rPr>
                <w:sz w:val="12"/>
                <w:szCs w:val="12"/>
                <w:color w:val="auto"/>
              </w:rPr>
            </w:pPr>
          </w:p>
        </w:tc>
      </w:tr>
      <w:tr>
        <w:trPr>
          <w:trHeight w:val="153"/>
        </w:trPr>
        <w:tc>
          <w:tcPr>
            <w:tcW w:w="2980" w:type="dxa"/>
            <w:vAlign w:val="bottom"/>
          </w:tcPr>
          <w:p>
            <w:pPr>
              <w:spacing w:after="0"/>
              <w:rPr>
                <w:sz w:val="13"/>
                <w:szCs w:val="13"/>
                <w:color w:val="auto"/>
              </w:rPr>
            </w:pPr>
          </w:p>
        </w:tc>
        <w:tc>
          <w:tcPr>
            <w:tcW w:w="2660" w:type="dxa"/>
            <w:vAlign w:val="bottom"/>
            <w:gridSpan w:val="2"/>
          </w:tcPr>
          <w:p>
            <w:pPr>
              <w:jc w:val="center"/>
              <w:ind w:left="288"/>
              <w:spacing w:after="0" w:line="153" w:lineRule="exact"/>
              <w:rPr>
                <w:sz w:val="20"/>
                <w:szCs w:val="20"/>
                <w:color w:val="auto"/>
              </w:rPr>
            </w:pPr>
            <w:r>
              <w:rPr>
                <w:rFonts w:ascii="Arial" w:cs="Arial" w:eastAsia="Arial" w:hAnsi="Arial"/>
                <w:sz w:val="14"/>
                <w:szCs w:val="14"/>
                <w:b w:val="1"/>
                <w:bCs w:val="1"/>
                <w:color w:val="auto"/>
                <w:w w:val="93"/>
              </w:rPr>
              <w:t>(760) 560-1501</w:t>
            </w: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164"/>
        </w:trPr>
        <w:tc>
          <w:tcPr>
            <w:tcW w:w="8860" w:type="dxa"/>
            <w:vAlign w:val="bottom"/>
            <w:gridSpan w:val="5"/>
          </w:tcPr>
          <w:p>
            <w:pPr>
              <w:jc w:val="center"/>
              <w:ind w:left="71"/>
              <w:spacing w:after="0"/>
              <w:rPr>
                <w:sz w:val="20"/>
                <w:szCs w:val="20"/>
                <w:color w:val="auto"/>
              </w:rPr>
            </w:pPr>
            <w:r>
              <w:rPr>
                <w:rFonts w:ascii="Arial" w:cs="Arial" w:eastAsia="Arial" w:hAnsi="Arial"/>
                <w:sz w:val="13"/>
                <w:szCs w:val="13"/>
                <w:b w:val="1"/>
                <w:bCs w:val="1"/>
                <w:color w:val="auto"/>
                <w:w w:val="87"/>
              </w:rPr>
              <w:t>(Name, Address, Including Zip Code, and Telephone Number, Including Area Code, of Agent For Service)</w:t>
            </w:r>
          </w:p>
        </w:tc>
      </w:tr>
      <w:tr>
        <w:trPr>
          <w:trHeight w:val="178"/>
        </w:trPr>
        <w:tc>
          <w:tcPr>
            <w:tcW w:w="2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11"/>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2"/>
          </w:tcPr>
          <w:p>
            <w:pPr>
              <w:jc w:val="center"/>
              <w:ind w:right="400"/>
              <w:spacing w:after="0"/>
              <w:rPr>
                <w:sz w:val="20"/>
                <w:szCs w:val="20"/>
                <w:color w:val="auto"/>
              </w:rPr>
            </w:pPr>
            <w:r>
              <w:rPr>
                <w:rFonts w:ascii="Arial" w:cs="Arial" w:eastAsia="Arial" w:hAnsi="Arial"/>
                <w:sz w:val="14"/>
                <w:szCs w:val="14"/>
                <w:b w:val="1"/>
                <w:bCs w:val="1"/>
                <w:i w:val="1"/>
                <w:iCs w:val="1"/>
                <w:color w:val="auto"/>
                <w:w w:val="87"/>
              </w:rPr>
              <w:t>Copies to:</w:t>
            </w:r>
          </w:p>
        </w:tc>
        <w:tc>
          <w:tcPr>
            <w:tcW w:w="2800" w:type="dxa"/>
            <w:vAlign w:val="bottom"/>
          </w:tcPr>
          <w:p>
            <w:pPr>
              <w:spacing w:after="0"/>
              <w:rPr>
                <w:sz w:val="18"/>
                <w:szCs w:val="18"/>
                <w:color w:val="auto"/>
              </w:rPr>
            </w:pPr>
          </w:p>
        </w:tc>
      </w:tr>
      <w:tr>
        <w:trPr>
          <w:trHeight w:val="178"/>
        </w:trPr>
        <w:tc>
          <w:tcPr>
            <w:tcW w:w="2980" w:type="dxa"/>
            <w:vAlign w:val="bottom"/>
          </w:tcPr>
          <w:p>
            <w:pPr>
              <w:jc w:val="center"/>
              <w:ind w:left="471"/>
              <w:spacing w:after="0"/>
              <w:rPr>
                <w:sz w:val="20"/>
                <w:szCs w:val="20"/>
                <w:color w:val="auto"/>
              </w:rPr>
            </w:pPr>
            <w:r>
              <w:rPr>
                <w:rFonts w:ascii="Arial" w:cs="Arial" w:eastAsia="Arial" w:hAnsi="Arial"/>
                <w:sz w:val="14"/>
                <w:szCs w:val="14"/>
                <w:b w:val="1"/>
                <w:bCs w:val="1"/>
                <w:color w:val="auto"/>
                <w:w w:val="91"/>
              </w:rPr>
              <w:t>Cheston J. Larson</w:t>
            </w:r>
          </w:p>
        </w:tc>
        <w:tc>
          <w:tcPr>
            <w:tcW w:w="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tcPr>
          <w:p>
            <w:pPr>
              <w:jc w:val="center"/>
              <w:ind w:right="190"/>
              <w:spacing w:after="0"/>
              <w:rPr>
                <w:sz w:val="20"/>
                <w:szCs w:val="20"/>
                <w:color w:val="auto"/>
              </w:rPr>
            </w:pPr>
            <w:r>
              <w:rPr>
                <w:rFonts w:ascii="Arial" w:cs="Arial" w:eastAsia="Arial" w:hAnsi="Arial"/>
                <w:sz w:val="14"/>
                <w:szCs w:val="14"/>
                <w:b w:val="1"/>
                <w:bCs w:val="1"/>
                <w:color w:val="auto"/>
                <w:w w:val="95"/>
              </w:rPr>
              <w:t>Charles S. Kim</w:t>
            </w:r>
          </w:p>
        </w:tc>
      </w:tr>
      <w:tr>
        <w:trPr>
          <w:trHeight w:val="149"/>
        </w:trPr>
        <w:tc>
          <w:tcPr>
            <w:tcW w:w="29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5"/>
              </w:rPr>
              <w:t>Matthew T. Bush</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Sean Clayton</w:t>
            </w:r>
          </w:p>
        </w:tc>
      </w:tr>
      <w:tr>
        <w:trPr>
          <w:trHeight w:val="149"/>
        </w:trPr>
        <w:tc>
          <w:tcPr>
            <w:tcW w:w="2980" w:type="dxa"/>
            <w:vAlign w:val="bottom"/>
          </w:tcPr>
          <w:p>
            <w:pPr>
              <w:jc w:val="center"/>
              <w:ind w:left="471"/>
              <w:spacing w:after="0" w:line="149" w:lineRule="exact"/>
              <w:rPr>
                <w:sz w:val="20"/>
                <w:szCs w:val="20"/>
                <w:color w:val="auto"/>
              </w:rPr>
            </w:pPr>
            <w:r>
              <w:rPr>
                <w:rFonts w:ascii="Arial" w:cs="Arial" w:eastAsia="Arial" w:hAnsi="Arial"/>
                <w:sz w:val="14"/>
                <w:szCs w:val="14"/>
                <w:b w:val="1"/>
                <w:bCs w:val="1"/>
                <w:color w:val="auto"/>
                <w:w w:val="93"/>
              </w:rPr>
              <w:t>Jeffrey T. Woodley</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Kristin VanderPas</w:t>
            </w:r>
          </w:p>
        </w:tc>
      </w:tr>
      <w:tr>
        <w:trPr>
          <w:trHeight w:val="149"/>
        </w:trPr>
        <w:tc>
          <w:tcPr>
            <w:tcW w:w="29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ind w:right="190"/>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9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5"/>
              </w:rPr>
              <w:t>12670 High Bluff Drive</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980" w:type="dxa"/>
            <w:vAlign w:val="bottom"/>
          </w:tcPr>
          <w:p>
            <w:pPr>
              <w:jc w:val="center"/>
              <w:ind w:left="471"/>
              <w:spacing w:after="0" w:line="149" w:lineRule="exact"/>
              <w:rPr>
                <w:sz w:val="20"/>
                <w:szCs w:val="20"/>
                <w:color w:val="auto"/>
              </w:rPr>
            </w:pPr>
            <w:r>
              <w:rPr>
                <w:rFonts w:ascii="Arial" w:cs="Arial" w:eastAsia="Arial" w:hAnsi="Arial"/>
                <w:sz w:val="14"/>
                <w:szCs w:val="14"/>
                <w:b w:val="1"/>
                <w:bCs w:val="1"/>
                <w:color w:val="auto"/>
                <w:w w:val="93"/>
              </w:rPr>
              <w:t>San Diego, California 92130</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San Diego, California 92121</w:t>
            </w:r>
          </w:p>
        </w:tc>
      </w:tr>
      <w:tr>
        <w:trPr>
          <w:trHeight w:val="186"/>
        </w:trPr>
        <w:tc>
          <w:tcPr>
            <w:tcW w:w="2980" w:type="dxa"/>
            <w:vAlign w:val="bottom"/>
          </w:tcPr>
          <w:p>
            <w:pPr>
              <w:jc w:val="center"/>
              <w:ind w:left="491"/>
              <w:spacing w:after="0"/>
              <w:rPr>
                <w:sz w:val="20"/>
                <w:szCs w:val="20"/>
                <w:color w:val="auto"/>
              </w:rPr>
            </w:pPr>
            <w:r>
              <w:rPr>
                <w:rFonts w:ascii="Arial" w:cs="Arial" w:eastAsia="Arial" w:hAnsi="Arial"/>
                <w:sz w:val="14"/>
                <w:szCs w:val="14"/>
                <w:b w:val="1"/>
                <w:bCs w:val="1"/>
                <w:color w:val="auto"/>
                <w:w w:val="93"/>
              </w:rPr>
              <w:t>(858) 523-5400</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tcPr>
          <w:p>
            <w:pPr>
              <w:jc w:val="center"/>
              <w:ind w:right="190"/>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110490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46" w:lineRule="exact"/>
        <w:rPr>
          <w:sz w:val="24"/>
          <w:szCs w:val="24"/>
          <w:color w:val="auto"/>
        </w:rPr>
      </w:pPr>
    </w:p>
    <w:p>
      <w:pPr>
        <w:ind w:right="36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60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(File No. 333-233446)</w:t>
      </w:r>
    </w:p>
    <w:p>
      <w:pPr>
        <w:spacing w:after="0" w:line="19" w:lineRule="exact"/>
        <w:rPr>
          <w:sz w:val="24"/>
          <w:szCs w:val="24"/>
          <w:color w:val="auto"/>
        </w:rPr>
      </w:pPr>
    </w:p>
    <w:p>
      <w:pPr>
        <w:ind w:right="14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2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441"/>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6"/>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40" w:type="dxa"/>
            <w:vAlign w:val="bottom"/>
          </w:tcPr>
          <w:p>
            <w:pPr>
              <w:ind w:left="362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36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100330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Fee(2)(3)</w:t>
            </w:r>
          </w:p>
        </w:tc>
      </w:tr>
      <w:tr>
        <w:trPr>
          <w:trHeight w:val="145"/>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 $0.001 par value per share</w:t>
            </w:r>
          </w:p>
        </w:tc>
        <w:tc>
          <w:tcPr>
            <w:tcW w:w="1540" w:type="dxa"/>
            <w:vAlign w:val="bottom"/>
            <w:tcBorders>
              <w:bottom w:val="single" w:sz="8" w:color="auto"/>
              <w:right w:val="single" w:sz="8" w:color="auto"/>
            </w:tcBorders>
          </w:tcPr>
          <w:p>
            <w:pPr>
              <w:jc w:val="right"/>
              <w:ind w:right="455"/>
              <w:spacing w:after="0" w:line="145" w:lineRule="exact"/>
              <w:rPr>
                <w:sz w:val="20"/>
                <w:szCs w:val="20"/>
                <w:color w:val="auto"/>
              </w:rPr>
            </w:pPr>
            <w:r>
              <w:rPr>
                <w:rFonts w:ascii="Arial" w:cs="Arial" w:eastAsia="Arial" w:hAnsi="Arial"/>
                <w:sz w:val="14"/>
                <w:szCs w:val="14"/>
                <w:color w:val="auto"/>
              </w:rPr>
              <w:t>306,666</w:t>
            </w:r>
          </w:p>
        </w:tc>
        <w:tc>
          <w:tcPr>
            <w:tcW w:w="1540" w:type="dxa"/>
            <w:vAlign w:val="bottom"/>
            <w:tcBorders>
              <w:bottom w:val="single" w:sz="8" w:color="auto"/>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8"/>
              </w:rPr>
              <w:t>$14.00</w:t>
            </w:r>
          </w:p>
        </w:tc>
        <w:tc>
          <w:tcPr>
            <w:tcW w:w="1540" w:type="dxa"/>
            <w:vAlign w:val="bottom"/>
            <w:tcBorders>
              <w:bottom w:val="single" w:sz="8" w:color="auto"/>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4"/>
              </w:rPr>
              <w:t>$4,293,324</w:t>
            </w:r>
          </w:p>
        </w:tc>
        <w:tc>
          <w:tcPr>
            <w:tcW w:w="15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4"/>
                <w:szCs w:val="14"/>
                <w:color w:val="auto"/>
                <w:w w:val="90"/>
              </w:rPr>
              <w:t>$520.36</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40" w:right="160" w:hanging="436"/>
        <w:spacing w:after="0" w:line="264"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only the additional number of shares being registered and includes 40,000 additional shares of common stock that the underwriters have the option to purchase. This does not include the securities that the Registrant previously registered on the Registration Statement on Form S-1, as amended (File No. 333-233446) (“Prior Registration Statement”).</w:t>
      </w:r>
    </w:p>
    <w:p>
      <w:pPr>
        <w:ind w:left="440" w:hanging="436"/>
        <w:spacing w:after="0" w:line="221"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457(a) under the Securities Act of 1933, as amended.</w:t>
      </w:r>
    </w:p>
    <w:p>
      <w:pPr>
        <w:ind w:left="440" w:right="100" w:hanging="436"/>
        <w:spacing w:after="0" w:line="255"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registered 3,833,334 shares of its common stock with an aggregate offering price not to exceed $61,333,344 on the Prior Registration Statement, which was declared effective by the Securities and Exchange Commission on September 18, 2019. In accordance with Rule 462(b) under the Securities Act, an additional amount of securities having a proposed maximum aggregate offering price of $4,293,324 are hereby registered, which includes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95885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Registration Statement shall become effective upon filing in accordance with Rule 462(b)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5"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This Registration Statement on Form S-1 (this “Registration Statement”) is being filed pursuant to Rule 462(b) under the Securities Act of 1933, as amended, for the sole purpose of increasing the aggregate number of shares of common stock offered by Exagen Inc. (the “Registrant”) by</w:t>
      </w: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306,666 shares, 40,000 of which are subject to purchase upon exercise of the underwriters’ option to purchase additional shares of the Registrant’s common stock. The additional securities that are being registered for sale are in an amount and at a price that together represent no more than 20% of the maximum aggregate offering price set forth in the Calculation of Registration Fee table contained in the Registration Statement on </w:t>
      </w:r>
      <w:hyperlink r:id="rId19">
        <w:r>
          <w:rPr>
            <w:rFonts w:ascii="Arial" w:cs="Arial" w:eastAsia="Arial" w:hAnsi="Arial"/>
            <w:sz w:val="18"/>
            <w:szCs w:val="18"/>
            <w:u w:val="single" w:color="auto"/>
            <w:color w:val="0000EE"/>
          </w:rPr>
          <w:t>Form S-1</w:t>
        </w:r>
      </w:hyperlink>
      <w:r>
        <w:rPr>
          <w:rFonts w:ascii="Arial" w:cs="Arial" w:eastAsia="Arial" w:hAnsi="Arial"/>
          <w:sz w:val="18"/>
          <w:szCs w:val="18"/>
          <w:color w:val="auto"/>
        </w:rPr>
        <w:t>, as amended (File No. 333-233446) (the “Prior Registration Statement”). The information set forth in the Prior Registration Statement and all exhibits thereto are hereby incorporated by reference in this filing.</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500" w:type="dxa"/>
            <w:vAlign w:val="bottom"/>
            <w:gridSpan w:val="4"/>
          </w:tcPr>
          <w:p>
            <w:pPr>
              <w:ind w:left="2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60" w:type="dxa"/>
            <w:vAlign w:val="bottom"/>
          </w:tcPr>
          <w:p>
            <w:pPr>
              <w:jc w:val="right"/>
              <w:ind w:right="596"/>
              <w:spacing w:after="0"/>
              <w:rPr>
                <w:sz w:val="20"/>
                <w:szCs w:val="20"/>
                <w:color w:val="auto"/>
              </w:rPr>
            </w:pPr>
            <w:r>
              <w:rPr>
                <w:rFonts w:ascii="Arial" w:cs="Arial" w:eastAsia="Arial" w:hAnsi="Arial"/>
                <w:sz w:val="14"/>
                <w:szCs w:val="14"/>
                <w:b w:val="1"/>
                <w:bCs w:val="1"/>
                <w:color w:val="auto"/>
                <w:w w:val="98"/>
              </w:rPr>
              <w:t>Exhibit</w:t>
            </w:r>
          </w:p>
        </w:tc>
        <w:tc>
          <w:tcPr>
            <w:tcW w:w="1400" w:type="dxa"/>
            <w:vAlign w:val="bottom"/>
          </w:tcPr>
          <w:p>
            <w:pPr>
              <w:spacing w:after="0"/>
              <w:rPr>
                <w:sz w:val="24"/>
                <w:szCs w:val="24"/>
                <w:color w:val="auto"/>
              </w:rPr>
            </w:pPr>
          </w:p>
        </w:tc>
        <w:tc>
          <w:tcPr>
            <w:tcW w:w="7500" w:type="dxa"/>
            <w:vAlign w:val="bottom"/>
            <w:gridSpan w:val="4"/>
            <w:vMerge w:val="restart"/>
          </w:tcPr>
          <w:p>
            <w:pPr>
              <w:ind w:left="28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160" w:type="dxa"/>
            <w:vAlign w:val="bottom"/>
          </w:tcPr>
          <w:p>
            <w:pPr>
              <w:jc w:val="right"/>
              <w:ind w:right="556"/>
              <w:spacing w:after="0"/>
              <w:rPr>
                <w:sz w:val="20"/>
                <w:szCs w:val="20"/>
                <w:color w:val="auto"/>
              </w:rPr>
            </w:pPr>
            <w:r>
              <w:rPr>
                <w:rFonts w:ascii="Arial" w:cs="Arial" w:eastAsia="Arial" w:hAnsi="Arial"/>
                <w:sz w:val="14"/>
                <w:szCs w:val="14"/>
                <w:b w:val="1"/>
                <w:bCs w:val="1"/>
                <w:color w:val="auto"/>
                <w:w w:val="94"/>
              </w:rPr>
              <w:t>Number</w:t>
            </w:r>
          </w:p>
        </w:tc>
        <w:tc>
          <w:tcPr>
            <w:tcW w:w="1400" w:type="dxa"/>
            <w:vAlign w:val="bottom"/>
          </w:tcPr>
          <w:p>
            <w:pPr>
              <w:spacing w:after="0"/>
              <w:rPr>
                <w:sz w:val="16"/>
                <w:szCs w:val="16"/>
                <w:color w:val="auto"/>
              </w:rPr>
            </w:pPr>
          </w:p>
        </w:tc>
        <w:tc>
          <w:tcPr>
            <w:tcW w:w="7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60" w:type="dxa"/>
            <w:vAlign w:val="bottom"/>
          </w:tcPr>
          <w:p>
            <w:pPr>
              <w:jc w:val="right"/>
              <w:ind w:right="756"/>
              <w:spacing w:after="0"/>
              <w:rPr>
                <w:sz w:val="20"/>
                <w:szCs w:val="20"/>
                <w:color w:val="auto"/>
              </w:rPr>
            </w:pPr>
            <w:r>
              <w:rPr>
                <w:rFonts w:ascii="Arial" w:cs="Arial" w:eastAsia="Arial" w:hAnsi="Arial"/>
                <w:sz w:val="18"/>
                <w:szCs w:val="18"/>
                <w:color w:val="auto"/>
              </w:rPr>
              <w:t>5.1</w:t>
            </w:r>
          </w:p>
        </w:tc>
        <w:tc>
          <w:tcPr>
            <w:tcW w:w="8900" w:type="dxa"/>
            <w:vAlign w:val="bottom"/>
            <w:tcBorders>
              <w:bottom w:val="single" w:sz="8" w:color="0000EE"/>
            </w:tcBorders>
            <w:gridSpan w:val="5"/>
          </w:tcPr>
          <w:p>
            <w:pPr>
              <w:spacing w:after="0"/>
              <w:rPr>
                <w:rFonts w:ascii="Arial" w:cs="Arial" w:eastAsia="Arial" w:hAnsi="Arial"/>
                <w:sz w:val="18"/>
                <w:szCs w:val="18"/>
                <w:color w:val="0000EE"/>
                <w:w w:val="92"/>
              </w:rPr>
            </w:pPr>
            <w:hyperlink r:id="rId20">
              <w:r>
                <w:rPr>
                  <w:rFonts w:ascii="Arial" w:cs="Arial" w:eastAsia="Arial" w:hAnsi="Arial"/>
                  <w:sz w:val="18"/>
                  <w:szCs w:val="18"/>
                  <w:color w:val="0000EE"/>
                  <w:w w:val="92"/>
                </w:rPr>
                <w:t>Opinion of Latham &amp; Watkins LLP (incorporated by reference to Exhibit 5.1 filed with the Prior Registration Statement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900" w:type="dxa"/>
            <w:vAlign w:val="bottom"/>
            <w:gridSpan w:val="5"/>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September 9,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jc w:val="right"/>
              <w:ind w:right="756"/>
              <w:spacing w:after="0"/>
              <w:rPr>
                <w:sz w:val="20"/>
                <w:szCs w:val="20"/>
                <w:color w:val="auto"/>
              </w:rPr>
            </w:pPr>
            <w:r>
              <w:rPr>
                <w:rFonts w:ascii="Arial" w:cs="Arial" w:eastAsia="Arial" w:hAnsi="Arial"/>
                <w:sz w:val="18"/>
                <w:szCs w:val="18"/>
                <w:color w:val="auto"/>
                <w:w w:val="85"/>
              </w:rPr>
              <w:t>23.1</w:t>
            </w:r>
          </w:p>
        </w:tc>
        <w:tc>
          <w:tcPr>
            <w:tcW w:w="890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BDO USA, LLP, independent registered public accounting firm</w:t>
              </w:r>
            </w:hyperlink>
          </w:p>
        </w:tc>
        <w:tc>
          <w:tcPr>
            <w:tcW w:w="0" w:type="dxa"/>
            <w:vAlign w:val="bottom"/>
          </w:tcPr>
          <w:p>
            <w:pPr>
              <w:spacing w:after="0"/>
              <w:rPr>
                <w:sz w:val="1"/>
                <w:szCs w:val="1"/>
                <w:color w:val="auto"/>
              </w:rPr>
            </w:pPr>
          </w:p>
        </w:tc>
      </w:tr>
      <w:tr>
        <w:trPr>
          <w:trHeight w:val="304"/>
        </w:trPr>
        <w:tc>
          <w:tcPr>
            <w:tcW w:w="1160" w:type="dxa"/>
            <w:vAlign w:val="bottom"/>
          </w:tcPr>
          <w:p>
            <w:pPr>
              <w:jc w:val="right"/>
              <w:ind w:right="756"/>
              <w:spacing w:after="0"/>
              <w:rPr>
                <w:sz w:val="20"/>
                <w:szCs w:val="20"/>
                <w:color w:val="auto"/>
              </w:rPr>
            </w:pPr>
            <w:r>
              <w:rPr>
                <w:rFonts w:ascii="Arial" w:cs="Arial" w:eastAsia="Arial" w:hAnsi="Arial"/>
                <w:sz w:val="18"/>
                <w:szCs w:val="18"/>
                <w:color w:val="auto"/>
                <w:w w:val="85"/>
              </w:rPr>
              <w:t>23.2</w:t>
            </w:r>
          </w:p>
        </w:tc>
        <w:tc>
          <w:tcPr>
            <w:tcW w:w="5400" w:type="dxa"/>
            <w:vAlign w:val="bottom"/>
            <w:tcBorders>
              <w:top w:val="single" w:sz="8" w:color="0000EE"/>
            </w:tcBorders>
            <w:gridSpan w:val="3"/>
          </w:tcPr>
          <w:p>
            <w:pPr>
              <w:spacing w:after="0"/>
              <w:rPr>
                <w:rFonts w:ascii="Arial" w:cs="Arial" w:eastAsia="Arial" w:hAnsi="Arial"/>
                <w:sz w:val="18"/>
                <w:szCs w:val="18"/>
                <w:color w:val="0000EE"/>
              </w:rPr>
            </w:pPr>
            <w:hyperlink r:id="rId20">
              <w:r>
                <w:rPr>
                  <w:rFonts w:ascii="Arial" w:cs="Arial" w:eastAsia="Arial" w:hAnsi="Arial"/>
                  <w:sz w:val="18"/>
                  <w:szCs w:val="18"/>
                  <w:color w:val="0000EE"/>
                </w:rPr>
                <w:t>Consent of Latham &amp; Watkins LLP (included in Exhibit 5.1)</w:t>
              </w:r>
            </w:hyperlink>
          </w:p>
        </w:tc>
        <w:tc>
          <w:tcPr>
            <w:tcW w:w="3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jc w:val="right"/>
              <w:ind w:right="756"/>
              <w:spacing w:after="0"/>
              <w:rPr>
                <w:sz w:val="20"/>
                <w:szCs w:val="20"/>
                <w:color w:val="auto"/>
              </w:rPr>
            </w:pPr>
            <w:r>
              <w:rPr>
                <w:rFonts w:ascii="Arial" w:cs="Arial" w:eastAsia="Arial" w:hAnsi="Arial"/>
                <w:sz w:val="18"/>
                <w:szCs w:val="18"/>
                <w:color w:val="auto"/>
                <w:w w:val="85"/>
              </w:rPr>
              <w:t>24.1</w:t>
            </w:r>
          </w:p>
        </w:tc>
        <w:tc>
          <w:tcPr>
            <w:tcW w:w="8100" w:type="dxa"/>
            <w:vAlign w:val="bottom"/>
            <w:tcBorders>
              <w:bottom w:val="single" w:sz="8" w:color="0000EE"/>
            </w:tcBorders>
            <w:gridSpan w:val="4"/>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Power of Attorney (included on the signature page of the Prior Registration Statement filed on August 23, 2019)</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60"/>
          </w:cols>
          <w:pgMar w:left="440" w:top="270" w:right="1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City of Vista, State of California, on this 18th day of September, 2019.</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EXAGEN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Fortunato Ron Rocca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0"/>
              </w:rPr>
              <w:t>/s/ Fortunato Ron Rocca</w:t>
            </w: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President, Chief Executive Officer and Director (Principal</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6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Fortunato Ron Rocca</w:t>
            </w: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Executive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4"/>
              </w:rPr>
              <w:t>/s/ Kamal Adawi</w:t>
            </w: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Chief Financial Officer and Corporate Secretary</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6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Kamal Adawi</w:t>
            </w: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Chairman of the Board of Directors</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7"/>
              </w:rPr>
              <w:t>Brian Birk</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2"/>
              </w:rPr>
              <w:t>Chet Burrell</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7"/>
              </w:rPr>
              <w:t>Jeff Elliott</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0"/>
              </w:rPr>
              <w:t>Tina S. Nova, Ph.D.</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Ebetuel Pallares, Ph.D.</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0"/>
              </w:rPr>
              <w:t>Bruce C. Robertson, Ph.D.</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300" w:type="dxa"/>
            <w:vAlign w:val="bottom"/>
            <w:gridSpan w:val="4"/>
          </w:tcPr>
          <w:p>
            <w:pPr>
              <w:jc w:val="center"/>
              <w:ind w:left="15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84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September 18,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1"/>
              </w:rPr>
              <w:t>James L.L. Tullis</w:t>
            </w: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8"/>
        </w:trPr>
        <w:tc>
          <w:tcPr>
            <w:tcW w:w="3960" w:type="dxa"/>
            <w:vAlign w:val="bottom"/>
            <w:gridSpan w:val="5"/>
          </w:tcPr>
          <w:p>
            <w:pPr>
              <w:spacing w:after="0"/>
              <w:rPr>
                <w:sz w:val="20"/>
                <w:szCs w:val="20"/>
                <w:color w:val="auto"/>
              </w:rPr>
            </w:pPr>
            <w:r>
              <w:rPr>
                <w:rFonts w:ascii="Arial" w:cs="Arial" w:eastAsia="Arial" w:hAnsi="Arial"/>
                <w:sz w:val="18"/>
                <w:szCs w:val="18"/>
                <w:color w:val="auto"/>
              </w:rPr>
              <w:t>*By:  /s/ Fortunato Ron Rocca</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Fortunato Ron Rocca</w:t>
            </w:r>
          </w:p>
        </w:tc>
        <w:tc>
          <w:tcPr>
            <w:tcW w:w="46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8"/>
                <w:szCs w:val="18"/>
                <w:i w:val="1"/>
                <w:iCs w:val="1"/>
                <w:color w:val="auto"/>
              </w:rPr>
              <w:t>Attorney-in-fact</w:t>
            </w:r>
          </w:p>
        </w:tc>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0800"/>
          </w:cols>
          <w:pgMar w:left="440" w:top="27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of our report dated May 31, 2019, except for Note 16 which is as of August 23, 2019 and the “Reverse Stock Split” paragraph of Note 17 which is as of September 9, 2019, relating to the financial statements of Exagen Inc. (the “Company”), which is included in the Company’s Registration Statement on Form S-1 (333-233446),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9" Type="http://schemas.openxmlformats.org/officeDocument/2006/relationships/hyperlink" Target="http://www.sec.gov/Archives/edgar/data/1274737/000119312519228011/d692844ds1.htm" TargetMode="External"/><Relationship Id="rId20" Type="http://schemas.openxmlformats.org/officeDocument/2006/relationships/hyperlink" Target="http://www.sec.gov/Archives/edgar/data/1274737/000119312519240403/d692844dex51.htm" TargetMode="External"/><Relationship Id="rId21" Type="http://schemas.openxmlformats.org/officeDocument/2006/relationships/hyperlink" Target="http://www.sec.gov/Archives/edgar/data/1274737/000119312519228011/d692844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2020-01-07T23:29:46Z</dcterms:created>
  <dcterms:modified xsi:type="dcterms:W3CDTF">2020-01-07T23:29:46Z</dcterms:modified>
</cp:coreProperties>
</file>