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Zack Debra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02/04/2022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50,000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87,500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50,000 restricted stock units. Each restricted stock unit represents a contingent right to receive one share of the Issuer's common stock. The restricted stock unit will vest with respect to 25% of the restricted stock units on each of the first, second, third and fourth anniversaries of February 4, 2022, subject to the Reporting Person's continued service through the applicable vesting date. In addition, the award may become fully vested upon a qualifying termination of employment in connection with a change in control.</w:t>
      </w:r>
    </w:p>
    <w:p>
      <w:pPr>
        <w:sectPr>
          <w:pgSz w:w="11900" w:h="16838" w:orient="portrait"/>
          <w:cols w:equalWidth="0" w:num="1">
            <w:col w:w="11080"/>
          </w:cols>
          <w:pgMar w:left="460" w:top="22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Represents 50,000 shares of restricted stock units granted on February 4, 2022 and 37,500 shares of restricted stock units granted on February 23, 2021.</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02/08/2022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74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2022-02-08T15:30:16Z</dcterms:created>
  <dcterms:modified xsi:type="dcterms:W3CDTF">2022-02-08T15:30:16Z</dcterms:modified>
</cp:coreProperties>
</file>