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3)*</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Exagen,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Common shares,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30068X103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9" w:lineRule="exact"/>
        <w:rPr>
          <w:rFonts w:ascii="MS PGothic" w:cs="MS PGothic" w:eastAsia="MS PGothic" w:hAnsi="MS PGothic"/>
          <w:sz w:val="18"/>
          <w:szCs w:val="18"/>
          <w:color w:val="auto"/>
        </w:rPr>
      </w:pPr>
    </w:p>
    <w:p>
      <w:pPr>
        <w:jc w:val="both"/>
        <w:ind w:left="660" w:right="9220" w:hanging="4"/>
        <w:spacing w:after="0" w:line="226" w:lineRule="exact"/>
        <w:tabs>
          <w:tab w:leader="none" w:pos="98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13d-1(c)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178" w:lineRule="exact"/>
        <w:rPr>
          <w:sz w:val="24"/>
          <w:szCs w:val="24"/>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ind w:right="62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purposes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2" w:right="35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color w:val="auto"/>
        </w:rPr>
        <w:t>CUSIP No: 30068X103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980" w:right="7420" w:hanging="459"/>
        <w:spacing w:after="0" w:line="538" w:lineRule="auto"/>
        <w:tabs>
          <w:tab w:leader="none" w:pos="9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Tullis-Dickerson Capital Focus III, L.P.</w:t>
      </w:r>
    </w:p>
    <w:p>
      <w:pPr>
        <w:spacing w:after="0" w:line="1" w:lineRule="exact"/>
        <w:rPr>
          <w:rFonts w:ascii="Times New Roman" w:cs="Times New Roman" w:eastAsia="Times New Roman" w:hAnsi="Times New Roman"/>
          <w:sz w:val="17"/>
          <w:szCs w:val="17"/>
          <w:color w:val="auto"/>
        </w:rPr>
      </w:pPr>
    </w:p>
    <w:p>
      <w:pPr>
        <w:ind w:left="980" w:hanging="459"/>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760" w:hanging="780"/>
        <w:spacing w:after="0" w:line="207" w:lineRule="exact"/>
        <w:tabs>
          <w:tab w:leader="none" w:pos="176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9" w:lineRule="exact"/>
        <w:rPr>
          <w:rFonts w:ascii="Times New Roman" w:cs="Times New Roman" w:eastAsia="Times New Roman" w:hAnsi="Times New Roman"/>
          <w:sz w:val="18"/>
          <w:szCs w:val="18"/>
          <w:color w:val="auto"/>
        </w:rPr>
      </w:pPr>
    </w:p>
    <w:p>
      <w:pPr>
        <w:ind w:left="1760" w:hanging="780"/>
        <w:spacing w:after="0" w:line="207" w:lineRule="exact"/>
        <w:tabs>
          <w:tab w:leader="none" w:pos="176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27" w:lineRule="exact"/>
        <w:rPr>
          <w:rFonts w:ascii="Times New Roman" w:cs="Times New Roman" w:eastAsia="Times New Roman" w:hAnsi="Times New Roman"/>
          <w:sz w:val="18"/>
          <w:szCs w:val="18"/>
          <w:color w:val="auto"/>
        </w:rPr>
      </w:pPr>
    </w:p>
    <w:p>
      <w:pPr>
        <w:ind w:left="980" w:hanging="459"/>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980" w:right="6600" w:hanging="459"/>
        <w:spacing w:after="0" w:line="546" w:lineRule="auto"/>
        <w:tabs>
          <w:tab w:leader="none" w:pos="9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OR PLACE OF ORGANIZATION Delaware,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-140970</wp:posOffset>
            </wp:positionV>
            <wp:extent cx="65493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-698500</wp:posOffset>
            </wp:positionV>
            <wp:extent cx="65493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-1118235</wp:posOffset>
            </wp:positionV>
            <wp:extent cx="65493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-1692910</wp:posOffset>
            </wp:positionV>
            <wp:extent cx="65493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tbl>
      <w:tblPr>
        <w:tblLayout w:type="fixed"/>
        <w:tblInd w:w="16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9"/>
        </w:trPr>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414"/>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SHARES</w:t>
            </w:r>
          </w:p>
        </w:tc>
        <w:tc>
          <w:tcPr>
            <w:tcW w:w="720" w:type="dxa"/>
            <w:vAlign w:val="bottom"/>
          </w:tcPr>
          <w:p>
            <w:pPr>
              <w:spacing w:after="0"/>
              <w:rPr>
                <w:sz w:val="18"/>
                <w:szCs w:val="18"/>
                <w:color w:val="auto"/>
              </w:rPr>
            </w:pPr>
          </w:p>
        </w:tc>
        <w:tc>
          <w:tcPr>
            <w:tcW w:w="8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1,112,357 (1)</w:t>
            </w:r>
          </w:p>
        </w:tc>
        <w:tc>
          <w:tcPr>
            <w:tcW w:w="0" w:type="dxa"/>
            <w:vAlign w:val="bottom"/>
          </w:tcPr>
          <w:p>
            <w:pPr>
              <w:spacing w:after="0"/>
              <w:rPr>
                <w:sz w:val="1"/>
                <w:szCs w:val="1"/>
                <w:color w:val="auto"/>
              </w:rPr>
            </w:pPr>
          </w:p>
        </w:tc>
      </w:tr>
      <w:tr>
        <w:trPr>
          <w:trHeight w:val="233"/>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BENEFICIALLY</w:t>
            </w:r>
          </w:p>
        </w:tc>
        <w:tc>
          <w:tcPr>
            <w:tcW w:w="720" w:type="dxa"/>
            <w:vAlign w:val="bottom"/>
          </w:tcPr>
          <w:p>
            <w:pPr>
              <w:spacing w:after="0"/>
              <w:rPr>
                <w:sz w:val="19"/>
                <w:szCs w:val="19"/>
                <w:color w:val="auto"/>
              </w:rPr>
            </w:pPr>
          </w:p>
        </w:tc>
        <w:tc>
          <w:tcPr>
            <w:tcW w:w="8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380" w:type="dxa"/>
            <w:vAlign w:val="bottom"/>
          </w:tcPr>
          <w:p>
            <w:pPr>
              <w:jc w:val="center"/>
              <w:ind w:right="10"/>
              <w:spacing w:after="0" w:line="184" w:lineRule="exact"/>
              <w:rPr>
                <w:sz w:val="20"/>
                <w:szCs w:val="20"/>
                <w:color w:val="auto"/>
              </w:rPr>
            </w:pPr>
            <w:r>
              <w:rPr>
                <w:rFonts w:ascii="Times New Roman" w:cs="Times New Roman" w:eastAsia="Times New Roman" w:hAnsi="Times New Roman"/>
                <w:sz w:val="18"/>
                <w:szCs w:val="18"/>
                <w:color w:val="auto"/>
                <w:w w:val="99"/>
              </w:rPr>
              <w:t>OWNED BY</w:t>
            </w:r>
          </w:p>
        </w:tc>
        <w:tc>
          <w:tcPr>
            <w:tcW w:w="720" w:type="dxa"/>
            <w:vAlign w:val="bottom"/>
          </w:tcPr>
          <w:p>
            <w:pPr>
              <w:spacing w:after="0"/>
              <w:rPr>
                <w:sz w:val="16"/>
                <w:szCs w:val="16"/>
                <w:color w:val="auto"/>
              </w:rPr>
            </w:pPr>
          </w:p>
        </w:tc>
        <w:tc>
          <w:tcPr>
            <w:tcW w:w="8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EACH</w:t>
            </w:r>
          </w:p>
        </w:tc>
        <w:tc>
          <w:tcPr>
            <w:tcW w:w="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72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PERSON WITH</w:t>
            </w:r>
          </w:p>
        </w:tc>
        <w:tc>
          <w:tcPr>
            <w:tcW w:w="720" w:type="dxa"/>
            <w:vAlign w:val="bottom"/>
          </w:tcPr>
          <w:p>
            <w:pPr>
              <w:spacing w:after="0"/>
              <w:rPr>
                <w:sz w:val="20"/>
                <w:szCs w:val="20"/>
                <w:color w:val="auto"/>
              </w:rPr>
            </w:pPr>
          </w:p>
        </w:tc>
        <w:tc>
          <w:tcPr>
            <w:tcW w:w="8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320" w:right="6400" w:hanging="665"/>
        <w:spacing w:after="0" w:line="508" w:lineRule="auto"/>
        <w:tabs>
          <w:tab w:leader="none" w:pos="232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1,112,357 (1)</w:t>
      </w:r>
    </w:p>
    <w:p>
      <w:pPr>
        <w:spacing w:after="0" w:line="1" w:lineRule="exact"/>
        <w:rPr>
          <w:rFonts w:ascii="Times New Roman" w:cs="Times New Roman" w:eastAsia="Times New Roman" w:hAnsi="Times New Roman"/>
          <w:sz w:val="18"/>
          <w:szCs w:val="18"/>
          <w:color w:val="auto"/>
        </w:rPr>
      </w:pPr>
    </w:p>
    <w:p>
      <w:pPr>
        <w:ind w:left="980" w:right="3700" w:hanging="459"/>
        <w:spacing w:after="0" w:line="492"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1,112,357 (1)</w:t>
      </w:r>
    </w:p>
    <w:p>
      <w:pPr>
        <w:ind w:left="980" w:hanging="459"/>
        <w:spacing w:after="0" w:line="207" w:lineRule="exact"/>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83" w:lineRule="exact"/>
        <w:rPr>
          <w:rFonts w:ascii="Times New Roman" w:cs="Times New Roman" w:eastAsia="Times New Roman" w:hAnsi="Times New Roman"/>
          <w:sz w:val="18"/>
          <w:szCs w:val="18"/>
          <w:color w:val="auto"/>
        </w:rPr>
      </w:pPr>
    </w:p>
    <w:p>
      <w:pPr>
        <w:ind w:left="980" w:hanging="459"/>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6.82% (2)</w:t>
      </w:r>
    </w:p>
    <w:p>
      <w:pPr>
        <w:spacing w:after="0" w:line="238" w:lineRule="exact"/>
        <w:rPr>
          <w:rFonts w:ascii="Times New Roman" w:cs="Times New Roman" w:eastAsia="Times New Roman" w:hAnsi="Times New Roman"/>
          <w:sz w:val="18"/>
          <w:szCs w:val="18"/>
          <w:color w:val="auto"/>
        </w:rPr>
      </w:pPr>
    </w:p>
    <w:p>
      <w:pPr>
        <w:ind w:left="980" w:right="5920" w:hanging="459"/>
        <w:spacing w:after="0" w:line="524"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w:t>
      </w:r>
    </w:p>
    <w:p>
      <w:pPr>
        <w:ind w:left="340" w:right="20" w:hanging="332"/>
        <w:spacing w:after="0" w:line="261"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992,821 shares of Common Stock as well as 119,536 shares of Common Stock issuable upon exercise of Warrants held by Tullis-Dickerson Capital Focus III, L.P.</w:t>
      </w:r>
    </w:p>
    <w:p>
      <w:pPr>
        <w:ind w:left="340" w:hanging="332"/>
        <w:spacing w:after="0" w:line="26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calculated based on 16,319,488 shares of Common Stock outstanding as of November 18, 2022, as reported in the issuer’s Quarterly Report on Form 10-Q for the quarter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-721360</wp:posOffset>
            </wp:positionV>
            <wp:extent cx="65493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-1278255</wp:posOffset>
            </wp:positionV>
            <wp:extent cx="65493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-1835785</wp:posOffset>
            </wp:positionV>
            <wp:extent cx="65493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-2255520</wp:posOffset>
            </wp:positionV>
            <wp:extent cx="65493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-2813050</wp:posOffset>
            </wp:positionV>
            <wp:extent cx="570039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color w:val="auto"/>
        </w:rPr>
        <w:t>CUSIP No: 30068X103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980" w:right="7480" w:hanging="459"/>
        <w:spacing w:after="0" w:line="538" w:lineRule="auto"/>
        <w:tabs>
          <w:tab w:leader="none" w:pos="9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Tullis Dickerson Partners III, L.L.C.</w:t>
      </w:r>
    </w:p>
    <w:p>
      <w:pPr>
        <w:spacing w:after="0" w:line="1" w:lineRule="exact"/>
        <w:rPr>
          <w:rFonts w:ascii="Times New Roman" w:cs="Times New Roman" w:eastAsia="Times New Roman" w:hAnsi="Times New Roman"/>
          <w:sz w:val="17"/>
          <w:szCs w:val="17"/>
          <w:color w:val="auto"/>
        </w:rPr>
      </w:pPr>
    </w:p>
    <w:p>
      <w:pPr>
        <w:ind w:left="980" w:hanging="459"/>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760" w:hanging="780"/>
        <w:spacing w:after="0" w:line="207" w:lineRule="exact"/>
        <w:tabs>
          <w:tab w:leader="none" w:pos="1760"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9" w:lineRule="exact"/>
        <w:rPr>
          <w:rFonts w:ascii="Times New Roman" w:cs="Times New Roman" w:eastAsia="Times New Roman" w:hAnsi="Times New Roman"/>
          <w:sz w:val="18"/>
          <w:szCs w:val="18"/>
          <w:color w:val="auto"/>
        </w:rPr>
      </w:pPr>
    </w:p>
    <w:p>
      <w:pPr>
        <w:ind w:left="1760" w:hanging="780"/>
        <w:spacing w:after="0" w:line="207" w:lineRule="exact"/>
        <w:tabs>
          <w:tab w:leader="none" w:pos="1760"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27" w:lineRule="exact"/>
        <w:rPr>
          <w:rFonts w:ascii="Times New Roman" w:cs="Times New Roman" w:eastAsia="Times New Roman" w:hAnsi="Times New Roman"/>
          <w:sz w:val="18"/>
          <w:szCs w:val="18"/>
          <w:color w:val="auto"/>
        </w:rPr>
      </w:pPr>
    </w:p>
    <w:p>
      <w:pPr>
        <w:ind w:left="980" w:hanging="459"/>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980" w:right="6600" w:hanging="459"/>
        <w:spacing w:after="0" w:line="546" w:lineRule="auto"/>
        <w:tabs>
          <w:tab w:leader="none" w:pos="9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OR PLACE OF ORGANIZATION Delaware,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-140970</wp:posOffset>
            </wp:positionV>
            <wp:extent cx="65493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-698500</wp:posOffset>
            </wp:positionV>
            <wp:extent cx="65493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-1118235</wp:posOffset>
            </wp:positionV>
            <wp:extent cx="65493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-1692910</wp:posOffset>
            </wp:positionV>
            <wp:extent cx="65493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tbl>
      <w:tblPr>
        <w:tblLayout w:type="fixed"/>
        <w:tblInd w:w="16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9"/>
        </w:trPr>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414"/>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SHARES</w:t>
            </w:r>
          </w:p>
        </w:tc>
        <w:tc>
          <w:tcPr>
            <w:tcW w:w="720" w:type="dxa"/>
            <w:vAlign w:val="bottom"/>
          </w:tcPr>
          <w:p>
            <w:pPr>
              <w:spacing w:after="0"/>
              <w:rPr>
                <w:sz w:val="18"/>
                <w:szCs w:val="18"/>
                <w:color w:val="auto"/>
              </w:rPr>
            </w:pPr>
          </w:p>
        </w:tc>
        <w:tc>
          <w:tcPr>
            <w:tcW w:w="8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1,112,357 (1)</w:t>
            </w:r>
          </w:p>
        </w:tc>
        <w:tc>
          <w:tcPr>
            <w:tcW w:w="0" w:type="dxa"/>
            <w:vAlign w:val="bottom"/>
          </w:tcPr>
          <w:p>
            <w:pPr>
              <w:spacing w:after="0"/>
              <w:rPr>
                <w:sz w:val="1"/>
                <w:szCs w:val="1"/>
                <w:color w:val="auto"/>
              </w:rPr>
            </w:pPr>
          </w:p>
        </w:tc>
      </w:tr>
      <w:tr>
        <w:trPr>
          <w:trHeight w:val="233"/>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BENEFICIALLY</w:t>
            </w:r>
          </w:p>
        </w:tc>
        <w:tc>
          <w:tcPr>
            <w:tcW w:w="720" w:type="dxa"/>
            <w:vAlign w:val="bottom"/>
          </w:tcPr>
          <w:p>
            <w:pPr>
              <w:spacing w:after="0"/>
              <w:rPr>
                <w:sz w:val="19"/>
                <w:szCs w:val="19"/>
                <w:color w:val="auto"/>
              </w:rPr>
            </w:pPr>
          </w:p>
        </w:tc>
        <w:tc>
          <w:tcPr>
            <w:tcW w:w="8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380" w:type="dxa"/>
            <w:vAlign w:val="bottom"/>
          </w:tcPr>
          <w:p>
            <w:pPr>
              <w:jc w:val="center"/>
              <w:ind w:right="10"/>
              <w:spacing w:after="0" w:line="184" w:lineRule="exact"/>
              <w:rPr>
                <w:sz w:val="20"/>
                <w:szCs w:val="20"/>
                <w:color w:val="auto"/>
              </w:rPr>
            </w:pPr>
            <w:r>
              <w:rPr>
                <w:rFonts w:ascii="Times New Roman" w:cs="Times New Roman" w:eastAsia="Times New Roman" w:hAnsi="Times New Roman"/>
                <w:sz w:val="18"/>
                <w:szCs w:val="18"/>
                <w:color w:val="auto"/>
                <w:w w:val="99"/>
              </w:rPr>
              <w:t>OWNED BY</w:t>
            </w:r>
          </w:p>
        </w:tc>
        <w:tc>
          <w:tcPr>
            <w:tcW w:w="720" w:type="dxa"/>
            <w:vAlign w:val="bottom"/>
          </w:tcPr>
          <w:p>
            <w:pPr>
              <w:spacing w:after="0"/>
              <w:rPr>
                <w:sz w:val="16"/>
                <w:szCs w:val="16"/>
                <w:color w:val="auto"/>
              </w:rPr>
            </w:pPr>
          </w:p>
        </w:tc>
        <w:tc>
          <w:tcPr>
            <w:tcW w:w="8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EACH</w:t>
            </w:r>
          </w:p>
        </w:tc>
        <w:tc>
          <w:tcPr>
            <w:tcW w:w="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72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PERSON WITH</w:t>
            </w:r>
          </w:p>
        </w:tc>
        <w:tc>
          <w:tcPr>
            <w:tcW w:w="720" w:type="dxa"/>
            <w:vAlign w:val="bottom"/>
          </w:tcPr>
          <w:p>
            <w:pPr>
              <w:spacing w:after="0"/>
              <w:rPr>
                <w:sz w:val="20"/>
                <w:szCs w:val="20"/>
                <w:color w:val="auto"/>
              </w:rPr>
            </w:pPr>
          </w:p>
        </w:tc>
        <w:tc>
          <w:tcPr>
            <w:tcW w:w="8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320" w:right="6400" w:hanging="665"/>
        <w:spacing w:after="0" w:line="508" w:lineRule="auto"/>
        <w:tabs>
          <w:tab w:leader="none" w:pos="23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1,112,357 (1)</w:t>
      </w:r>
    </w:p>
    <w:p>
      <w:pPr>
        <w:spacing w:after="0" w:line="1" w:lineRule="exact"/>
        <w:rPr>
          <w:rFonts w:ascii="Times New Roman" w:cs="Times New Roman" w:eastAsia="Times New Roman" w:hAnsi="Times New Roman"/>
          <w:sz w:val="18"/>
          <w:szCs w:val="18"/>
          <w:color w:val="auto"/>
        </w:rPr>
      </w:pPr>
    </w:p>
    <w:p>
      <w:pPr>
        <w:ind w:left="980" w:right="3700" w:hanging="459"/>
        <w:spacing w:after="0" w:line="49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1,112,357 (1)</w:t>
      </w:r>
    </w:p>
    <w:p>
      <w:pPr>
        <w:ind w:left="980" w:hanging="459"/>
        <w:spacing w:after="0" w:line="207" w:lineRule="exact"/>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83" w:lineRule="exact"/>
        <w:rPr>
          <w:rFonts w:ascii="Times New Roman" w:cs="Times New Roman" w:eastAsia="Times New Roman" w:hAnsi="Times New Roman"/>
          <w:sz w:val="18"/>
          <w:szCs w:val="18"/>
          <w:color w:val="auto"/>
        </w:rPr>
      </w:pPr>
    </w:p>
    <w:p>
      <w:pPr>
        <w:ind w:left="980" w:right="5200" w:hanging="459"/>
        <w:spacing w:after="0" w:line="508"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6.82% (2)</w:t>
      </w:r>
    </w:p>
    <w:p>
      <w:pPr>
        <w:spacing w:after="0" w:line="1" w:lineRule="exact"/>
        <w:rPr>
          <w:rFonts w:ascii="Times New Roman" w:cs="Times New Roman" w:eastAsia="Times New Roman" w:hAnsi="Times New Roman"/>
          <w:sz w:val="18"/>
          <w:szCs w:val="18"/>
          <w:color w:val="auto"/>
        </w:rPr>
      </w:pPr>
    </w:p>
    <w:p>
      <w:pPr>
        <w:ind w:left="980" w:hanging="459"/>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-264795</wp:posOffset>
            </wp:positionV>
            <wp:extent cx="65493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-822325</wp:posOffset>
            </wp:positionV>
            <wp:extent cx="65493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-1242060</wp:posOffset>
            </wp:positionV>
            <wp:extent cx="65493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-1799590</wp:posOffset>
            </wp:positionV>
            <wp:extent cx="570039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0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17145</wp:posOffset>
            </wp:positionV>
            <wp:extent cx="65493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p>
      <w:pPr>
        <w:spacing w:after="0" w:line="246" w:lineRule="exact"/>
        <w:rPr>
          <w:sz w:val="20"/>
          <w:szCs w:val="20"/>
          <w:color w:val="auto"/>
        </w:rPr>
      </w:pPr>
    </w:p>
    <w:p>
      <w:pPr>
        <w:ind w:left="340" w:right="20" w:hanging="332"/>
        <w:spacing w:after="0" w:line="257"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992,821 shares of Common Stock as well as 119,536 shares of Common Stock issuable upon exercise of Warrants held by Tullis-Dickerson Capital Focus III, L.P. Tullis Dickerson Partners III, L.L.C. may be deemed to beneficially own these shares because the L.L.C. is a general partner of Tullis-Dickerson Capital Focus III, L.P.</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calculated based on 16,319,488 shares of Common Stock outstanding as of November 18, 2022, as reported in the issuer’s Quarterly Report on Form 10-Q for the quarter ended September 30, 2022.</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color w:val="auto"/>
        </w:rPr>
        <w:t>CUSIP No: 30068X103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980" w:right="7480" w:hanging="459"/>
        <w:spacing w:after="0" w:line="508"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Tullis Growth Fund, L.P.</w:t>
      </w:r>
    </w:p>
    <w:p>
      <w:pPr>
        <w:spacing w:after="0" w:line="1" w:lineRule="exact"/>
        <w:rPr>
          <w:rFonts w:ascii="Times New Roman" w:cs="Times New Roman" w:eastAsia="Times New Roman" w:hAnsi="Times New Roman"/>
          <w:sz w:val="18"/>
          <w:szCs w:val="18"/>
          <w:color w:val="auto"/>
        </w:rPr>
      </w:pPr>
    </w:p>
    <w:p>
      <w:pPr>
        <w:ind w:left="980" w:hanging="459"/>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760" w:hanging="780"/>
        <w:spacing w:after="0" w:line="207" w:lineRule="exact"/>
        <w:tabs>
          <w:tab w:leader="none" w:pos="1760" w:val="left"/>
        </w:tabs>
        <w:numPr>
          <w:ilvl w:val="1"/>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9" w:lineRule="exact"/>
        <w:rPr>
          <w:rFonts w:ascii="Times New Roman" w:cs="Times New Roman" w:eastAsia="Times New Roman" w:hAnsi="Times New Roman"/>
          <w:sz w:val="18"/>
          <w:szCs w:val="18"/>
          <w:color w:val="auto"/>
        </w:rPr>
      </w:pPr>
    </w:p>
    <w:p>
      <w:pPr>
        <w:ind w:left="1760" w:hanging="780"/>
        <w:spacing w:after="0" w:line="207" w:lineRule="exact"/>
        <w:tabs>
          <w:tab w:leader="none" w:pos="1760" w:val="left"/>
        </w:tabs>
        <w:numPr>
          <w:ilvl w:val="1"/>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27" w:lineRule="exact"/>
        <w:rPr>
          <w:rFonts w:ascii="Times New Roman" w:cs="Times New Roman" w:eastAsia="Times New Roman" w:hAnsi="Times New Roman"/>
          <w:sz w:val="18"/>
          <w:szCs w:val="18"/>
          <w:color w:val="auto"/>
        </w:rPr>
      </w:pPr>
    </w:p>
    <w:p>
      <w:pPr>
        <w:ind w:left="980" w:hanging="459"/>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980" w:right="6600" w:hanging="459"/>
        <w:spacing w:after="0" w:line="546" w:lineRule="auto"/>
        <w:tabs>
          <w:tab w:leader="none" w:pos="9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OR PLACE OF ORGANIZATION Delaware,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-140970</wp:posOffset>
            </wp:positionV>
            <wp:extent cx="65493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-698500</wp:posOffset>
            </wp:positionV>
            <wp:extent cx="65493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-1118235</wp:posOffset>
            </wp:positionV>
            <wp:extent cx="65493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-1692910</wp:posOffset>
            </wp:positionV>
            <wp:extent cx="65493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tbl>
      <w:tblPr>
        <w:tblLayout w:type="fixed"/>
        <w:tblInd w:w="16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9"/>
        </w:trPr>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414"/>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SHARES</w:t>
            </w:r>
          </w:p>
        </w:tc>
        <w:tc>
          <w:tcPr>
            <w:tcW w:w="720" w:type="dxa"/>
            <w:vAlign w:val="bottom"/>
          </w:tcPr>
          <w:p>
            <w:pPr>
              <w:spacing w:after="0"/>
              <w:rPr>
                <w:sz w:val="18"/>
                <w:szCs w:val="18"/>
                <w:color w:val="auto"/>
              </w:rPr>
            </w:pPr>
          </w:p>
        </w:tc>
        <w:tc>
          <w:tcPr>
            <w:tcW w:w="8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587,843 (1)</w:t>
            </w:r>
          </w:p>
        </w:tc>
        <w:tc>
          <w:tcPr>
            <w:tcW w:w="0" w:type="dxa"/>
            <w:vAlign w:val="bottom"/>
          </w:tcPr>
          <w:p>
            <w:pPr>
              <w:spacing w:after="0"/>
              <w:rPr>
                <w:sz w:val="1"/>
                <w:szCs w:val="1"/>
                <w:color w:val="auto"/>
              </w:rPr>
            </w:pPr>
          </w:p>
        </w:tc>
      </w:tr>
      <w:tr>
        <w:trPr>
          <w:trHeight w:val="233"/>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BENEFICIALLY</w:t>
            </w:r>
          </w:p>
        </w:tc>
        <w:tc>
          <w:tcPr>
            <w:tcW w:w="720" w:type="dxa"/>
            <w:vAlign w:val="bottom"/>
          </w:tcPr>
          <w:p>
            <w:pPr>
              <w:spacing w:after="0"/>
              <w:rPr>
                <w:sz w:val="19"/>
                <w:szCs w:val="19"/>
                <w:color w:val="auto"/>
              </w:rPr>
            </w:pPr>
          </w:p>
        </w:tc>
        <w:tc>
          <w:tcPr>
            <w:tcW w:w="8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380" w:type="dxa"/>
            <w:vAlign w:val="bottom"/>
          </w:tcPr>
          <w:p>
            <w:pPr>
              <w:jc w:val="center"/>
              <w:ind w:right="10"/>
              <w:spacing w:after="0" w:line="184" w:lineRule="exact"/>
              <w:rPr>
                <w:sz w:val="20"/>
                <w:szCs w:val="20"/>
                <w:color w:val="auto"/>
              </w:rPr>
            </w:pPr>
            <w:r>
              <w:rPr>
                <w:rFonts w:ascii="Times New Roman" w:cs="Times New Roman" w:eastAsia="Times New Roman" w:hAnsi="Times New Roman"/>
                <w:sz w:val="18"/>
                <w:szCs w:val="18"/>
                <w:color w:val="auto"/>
                <w:w w:val="99"/>
              </w:rPr>
              <w:t>OWNED BY</w:t>
            </w:r>
          </w:p>
        </w:tc>
        <w:tc>
          <w:tcPr>
            <w:tcW w:w="720" w:type="dxa"/>
            <w:vAlign w:val="bottom"/>
          </w:tcPr>
          <w:p>
            <w:pPr>
              <w:spacing w:after="0"/>
              <w:rPr>
                <w:sz w:val="16"/>
                <w:szCs w:val="16"/>
                <w:color w:val="auto"/>
              </w:rPr>
            </w:pPr>
          </w:p>
        </w:tc>
        <w:tc>
          <w:tcPr>
            <w:tcW w:w="8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EACH</w:t>
            </w:r>
          </w:p>
        </w:tc>
        <w:tc>
          <w:tcPr>
            <w:tcW w:w="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72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PERSON WITH</w:t>
            </w:r>
          </w:p>
        </w:tc>
        <w:tc>
          <w:tcPr>
            <w:tcW w:w="720" w:type="dxa"/>
            <w:vAlign w:val="bottom"/>
          </w:tcPr>
          <w:p>
            <w:pPr>
              <w:spacing w:after="0"/>
              <w:rPr>
                <w:sz w:val="20"/>
                <w:szCs w:val="20"/>
                <w:color w:val="auto"/>
              </w:rPr>
            </w:pPr>
          </w:p>
        </w:tc>
        <w:tc>
          <w:tcPr>
            <w:tcW w:w="8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320" w:right="6400" w:hanging="665"/>
        <w:spacing w:after="0" w:line="508" w:lineRule="auto"/>
        <w:tabs>
          <w:tab w:leader="none" w:pos="232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587,843 (1)</w:t>
      </w:r>
    </w:p>
    <w:p>
      <w:pPr>
        <w:spacing w:after="0" w:line="1" w:lineRule="exact"/>
        <w:rPr>
          <w:rFonts w:ascii="Times New Roman" w:cs="Times New Roman" w:eastAsia="Times New Roman" w:hAnsi="Times New Roman"/>
          <w:sz w:val="18"/>
          <w:szCs w:val="18"/>
          <w:color w:val="auto"/>
        </w:rPr>
      </w:pPr>
    </w:p>
    <w:p>
      <w:pPr>
        <w:ind w:left="980" w:right="3700" w:hanging="459"/>
        <w:spacing w:after="0" w:line="492"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587,843 (1)</w:t>
      </w:r>
    </w:p>
    <w:p>
      <w:pPr>
        <w:ind w:left="980" w:hanging="459"/>
        <w:spacing w:after="0" w:line="207" w:lineRule="exact"/>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83" w:lineRule="exact"/>
        <w:rPr>
          <w:rFonts w:ascii="Times New Roman" w:cs="Times New Roman" w:eastAsia="Times New Roman" w:hAnsi="Times New Roman"/>
          <w:sz w:val="18"/>
          <w:szCs w:val="18"/>
          <w:color w:val="auto"/>
        </w:rPr>
      </w:pPr>
    </w:p>
    <w:p>
      <w:pPr>
        <w:ind w:left="980" w:hanging="459"/>
        <w:spacing w:after="0"/>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3.60% (2)</w:t>
      </w:r>
    </w:p>
    <w:p>
      <w:pPr>
        <w:spacing w:after="0" w:line="238" w:lineRule="exact"/>
        <w:rPr>
          <w:rFonts w:ascii="Times New Roman" w:cs="Times New Roman" w:eastAsia="Times New Roman" w:hAnsi="Times New Roman"/>
          <w:sz w:val="18"/>
          <w:szCs w:val="18"/>
          <w:color w:val="auto"/>
        </w:rPr>
      </w:pPr>
    </w:p>
    <w:p>
      <w:pPr>
        <w:ind w:left="980" w:right="5920" w:hanging="459"/>
        <w:spacing w:after="0" w:line="524"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w:t>
      </w:r>
    </w:p>
    <w:p>
      <w:pPr>
        <w:ind w:left="340" w:right="220" w:hanging="332"/>
        <w:spacing w:after="0" w:line="261"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417,398 shares of Common Stock as well as 170,445 shares of Common Stock issuable upon exercise of Warrants held by Tullis Growth Fund, L.P.</w:t>
      </w:r>
    </w:p>
    <w:p>
      <w:pPr>
        <w:ind w:left="340" w:hanging="332"/>
        <w:spacing w:after="0" w:line="260"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calculated based on 16,319,488 shares of Common Stock outstanding as of November 18, 2022, as reported in the issuer’s Quarterly Report on Form 10-Q for the quarter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-721360</wp:posOffset>
            </wp:positionV>
            <wp:extent cx="65493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-1278255</wp:posOffset>
            </wp:positionV>
            <wp:extent cx="65493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-1835785</wp:posOffset>
            </wp:positionV>
            <wp:extent cx="65493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-2255520</wp:posOffset>
            </wp:positionV>
            <wp:extent cx="65493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-2813050</wp:posOffset>
            </wp:positionV>
            <wp:extent cx="570039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color w:val="auto"/>
        </w:rPr>
        <w:t>CUSIP No: 30068X103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980" w:right="7480" w:hanging="459"/>
        <w:spacing w:after="0" w:line="538" w:lineRule="auto"/>
        <w:tabs>
          <w:tab w:leader="none" w:pos="9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Tullis-Growth Partners, L.L.C.</w:t>
      </w:r>
    </w:p>
    <w:p>
      <w:pPr>
        <w:spacing w:after="0" w:line="1" w:lineRule="exact"/>
        <w:rPr>
          <w:rFonts w:ascii="Times New Roman" w:cs="Times New Roman" w:eastAsia="Times New Roman" w:hAnsi="Times New Roman"/>
          <w:sz w:val="17"/>
          <w:szCs w:val="17"/>
          <w:color w:val="auto"/>
        </w:rPr>
      </w:pPr>
    </w:p>
    <w:p>
      <w:pPr>
        <w:ind w:left="980" w:hanging="459"/>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760" w:hanging="780"/>
        <w:spacing w:after="0" w:line="207" w:lineRule="exact"/>
        <w:tabs>
          <w:tab w:leader="none" w:pos="1760" w:val="left"/>
        </w:tabs>
        <w:numPr>
          <w:ilvl w:val="1"/>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9" w:lineRule="exact"/>
        <w:rPr>
          <w:rFonts w:ascii="Times New Roman" w:cs="Times New Roman" w:eastAsia="Times New Roman" w:hAnsi="Times New Roman"/>
          <w:sz w:val="18"/>
          <w:szCs w:val="18"/>
          <w:color w:val="auto"/>
        </w:rPr>
      </w:pPr>
    </w:p>
    <w:p>
      <w:pPr>
        <w:ind w:left="1760" w:hanging="780"/>
        <w:spacing w:after="0" w:line="207" w:lineRule="exact"/>
        <w:tabs>
          <w:tab w:leader="none" w:pos="1760" w:val="left"/>
        </w:tabs>
        <w:numPr>
          <w:ilvl w:val="1"/>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27" w:lineRule="exact"/>
        <w:rPr>
          <w:rFonts w:ascii="Times New Roman" w:cs="Times New Roman" w:eastAsia="Times New Roman" w:hAnsi="Times New Roman"/>
          <w:sz w:val="18"/>
          <w:szCs w:val="18"/>
          <w:color w:val="auto"/>
        </w:rPr>
      </w:pPr>
    </w:p>
    <w:p>
      <w:pPr>
        <w:ind w:left="980" w:hanging="459"/>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980" w:right="6600" w:hanging="459"/>
        <w:spacing w:after="0" w:line="546" w:lineRule="auto"/>
        <w:tabs>
          <w:tab w:leader="none" w:pos="9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OR PLACE OF ORGANIZATION Delaware,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-140970</wp:posOffset>
            </wp:positionV>
            <wp:extent cx="65493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-698500</wp:posOffset>
            </wp:positionV>
            <wp:extent cx="65493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-1118235</wp:posOffset>
            </wp:positionV>
            <wp:extent cx="65493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-1692910</wp:posOffset>
            </wp:positionV>
            <wp:extent cx="65493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tbl>
      <w:tblPr>
        <w:tblLayout w:type="fixed"/>
        <w:tblInd w:w="16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9"/>
        </w:trPr>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414"/>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SHARES</w:t>
            </w:r>
          </w:p>
        </w:tc>
        <w:tc>
          <w:tcPr>
            <w:tcW w:w="720" w:type="dxa"/>
            <w:vAlign w:val="bottom"/>
          </w:tcPr>
          <w:p>
            <w:pPr>
              <w:spacing w:after="0"/>
              <w:rPr>
                <w:sz w:val="18"/>
                <w:szCs w:val="18"/>
                <w:color w:val="auto"/>
              </w:rPr>
            </w:pPr>
          </w:p>
        </w:tc>
        <w:tc>
          <w:tcPr>
            <w:tcW w:w="8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587,843 (1)</w:t>
            </w:r>
          </w:p>
        </w:tc>
        <w:tc>
          <w:tcPr>
            <w:tcW w:w="0" w:type="dxa"/>
            <w:vAlign w:val="bottom"/>
          </w:tcPr>
          <w:p>
            <w:pPr>
              <w:spacing w:after="0"/>
              <w:rPr>
                <w:sz w:val="1"/>
                <w:szCs w:val="1"/>
                <w:color w:val="auto"/>
              </w:rPr>
            </w:pPr>
          </w:p>
        </w:tc>
      </w:tr>
      <w:tr>
        <w:trPr>
          <w:trHeight w:val="233"/>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BENEFICIALLY</w:t>
            </w:r>
          </w:p>
        </w:tc>
        <w:tc>
          <w:tcPr>
            <w:tcW w:w="720" w:type="dxa"/>
            <w:vAlign w:val="bottom"/>
          </w:tcPr>
          <w:p>
            <w:pPr>
              <w:spacing w:after="0"/>
              <w:rPr>
                <w:sz w:val="19"/>
                <w:szCs w:val="19"/>
                <w:color w:val="auto"/>
              </w:rPr>
            </w:pPr>
          </w:p>
        </w:tc>
        <w:tc>
          <w:tcPr>
            <w:tcW w:w="8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380" w:type="dxa"/>
            <w:vAlign w:val="bottom"/>
          </w:tcPr>
          <w:p>
            <w:pPr>
              <w:jc w:val="center"/>
              <w:ind w:right="10"/>
              <w:spacing w:after="0" w:line="184" w:lineRule="exact"/>
              <w:rPr>
                <w:sz w:val="20"/>
                <w:szCs w:val="20"/>
                <w:color w:val="auto"/>
              </w:rPr>
            </w:pPr>
            <w:r>
              <w:rPr>
                <w:rFonts w:ascii="Times New Roman" w:cs="Times New Roman" w:eastAsia="Times New Roman" w:hAnsi="Times New Roman"/>
                <w:sz w:val="18"/>
                <w:szCs w:val="18"/>
                <w:color w:val="auto"/>
                <w:w w:val="99"/>
              </w:rPr>
              <w:t>OWNED BY</w:t>
            </w:r>
          </w:p>
        </w:tc>
        <w:tc>
          <w:tcPr>
            <w:tcW w:w="720" w:type="dxa"/>
            <w:vAlign w:val="bottom"/>
          </w:tcPr>
          <w:p>
            <w:pPr>
              <w:spacing w:after="0"/>
              <w:rPr>
                <w:sz w:val="16"/>
                <w:szCs w:val="16"/>
                <w:color w:val="auto"/>
              </w:rPr>
            </w:pPr>
          </w:p>
        </w:tc>
        <w:tc>
          <w:tcPr>
            <w:tcW w:w="8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EACH</w:t>
            </w:r>
          </w:p>
        </w:tc>
        <w:tc>
          <w:tcPr>
            <w:tcW w:w="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72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PERSON WITH</w:t>
            </w:r>
          </w:p>
        </w:tc>
        <w:tc>
          <w:tcPr>
            <w:tcW w:w="720" w:type="dxa"/>
            <w:vAlign w:val="bottom"/>
          </w:tcPr>
          <w:p>
            <w:pPr>
              <w:spacing w:after="0"/>
              <w:rPr>
                <w:sz w:val="20"/>
                <w:szCs w:val="20"/>
                <w:color w:val="auto"/>
              </w:rPr>
            </w:pPr>
          </w:p>
        </w:tc>
        <w:tc>
          <w:tcPr>
            <w:tcW w:w="8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320" w:right="6400" w:hanging="665"/>
        <w:spacing w:after="0" w:line="508" w:lineRule="auto"/>
        <w:tabs>
          <w:tab w:leader="none" w:pos="232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587,843 (1)</w:t>
      </w:r>
    </w:p>
    <w:p>
      <w:pPr>
        <w:spacing w:after="0" w:line="1" w:lineRule="exact"/>
        <w:rPr>
          <w:rFonts w:ascii="Times New Roman" w:cs="Times New Roman" w:eastAsia="Times New Roman" w:hAnsi="Times New Roman"/>
          <w:sz w:val="18"/>
          <w:szCs w:val="18"/>
          <w:color w:val="auto"/>
        </w:rPr>
      </w:pPr>
    </w:p>
    <w:p>
      <w:pPr>
        <w:ind w:left="980" w:right="3700" w:hanging="459"/>
        <w:spacing w:after="0" w:line="492"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587,843 (1)</w:t>
      </w:r>
    </w:p>
    <w:p>
      <w:pPr>
        <w:ind w:left="980" w:hanging="459"/>
        <w:spacing w:after="0" w:line="207" w:lineRule="exact"/>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83" w:lineRule="exact"/>
        <w:rPr>
          <w:rFonts w:ascii="Times New Roman" w:cs="Times New Roman" w:eastAsia="Times New Roman" w:hAnsi="Times New Roman"/>
          <w:sz w:val="18"/>
          <w:szCs w:val="18"/>
          <w:color w:val="auto"/>
        </w:rPr>
      </w:pPr>
    </w:p>
    <w:p>
      <w:pPr>
        <w:ind w:left="980" w:hanging="459"/>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3.60% (2)</w:t>
      </w:r>
    </w:p>
    <w:p>
      <w:pPr>
        <w:spacing w:after="0" w:line="238" w:lineRule="exact"/>
        <w:rPr>
          <w:rFonts w:ascii="Times New Roman" w:cs="Times New Roman" w:eastAsia="Times New Roman" w:hAnsi="Times New Roman"/>
          <w:sz w:val="18"/>
          <w:szCs w:val="18"/>
          <w:color w:val="auto"/>
        </w:rPr>
      </w:pPr>
    </w:p>
    <w:p>
      <w:pPr>
        <w:ind w:left="980" w:right="5920" w:hanging="459"/>
        <w:spacing w:after="0" w:line="532"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w:t>
      </w:r>
    </w:p>
    <w:p>
      <w:pPr>
        <w:spacing w:after="0" w:line="13" w:lineRule="exact"/>
        <w:rPr>
          <w:rFonts w:ascii="Times New Roman" w:cs="Times New Roman" w:eastAsia="Times New Roman" w:hAnsi="Times New Roman"/>
          <w:sz w:val="18"/>
          <w:szCs w:val="18"/>
          <w:color w:val="auto"/>
        </w:rPr>
      </w:pPr>
    </w:p>
    <w:p>
      <w:pPr>
        <w:ind w:left="340" w:right="220" w:hanging="332"/>
        <w:spacing w:after="0" w:line="257"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417,398 shares of Common Stock as well as 170,445 shares of Common Stock issuable upon exercise of Warrants held by Tullis Growth Fund, L.P. Tullis-Growth Partners, L.L.C. may be deemed to beneficially own these shares because the L.L.C. is a general partner of Tullis Growth Fund, L.P.</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calculated based on 16,319,488 shares of Common Stock outstanding as of November 18, 2022, as reported in the issuer’s Quarterly Report on Form 10-Q for the quarter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-875665</wp:posOffset>
            </wp:positionV>
            <wp:extent cx="65493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-1432560</wp:posOffset>
            </wp:positionV>
            <wp:extent cx="65493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-1990090</wp:posOffset>
            </wp:positionV>
            <wp:extent cx="65493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-2409825</wp:posOffset>
            </wp:positionV>
            <wp:extent cx="65493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-2967355</wp:posOffset>
            </wp:positionV>
            <wp:extent cx="570039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color w:val="auto"/>
        </w:rPr>
        <w:t>CUSIP No: 30068X103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980" w:right="7480" w:hanging="459"/>
        <w:spacing w:after="0" w:line="538" w:lineRule="auto"/>
        <w:tabs>
          <w:tab w:leader="none" w:pos="9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Tullis Growth Fund II, L.P.</w:t>
      </w:r>
    </w:p>
    <w:p>
      <w:pPr>
        <w:spacing w:after="0" w:line="1" w:lineRule="exact"/>
        <w:rPr>
          <w:rFonts w:ascii="Times New Roman" w:cs="Times New Roman" w:eastAsia="Times New Roman" w:hAnsi="Times New Roman"/>
          <w:sz w:val="17"/>
          <w:szCs w:val="17"/>
          <w:color w:val="auto"/>
        </w:rPr>
      </w:pPr>
    </w:p>
    <w:p>
      <w:pPr>
        <w:ind w:left="980" w:hanging="459"/>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760" w:hanging="780"/>
        <w:spacing w:after="0" w:line="207" w:lineRule="exact"/>
        <w:tabs>
          <w:tab w:leader="none" w:pos="1760" w:val="left"/>
        </w:tabs>
        <w:numPr>
          <w:ilvl w:val="1"/>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9" w:lineRule="exact"/>
        <w:rPr>
          <w:rFonts w:ascii="Times New Roman" w:cs="Times New Roman" w:eastAsia="Times New Roman" w:hAnsi="Times New Roman"/>
          <w:sz w:val="18"/>
          <w:szCs w:val="18"/>
          <w:color w:val="auto"/>
        </w:rPr>
      </w:pPr>
    </w:p>
    <w:p>
      <w:pPr>
        <w:ind w:left="1760" w:hanging="780"/>
        <w:spacing w:after="0" w:line="207" w:lineRule="exact"/>
        <w:tabs>
          <w:tab w:leader="none" w:pos="1760" w:val="left"/>
        </w:tabs>
        <w:numPr>
          <w:ilvl w:val="1"/>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27" w:lineRule="exact"/>
        <w:rPr>
          <w:rFonts w:ascii="Times New Roman" w:cs="Times New Roman" w:eastAsia="Times New Roman" w:hAnsi="Times New Roman"/>
          <w:sz w:val="18"/>
          <w:szCs w:val="18"/>
          <w:color w:val="auto"/>
        </w:rPr>
      </w:pPr>
    </w:p>
    <w:p>
      <w:pPr>
        <w:ind w:left="980" w:hanging="459"/>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980" w:right="6600" w:hanging="459"/>
        <w:spacing w:after="0" w:line="546" w:lineRule="auto"/>
        <w:tabs>
          <w:tab w:leader="none" w:pos="9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OR PLACE OF ORGANIZATION Delaware,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-140970</wp:posOffset>
            </wp:positionV>
            <wp:extent cx="654939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-698500</wp:posOffset>
            </wp:positionV>
            <wp:extent cx="65493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-1118235</wp:posOffset>
            </wp:positionV>
            <wp:extent cx="65493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-1692910</wp:posOffset>
            </wp:positionV>
            <wp:extent cx="65493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tbl>
      <w:tblPr>
        <w:tblLayout w:type="fixed"/>
        <w:tblInd w:w="16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9"/>
        </w:trPr>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414"/>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SHARES</w:t>
            </w:r>
          </w:p>
        </w:tc>
        <w:tc>
          <w:tcPr>
            <w:tcW w:w="720" w:type="dxa"/>
            <w:vAlign w:val="bottom"/>
          </w:tcPr>
          <w:p>
            <w:pPr>
              <w:spacing w:after="0"/>
              <w:rPr>
                <w:sz w:val="18"/>
                <w:szCs w:val="18"/>
                <w:color w:val="auto"/>
              </w:rPr>
            </w:pPr>
          </w:p>
        </w:tc>
        <w:tc>
          <w:tcPr>
            <w:tcW w:w="8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105,453 (1)</w:t>
            </w:r>
          </w:p>
        </w:tc>
        <w:tc>
          <w:tcPr>
            <w:tcW w:w="0" w:type="dxa"/>
            <w:vAlign w:val="bottom"/>
          </w:tcPr>
          <w:p>
            <w:pPr>
              <w:spacing w:after="0"/>
              <w:rPr>
                <w:sz w:val="1"/>
                <w:szCs w:val="1"/>
                <w:color w:val="auto"/>
              </w:rPr>
            </w:pPr>
          </w:p>
        </w:tc>
      </w:tr>
      <w:tr>
        <w:trPr>
          <w:trHeight w:val="233"/>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BENEFICIALLY</w:t>
            </w:r>
          </w:p>
        </w:tc>
        <w:tc>
          <w:tcPr>
            <w:tcW w:w="720" w:type="dxa"/>
            <w:vAlign w:val="bottom"/>
          </w:tcPr>
          <w:p>
            <w:pPr>
              <w:spacing w:after="0"/>
              <w:rPr>
                <w:sz w:val="19"/>
                <w:szCs w:val="19"/>
                <w:color w:val="auto"/>
              </w:rPr>
            </w:pPr>
          </w:p>
        </w:tc>
        <w:tc>
          <w:tcPr>
            <w:tcW w:w="8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380" w:type="dxa"/>
            <w:vAlign w:val="bottom"/>
          </w:tcPr>
          <w:p>
            <w:pPr>
              <w:jc w:val="center"/>
              <w:ind w:right="10"/>
              <w:spacing w:after="0" w:line="184" w:lineRule="exact"/>
              <w:rPr>
                <w:sz w:val="20"/>
                <w:szCs w:val="20"/>
                <w:color w:val="auto"/>
              </w:rPr>
            </w:pPr>
            <w:r>
              <w:rPr>
                <w:rFonts w:ascii="Times New Roman" w:cs="Times New Roman" w:eastAsia="Times New Roman" w:hAnsi="Times New Roman"/>
                <w:sz w:val="18"/>
                <w:szCs w:val="18"/>
                <w:color w:val="auto"/>
                <w:w w:val="99"/>
              </w:rPr>
              <w:t>OWNED BY</w:t>
            </w:r>
          </w:p>
        </w:tc>
        <w:tc>
          <w:tcPr>
            <w:tcW w:w="720" w:type="dxa"/>
            <w:vAlign w:val="bottom"/>
          </w:tcPr>
          <w:p>
            <w:pPr>
              <w:spacing w:after="0"/>
              <w:rPr>
                <w:sz w:val="16"/>
                <w:szCs w:val="16"/>
                <w:color w:val="auto"/>
              </w:rPr>
            </w:pPr>
          </w:p>
        </w:tc>
        <w:tc>
          <w:tcPr>
            <w:tcW w:w="8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EACH</w:t>
            </w:r>
          </w:p>
        </w:tc>
        <w:tc>
          <w:tcPr>
            <w:tcW w:w="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72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PERSON WITH</w:t>
            </w:r>
          </w:p>
        </w:tc>
        <w:tc>
          <w:tcPr>
            <w:tcW w:w="720" w:type="dxa"/>
            <w:vAlign w:val="bottom"/>
          </w:tcPr>
          <w:p>
            <w:pPr>
              <w:spacing w:after="0"/>
              <w:rPr>
                <w:sz w:val="20"/>
                <w:szCs w:val="20"/>
                <w:color w:val="auto"/>
              </w:rPr>
            </w:pPr>
          </w:p>
        </w:tc>
        <w:tc>
          <w:tcPr>
            <w:tcW w:w="8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320" w:right="6400" w:hanging="665"/>
        <w:spacing w:after="0" w:line="508" w:lineRule="auto"/>
        <w:tabs>
          <w:tab w:leader="none" w:pos="232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105,453 (1)</w:t>
      </w:r>
    </w:p>
    <w:p>
      <w:pPr>
        <w:spacing w:after="0" w:line="1" w:lineRule="exact"/>
        <w:rPr>
          <w:rFonts w:ascii="Times New Roman" w:cs="Times New Roman" w:eastAsia="Times New Roman" w:hAnsi="Times New Roman"/>
          <w:sz w:val="18"/>
          <w:szCs w:val="18"/>
          <w:color w:val="auto"/>
        </w:rPr>
      </w:pPr>
    </w:p>
    <w:p>
      <w:pPr>
        <w:ind w:left="980" w:right="3700" w:hanging="459"/>
        <w:spacing w:after="0" w:line="492"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105,453 (1)</w:t>
      </w:r>
    </w:p>
    <w:p>
      <w:pPr>
        <w:ind w:left="980" w:hanging="459"/>
        <w:spacing w:after="0" w:line="207" w:lineRule="exact"/>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83" w:lineRule="exact"/>
        <w:rPr>
          <w:rFonts w:ascii="Times New Roman" w:cs="Times New Roman" w:eastAsia="Times New Roman" w:hAnsi="Times New Roman"/>
          <w:sz w:val="18"/>
          <w:szCs w:val="18"/>
          <w:color w:val="auto"/>
        </w:rPr>
      </w:pPr>
    </w:p>
    <w:p>
      <w:pPr>
        <w:ind w:left="980" w:hanging="459"/>
        <w:spacing w:after="0"/>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 (2)</w:t>
      </w:r>
    </w:p>
    <w:p>
      <w:pPr>
        <w:spacing w:after="0" w:line="238" w:lineRule="exact"/>
        <w:rPr>
          <w:rFonts w:ascii="Times New Roman" w:cs="Times New Roman" w:eastAsia="Times New Roman" w:hAnsi="Times New Roman"/>
          <w:sz w:val="18"/>
          <w:szCs w:val="18"/>
          <w:color w:val="auto"/>
        </w:rPr>
      </w:pPr>
    </w:p>
    <w:p>
      <w:pPr>
        <w:ind w:left="980" w:right="5920" w:hanging="459"/>
        <w:spacing w:after="0" w:line="524"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w:t>
      </w: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105,453 shares of Common Stock held by Tullis Growth Fund II, L.P.</w:t>
      </w:r>
    </w:p>
    <w:p>
      <w:pPr>
        <w:spacing w:after="0" w:line="27"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calculated based on 16,319,488 shares of Common Stock outstanding as of November 18, 2022, as reported in the issuer’s Quarterly Report on Form 10-Q for the quarter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-584200</wp:posOffset>
            </wp:positionV>
            <wp:extent cx="65493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-1141095</wp:posOffset>
            </wp:positionV>
            <wp:extent cx="65493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-1698625</wp:posOffset>
            </wp:positionV>
            <wp:extent cx="65493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-2118360</wp:posOffset>
            </wp:positionV>
            <wp:extent cx="65493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-2675890</wp:posOffset>
            </wp:positionV>
            <wp:extent cx="570039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color w:val="auto"/>
        </w:rPr>
        <w:t>CUSIP No: 30068X103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980" w:right="7480" w:hanging="459"/>
        <w:spacing w:after="0" w:line="538" w:lineRule="auto"/>
        <w:tabs>
          <w:tab w:leader="none" w:pos="9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Tullis-Growth Partners II, L.L.C.</w:t>
      </w:r>
    </w:p>
    <w:p>
      <w:pPr>
        <w:spacing w:after="0" w:line="1" w:lineRule="exact"/>
        <w:rPr>
          <w:rFonts w:ascii="Times New Roman" w:cs="Times New Roman" w:eastAsia="Times New Roman" w:hAnsi="Times New Roman"/>
          <w:sz w:val="17"/>
          <w:szCs w:val="17"/>
          <w:color w:val="auto"/>
        </w:rPr>
      </w:pPr>
    </w:p>
    <w:p>
      <w:pPr>
        <w:ind w:left="980" w:hanging="459"/>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760" w:hanging="780"/>
        <w:spacing w:after="0" w:line="207" w:lineRule="exact"/>
        <w:tabs>
          <w:tab w:leader="none" w:pos="1760" w:val="left"/>
        </w:tabs>
        <w:numPr>
          <w:ilvl w:val="1"/>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9" w:lineRule="exact"/>
        <w:rPr>
          <w:rFonts w:ascii="Times New Roman" w:cs="Times New Roman" w:eastAsia="Times New Roman" w:hAnsi="Times New Roman"/>
          <w:sz w:val="18"/>
          <w:szCs w:val="18"/>
          <w:color w:val="auto"/>
        </w:rPr>
      </w:pPr>
    </w:p>
    <w:p>
      <w:pPr>
        <w:ind w:left="1760" w:hanging="780"/>
        <w:spacing w:after="0" w:line="207" w:lineRule="exact"/>
        <w:tabs>
          <w:tab w:leader="none" w:pos="1760" w:val="left"/>
        </w:tabs>
        <w:numPr>
          <w:ilvl w:val="1"/>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27" w:lineRule="exact"/>
        <w:rPr>
          <w:rFonts w:ascii="Times New Roman" w:cs="Times New Roman" w:eastAsia="Times New Roman" w:hAnsi="Times New Roman"/>
          <w:sz w:val="18"/>
          <w:szCs w:val="18"/>
          <w:color w:val="auto"/>
        </w:rPr>
      </w:pPr>
    </w:p>
    <w:p>
      <w:pPr>
        <w:ind w:left="980" w:hanging="459"/>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980" w:right="6600" w:hanging="459"/>
        <w:spacing w:after="0" w:line="546" w:lineRule="auto"/>
        <w:tabs>
          <w:tab w:leader="none" w:pos="9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OR PLACE OF ORGANIZATION Delaware,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-140970</wp:posOffset>
            </wp:positionV>
            <wp:extent cx="65493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-698500</wp:posOffset>
            </wp:positionV>
            <wp:extent cx="65493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-1118235</wp:posOffset>
            </wp:positionV>
            <wp:extent cx="654939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-1692910</wp:posOffset>
            </wp:positionV>
            <wp:extent cx="65493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tbl>
      <w:tblPr>
        <w:tblLayout w:type="fixed"/>
        <w:tblInd w:w="16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9"/>
        </w:trPr>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414"/>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SHARES</w:t>
            </w:r>
          </w:p>
        </w:tc>
        <w:tc>
          <w:tcPr>
            <w:tcW w:w="720" w:type="dxa"/>
            <w:vAlign w:val="bottom"/>
          </w:tcPr>
          <w:p>
            <w:pPr>
              <w:spacing w:after="0"/>
              <w:rPr>
                <w:sz w:val="18"/>
                <w:szCs w:val="18"/>
                <w:color w:val="auto"/>
              </w:rPr>
            </w:pPr>
          </w:p>
        </w:tc>
        <w:tc>
          <w:tcPr>
            <w:tcW w:w="8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105,453 (1)</w:t>
            </w:r>
          </w:p>
        </w:tc>
        <w:tc>
          <w:tcPr>
            <w:tcW w:w="0" w:type="dxa"/>
            <w:vAlign w:val="bottom"/>
          </w:tcPr>
          <w:p>
            <w:pPr>
              <w:spacing w:after="0"/>
              <w:rPr>
                <w:sz w:val="1"/>
                <w:szCs w:val="1"/>
                <w:color w:val="auto"/>
              </w:rPr>
            </w:pPr>
          </w:p>
        </w:tc>
      </w:tr>
      <w:tr>
        <w:trPr>
          <w:trHeight w:val="233"/>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BENEFICIALLY</w:t>
            </w:r>
          </w:p>
        </w:tc>
        <w:tc>
          <w:tcPr>
            <w:tcW w:w="720" w:type="dxa"/>
            <w:vAlign w:val="bottom"/>
          </w:tcPr>
          <w:p>
            <w:pPr>
              <w:spacing w:after="0"/>
              <w:rPr>
                <w:sz w:val="19"/>
                <w:szCs w:val="19"/>
                <w:color w:val="auto"/>
              </w:rPr>
            </w:pPr>
          </w:p>
        </w:tc>
        <w:tc>
          <w:tcPr>
            <w:tcW w:w="8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380" w:type="dxa"/>
            <w:vAlign w:val="bottom"/>
          </w:tcPr>
          <w:p>
            <w:pPr>
              <w:jc w:val="center"/>
              <w:ind w:right="10"/>
              <w:spacing w:after="0" w:line="184" w:lineRule="exact"/>
              <w:rPr>
                <w:sz w:val="20"/>
                <w:szCs w:val="20"/>
                <w:color w:val="auto"/>
              </w:rPr>
            </w:pPr>
            <w:r>
              <w:rPr>
                <w:rFonts w:ascii="Times New Roman" w:cs="Times New Roman" w:eastAsia="Times New Roman" w:hAnsi="Times New Roman"/>
                <w:sz w:val="18"/>
                <w:szCs w:val="18"/>
                <w:color w:val="auto"/>
                <w:w w:val="99"/>
              </w:rPr>
              <w:t>OWNED BY</w:t>
            </w:r>
          </w:p>
        </w:tc>
        <w:tc>
          <w:tcPr>
            <w:tcW w:w="720" w:type="dxa"/>
            <w:vAlign w:val="bottom"/>
          </w:tcPr>
          <w:p>
            <w:pPr>
              <w:spacing w:after="0"/>
              <w:rPr>
                <w:sz w:val="16"/>
                <w:szCs w:val="16"/>
                <w:color w:val="auto"/>
              </w:rPr>
            </w:pPr>
          </w:p>
        </w:tc>
        <w:tc>
          <w:tcPr>
            <w:tcW w:w="8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EACH</w:t>
            </w:r>
          </w:p>
        </w:tc>
        <w:tc>
          <w:tcPr>
            <w:tcW w:w="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72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PERSON WITH</w:t>
            </w:r>
          </w:p>
        </w:tc>
        <w:tc>
          <w:tcPr>
            <w:tcW w:w="720" w:type="dxa"/>
            <w:vAlign w:val="bottom"/>
          </w:tcPr>
          <w:p>
            <w:pPr>
              <w:spacing w:after="0"/>
              <w:rPr>
                <w:sz w:val="20"/>
                <w:szCs w:val="20"/>
                <w:color w:val="auto"/>
              </w:rPr>
            </w:pPr>
          </w:p>
        </w:tc>
        <w:tc>
          <w:tcPr>
            <w:tcW w:w="8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320" w:right="6400" w:hanging="665"/>
        <w:spacing w:after="0" w:line="508" w:lineRule="auto"/>
        <w:tabs>
          <w:tab w:leader="none" w:pos="232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105,453 (1)</w:t>
      </w:r>
    </w:p>
    <w:p>
      <w:pPr>
        <w:spacing w:after="0" w:line="1" w:lineRule="exact"/>
        <w:rPr>
          <w:rFonts w:ascii="Times New Roman" w:cs="Times New Roman" w:eastAsia="Times New Roman" w:hAnsi="Times New Roman"/>
          <w:sz w:val="18"/>
          <w:szCs w:val="18"/>
          <w:color w:val="auto"/>
        </w:rPr>
      </w:pPr>
    </w:p>
    <w:p>
      <w:pPr>
        <w:ind w:left="980" w:right="3700" w:hanging="459"/>
        <w:spacing w:after="0" w:line="492" w:lineRule="auto"/>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105,453 (1)</w:t>
      </w:r>
    </w:p>
    <w:p>
      <w:pPr>
        <w:ind w:left="980" w:hanging="459"/>
        <w:spacing w:after="0" w:line="207" w:lineRule="exact"/>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83" w:lineRule="exact"/>
        <w:rPr>
          <w:rFonts w:ascii="Times New Roman" w:cs="Times New Roman" w:eastAsia="Times New Roman" w:hAnsi="Times New Roman"/>
          <w:sz w:val="18"/>
          <w:szCs w:val="18"/>
          <w:color w:val="auto"/>
        </w:rPr>
      </w:pPr>
    </w:p>
    <w:p>
      <w:pPr>
        <w:ind w:left="980" w:hanging="459"/>
        <w:spacing w:after="0"/>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 (2)</w:t>
      </w:r>
    </w:p>
    <w:p>
      <w:pPr>
        <w:spacing w:after="0" w:line="238" w:lineRule="exact"/>
        <w:rPr>
          <w:rFonts w:ascii="Times New Roman" w:cs="Times New Roman" w:eastAsia="Times New Roman" w:hAnsi="Times New Roman"/>
          <w:sz w:val="18"/>
          <w:szCs w:val="18"/>
          <w:color w:val="auto"/>
        </w:rPr>
      </w:pPr>
    </w:p>
    <w:p>
      <w:pPr>
        <w:ind w:left="980" w:right="5920" w:hanging="459"/>
        <w:spacing w:after="0" w:line="524" w:lineRule="auto"/>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w:t>
      </w:r>
    </w:p>
    <w:p>
      <w:pPr>
        <w:ind w:left="340" w:hanging="332"/>
        <w:spacing w:after="0" w:line="261"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105,453 shares of Common Stock held by Tullis Growth Fund II, L.P. Tullis-Growth Partners II, L.L.C. may be deemed to beneficially own these shares because the L.L.C. is a general partner of Tullis Growth Fund II, L.P.</w:t>
      </w:r>
    </w:p>
    <w:p>
      <w:pPr>
        <w:ind w:left="340" w:hanging="332"/>
        <w:spacing w:after="0" w:line="260"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calculated based on 16,319,488 shares of Common Stock outstanding as of November 18, 2022, as reported in the issuer’s Quarterly Report on Form 10-Q for the quarter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-721360</wp:posOffset>
            </wp:positionV>
            <wp:extent cx="65493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-1278255</wp:posOffset>
            </wp:positionV>
            <wp:extent cx="654939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-1835785</wp:posOffset>
            </wp:positionV>
            <wp:extent cx="654939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-2255520</wp:posOffset>
            </wp:positionV>
            <wp:extent cx="654939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-2813050</wp:posOffset>
            </wp:positionV>
            <wp:extent cx="570039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color w:val="auto"/>
        </w:rPr>
        <w:t>CUSIP No: 30068X103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980" w:right="7480" w:hanging="459"/>
        <w:spacing w:after="0" w:line="508"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James L.L. Tullis</w:t>
      </w:r>
    </w:p>
    <w:p>
      <w:pPr>
        <w:spacing w:after="0" w:line="1" w:lineRule="exact"/>
        <w:rPr>
          <w:rFonts w:ascii="Times New Roman" w:cs="Times New Roman" w:eastAsia="Times New Roman" w:hAnsi="Times New Roman"/>
          <w:sz w:val="18"/>
          <w:szCs w:val="18"/>
          <w:color w:val="auto"/>
        </w:rPr>
      </w:pPr>
    </w:p>
    <w:p>
      <w:pPr>
        <w:ind w:left="980" w:hanging="459"/>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760" w:hanging="780"/>
        <w:spacing w:after="0" w:line="207" w:lineRule="exact"/>
        <w:tabs>
          <w:tab w:leader="none" w:pos="1760" w:val="left"/>
        </w:tabs>
        <w:numPr>
          <w:ilvl w:val="1"/>
          <w:numId w:val="2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9" w:lineRule="exact"/>
        <w:rPr>
          <w:rFonts w:ascii="Times New Roman" w:cs="Times New Roman" w:eastAsia="Times New Roman" w:hAnsi="Times New Roman"/>
          <w:sz w:val="18"/>
          <w:szCs w:val="18"/>
          <w:color w:val="auto"/>
        </w:rPr>
      </w:pPr>
    </w:p>
    <w:p>
      <w:pPr>
        <w:ind w:left="1760" w:hanging="780"/>
        <w:spacing w:after="0" w:line="207" w:lineRule="exact"/>
        <w:tabs>
          <w:tab w:leader="none" w:pos="1760" w:val="left"/>
        </w:tabs>
        <w:numPr>
          <w:ilvl w:val="1"/>
          <w:numId w:val="2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27" w:lineRule="exact"/>
        <w:rPr>
          <w:rFonts w:ascii="Times New Roman" w:cs="Times New Roman" w:eastAsia="Times New Roman" w:hAnsi="Times New Roman"/>
          <w:sz w:val="18"/>
          <w:szCs w:val="18"/>
          <w:color w:val="auto"/>
        </w:rPr>
      </w:pPr>
    </w:p>
    <w:p>
      <w:pPr>
        <w:ind w:left="980" w:hanging="459"/>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980" w:right="6600" w:hanging="459"/>
        <w:spacing w:after="0" w:line="516"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-141605</wp:posOffset>
            </wp:positionV>
            <wp:extent cx="654939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-698500</wp:posOffset>
            </wp:positionV>
            <wp:extent cx="654939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-1118870</wp:posOffset>
            </wp:positionV>
            <wp:extent cx="654939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-1692910</wp:posOffset>
            </wp:positionV>
            <wp:extent cx="654939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tbl>
      <w:tblPr>
        <w:tblLayout w:type="fixed"/>
        <w:tblInd w:w="16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9"/>
        </w:trPr>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52,296 (1)</w:t>
            </w:r>
          </w:p>
        </w:tc>
        <w:tc>
          <w:tcPr>
            <w:tcW w:w="0" w:type="dxa"/>
            <w:vAlign w:val="bottom"/>
          </w:tcPr>
          <w:p>
            <w:pPr>
              <w:spacing w:after="0"/>
              <w:rPr>
                <w:sz w:val="1"/>
                <w:szCs w:val="1"/>
                <w:color w:val="auto"/>
              </w:rPr>
            </w:pPr>
          </w:p>
        </w:tc>
      </w:tr>
      <w:tr>
        <w:trPr>
          <w:trHeight w:val="414"/>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SHARES</w:t>
            </w:r>
          </w:p>
        </w:tc>
        <w:tc>
          <w:tcPr>
            <w:tcW w:w="720" w:type="dxa"/>
            <w:vAlign w:val="bottom"/>
          </w:tcPr>
          <w:p>
            <w:pPr>
              <w:spacing w:after="0"/>
              <w:rPr>
                <w:sz w:val="18"/>
                <w:szCs w:val="18"/>
                <w:color w:val="auto"/>
              </w:rPr>
            </w:pPr>
          </w:p>
        </w:tc>
        <w:tc>
          <w:tcPr>
            <w:tcW w:w="8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1,805,653 (2)</w:t>
            </w:r>
          </w:p>
        </w:tc>
        <w:tc>
          <w:tcPr>
            <w:tcW w:w="0" w:type="dxa"/>
            <w:vAlign w:val="bottom"/>
          </w:tcPr>
          <w:p>
            <w:pPr>
              <w:spacing w:after="0"/>
              <w:rPr>
                <w:sz w:val="1"/>
                <w:szCs w:val="1"/>
                <w:color w:val="auto"/>
              </w:rPr>
            </w:pPr>
          </w:p>
        </w:tc>
      </w:tr>
      <w:tr>
        <w:trPr>
          <w:trHeight w:val="233"/>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BENEFICIALLY</w:t>
            </w:r>
          </w:p>
        </w:tc>
        <w:tc>
          <w:tcPr>
            <w:tcW w:w="720" w:type="dxa"/>
            <w:vAlign w:val="bottom"/>
          </w:tcPr>
          <w:p>
            <w:pPr>
              <w:spacing w:after="0"/>
              <w:rPr>
                <w:sz w:val="19"/>
                <w:szCs w:val="19"/>
                <w:color w:val="auto"/>
              </w:rPr>
            </w:pPr>
          </w:p>
        </w:tc>
        <w:tc>
          <w:tcPr>
            <w:tcW w:w="8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380" w:type="dxa"/>
            <w:vAlign w:val="bottom"/>
          </w:tcPr>
          <w:p>
            <w:pPr>
              <w:jc w:val="center"/>
              <w:ind w:right="10"/>
              <w:spacing w:after="0" w:line="184" w:lineRule="exact"/>
              <w:rPr>
                <w:sz w:val="20"/>
                <w:szCs w:val="20"/>
                <w:color w:val="auto"/>
              </w:rPr>
            </w:pPr>
            <w:r>
              <w:rPr>
                <w:rFonts w:ascii="Times New Roman" w:cs="Times New Roman" w:eastAsia="Times New Roman" w:hAnsi="Times New Roman"/>
                <w:sz w:val="18"/>
                <w:szCs w:val="18"/>
                <w:color w:val="auto"/>
                <w:w w:val="99"/>
              </w:rPr>
              <w:t>OWNED BY</w:t>
            </w:r>
          </w:p>
        </w:tc>
        <w:tc>
          <w:tcPr>
            <w:tcW w:w="720" w:type="dxa"/>
            <w:vAlign w:val="bottom"/>
          </w:tcPr>
          <w:p>
            <w:pPr>
              <w:spacing w:after="0"/>
              <w:rPr>
                <w:sz w:val="16"/>
                <w:szCs w:val="16"/>
                <w:color w:val="auto"/>
              </w:rPr>
            </w:pPr>
          </w:p>
        </w:tc>
        <w:tc>
          <w:tcPr>
            <w:tcW w:w="8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EACH</w:t>
            </w:r>
          </w:p>
        </w:tc>
        <w:tc>
          <w:tcPr>
            <w:tcW w:w="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72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PERSON WITH</w:t>
            </w:r>
          </w:p>
        </w:tc>
        <w:tc>
          <w:tcPr>
            <w:tcW w:w="720" w:type="dxa"/>
            <w:vAlign w:val="bottom"/>
          </w:tcPr>
          <w:p>
            <w:pPr>
              <w:spacing w:after="0"/>
              <w:rPr>
                <w:sz w:val="20"/>
                <w:szCs w:val="20"/>
                <w:color w:val="auto"/>
              </w:rPr>
            </w:pPr>
          </w:p>
        </w:tc>
        <w:tc>
          <w:tcPr>
            <w:tcW w:w="8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52,296 (1)</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320" w:right="6400" w:hanging="665"/>
        <w:spacing w:after="0" w:line="508" w:lineRule="auto"/>
        <w:tabs>
          <w:tab w:leader="none" w:pos="232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1,805,653 (2)</w:t>
      </w:r>
    </w:p>
    <w:p>
      <w:pPr>
        <w:spacing w:after="0" w:line="1" w:lineRule="exact"/>
        <w:rPr>
          <w:rFonts w:ascii="Times New Roman" w:cs="Times New Roman" w:eastAsia="Times New Roman" w:hAnsi="Times New Roman"/>
          <w:sz w:val="18"/>
          <w:szCs w:val="18"/>
          <w:color w:val="auto"/>
        </w:rPr>
      </w:pPr>
    </w:p>
    <w:p>
      <w:pPr>
        <w:ind w:left="980" w:right="3700" w:hanging="459"/>
        <w:spacing w:after="0" w:line="492" w:lineRule="auto"/>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1,857,949 (3)</w:t>
      </w:r>
    </w:p>
    <w:p>
      <w:pPr>
        <w:ind w:left="980" w:hanging="459"/>
        <w:spacing w:after="0" w:line="207" w:lineRule="exact"/>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83" w:lineRule="exact"/>
        <w:rPr>
          <w:rFonts w:ascii="Times New Roman" w:cs="Times New Roman" w:eastAsia="Times New Roman" w:hAnsi="Times New Roman"/>
          <w:sz w:val="18"/>
          <w:szCs w:val="18"/>
          <w:color w:val="auto"/>
        </w:rPr>
      </w:pPr>
    </w:p>
    <w:p>
      <w:pPr>
        <w:ind w:left="980" w:hanging="459"/>
        <w:spacing w:after="0"/>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11.38% (4)</w:t>
      </w:r>
    </w:p>
    <w:p>
      <w:pPr>
        <w:spacing w:after="0" w:line="238" w:lineRule="exact"/>
        <w:rPr>
          <w:rFonts w:ascii="Times New Roman" w:cs="Times New Roman" w:eastAsia="Times New Roman" w:hAnsi="Times New Roman"/>
          <w:sz w:val="18"/>
          <w:szCs w:val="18"/>
          <w:color w:val="auto"/>
        </w:rPr>
      </w:pPr>
    </w:p>
    <w:p>
      <w:pPr>
        <w:ind w:left="980" w:right="5920" w:hanging="459"/>
        <w:spacing w:after="0" w:line="524" w:lineRule="auto"/>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IN, HC</w:t>
      </w: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21,348 shares of Common Stock as well as 30,948 Options held by Mr. Tullis in his individual capacity.</w:t>
      </w:r>
    </w:p>
    <w:p>
      <w:pPr>
        <w:spacing w:after="0" w:line="27"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992,821 shares of Common Stock as well as 119,536 shares of Common Stock issuable upon exercise of Warrants held by Tullis-Dickerson Capital Focus III, L.P.; 417,398 shares of Common Stock as well as 170,445 shares of Common Stock issuable upon exercise of Warrants held by Tullis Growth Fund, L.P.; and 105,453 shares of Common Stock held by Tullis Growth Fund II, L.P. Mr. Tullis may be deemed to beneficially own all of these shares as principal of each of the foregoing entities.</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992,821 shares of Common Stock as well as 119,536 shares of Common Stock issuable upon exercise of Warrants held by Tullis-Dickerson Capital Focus III, L.P.; 417,398 shares of Common Stock as well as 170,445 shares of Common Stock issuable upon exercise of Warrants held by Tullis Growth Fund, L.P.; 105,453 shares of Common Stock held by Tullis Growth Fund II, L.P.; and 21,348 shares of Common Stock as well as 30,948 Options held by Mr. Tullis in his individual capacity. Mr. Tullis may be deemed to directly or beneficially own all of these shares as principal of each of the foregoing entities.</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calculated based on 16,319,488 shares of Common Stock outstanding as of November 18, 2022, as reported in the issuer’s Quarterly Report on Form 10-Q for the quarter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-1818640</wp:posOffset>
            </wp:positionV>
            <wp:extent cx="654939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-2375535</wp:posOffset>
            </wp:positionV>
            <wp:extent cx="654939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-2933065</wp:posOffset>
            </wp:positionV>
            <wp:extent cx="654939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-3352800</wp:posOffset>
            </wp:positionV>
            <wp:extent cx="654939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549390" cy="1714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-3910330</wp:posOffset>
            </wp:positionV>
            <wp:extent cx="570039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5" w:lineRule="exact"/>
        <w:rPr>
          <w:sz w:val="20"/>
          <w:szCs w:val="20"/>
          <w:color w:val="auto"/>
        </w:rPr>
      </w:pPr>
    </w:p>
    <w:p>
      <w:pPr>
        <w:ind w:left="660" w:right="9100" w:hanging="328"/>
        <w:spacing w:after="0" w:line="530" w:lineRule="auto"/>
        <w:tabs>
          <w:tab w:leader="none" w:pos="660" w:val="left"/>
        </w:tabs>
        <w:numPr>
          <w:ilvl w:val="0"/>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 of Issuer: </w:t>
      </w:r>
      <w:r>
        <w:rPr>
          <w:rFonts w:ascii="Times New Roman" w:cs="Times New Roman" w:eastAsia="Times New Roman" w:hAnsi="Times New Roman"/>
          <w:sz w:val="17"/>
          <w:szCs w:val="17"/>
          <w:color w:val="auto"/>
        </w:rPr>
        <w:t>Exagen, Inc.</w:t>
      </w:r>
    </w:p>
    <w:p>
      <w:pPr>
        <w:ind w:left="660" w:hanging="328"/>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Issuer: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1261 Liberty Way</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Vista, CA 92081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5"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Person Filing:</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This statement is being filed on behalf of each of the following persons (each, a “Reporting Person” and collectively, the “Reporting Persons”):</w:t>
      </w:r>
    </w:p>
    <w:p>
      <w:pPr>
        <w:spacing w:after="0" w:line="232"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Tullis-Dickerson Capital Focus III, L.P. (“</w:t>
      </w:r>
      <w:r>
        <w:rPr>
          <w:rFonts w:ascii="Times New Roman" w:cs="Times New Roman" w:eastAsia="Times New Roman" w:hAnsi="Times New Roman"/>
          <w:sz w:val="18"/>
          <w:szCs w:val="18"/>
          <w:b w:val="1"/>
          <w:bCs w:val="1"/>
          <w:u w:val="single" w:color="auto"/>
          <w:color w:val="auto"/>
        </w:rPr>
        <w:t>TD Capital Focus</w:t>
      </w:r>
      <w:r>
        <w:rPr>
          <w:rFonts w:ascii="Times New Roman" w:cs="Times New Roman" w:eastAsia="Times New Roman" w:hAnsi="Times New Roman"/>
          <w:sz w:val="18"/>
          <w:szCs w:val="18"/>
          <w:color w:val="auto"/>
        </w:rPr>
        <w:t>”)</w:t>
      </w:r>
    </w:p>
    <w:p>
      <w:pPr>
        <w:spacing w:after="0" w:line="3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Tullis-Dickerson Partners III, L.L.C., the general partner of TD Capital Focus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Tullis Growth Fund, L.P. (“</w:t>
      </w:r>
      <w:r>
        <w:rPr>
          <w:rFonts w:ascii="Times New Roman" w:cs="Times New Roman" w:eastAsia="Times New Roman" w:hAnsi="Times New Roman"/>
          <w:sz w:val="18"/>
          <w:szCs w:val="18"/>
          <w:b w:val="1"/>
          <w:bCs w:val="1"/>
          <w:u w:val="single" w:color="auto"/>
          <w:color w:val="auto"/>
        </w:rPr>
        <w:t>Tullis Growth Fund</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Tullis-Growth Partners, L.L.C., the general partner of Tullis Growth Fund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Tullis Growth Fund II, L.P. (“</w:t>
      </w:r>
      <w:r>
        <w:rPr>
          <w:rFonts w:ascii="Times New Roman" w:cs="Times New Roman" w:eastAsia="Times New Roman" w:hAnsi="Times New Roman"/>
          <w:sz w:val="18"/>
          <w:szCs w:val="18"/>
          <w:b w:val="1"/>
          <w:bCs w:val="1"/>
          <w:u w:val="single" w:color="auto"/>
          <w:color w:val="auto"/>
        </w:rPr>
        <w:t>Tullis Growth Fund II</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Tullis-Growth Partners II, L.L.C., the general partner of Tullis Growth Fund II</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L.L. Tullis as a principal of each of the foregoing entities and in his individual capacity</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Principal Business Office or, if none, Residence:</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address of the principal business office of each of the reporting persons is:</w:t>
      </w:r>
    </w:p>
    <w:p>
      <w:pPr>
        <w:spacing w:after="0" w:line="2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11770 US Highway One, Suite 503, Palm Beach Gardens, FL 33408</w:t>
      </w:r>
    </w:p>
    <w:p>
      <w:pPr>
        <w:spacing w:after="0" w:line="202"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 or Place of Organization:</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James L. L. Tullis is a citizen of the United States and each of the remaining Reporting Persons were formed in Delaware</w:t>
      </w:r>
    </w:p>
    <w:p>
      <w:pPr>
        <w:spacing w:after="0" w:line="200" w:lineRule="exact"/>
        <w:rPr>
          <w:sz w:val="20"/>
          <w:szCs w:val="20"/>
          <w:color w:val="auto"/>
        </w:rPr>
      </w:pPr>
    </w:p>
    <w:p>
      <w:pPr>
        <w:spacing w:after="0" w:line="24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900" w:right="599" w:bottom="1440" w:gutter="0" w:footer="0" w:header="0"/>
        </w:sectPr>
      </w:pPr>
    </w:p>
    <w:bookmarkStart w:id="9" w:name="page10"/>
    <w:bookmarkEnd w:id="9"/>
    <w:p>
      <w:pPr>
        <w:ind w:left="660" w:hanging="328"/>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Title of Class of Securities: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Common shares, par value $0.001 per share</w:t>
      </w:r>
    </w:p>
    <w:p>
      <w:pPr>
        <w:spacing w:after="0" w:line="22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CUSIP Number: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30068X103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ind w:left="980" w:hanging="324"/>
        <w:spacing w:after="0" w:line="207" w:lineRule="exact"/>
        <w:tabs>
          <w:tab w:leader="none" w:pos="980" w:val="left"/>
        </w:tabs>
        <w:numPr>
          <w:ilvl w:val="0"/>
          <w:numId w:val="3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980" w:hanging="324"/>
        <w:spacing w:after="0" w:line="207" w:lineRule="exact"/>
        <w:tabs>
          <w:tab w:leader="none" w:pos="980" w:val="left"/>
        </w:tabs>
        <w:numPr>
          <w:ilvl w:val="0"/>
          <w:numId w:val="3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980" w:hanging="324"/>
        <w:spacing w:after="0" w:line="207" w:lineRule="exact"/>
        <w:tabs>
          <w:tab w:leader="none" w:pos="980" w:val="left"/>
        </w:tabs>
        <w:numPr>
          <w:ilvl w:val="0"/>
          <w:numId w:val="3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980" w:hanging="324"/>
        <w:spacing w:after="0" w:line="207" w:lineRule="exact"/>
        <w:tabs>
          <w:tab w:leader="none" w:pos="980" w:val="left"/>
        </w:tabs>
        <w:numPr>
          <w:ilvl w:val="0"/>
          <w:numId w:val="3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980" w:hanging="324"/>
        <w:spacing w:after="0" w:line="207" w:lineRule="exact"/>
        <w:tabs>
          <w:tab w:leader="none" w:pos="980" w:val="left"/>
        </w:tabs>
        <w:numPr>
          <w:ilvl w:val="0"/>
          <w:numId w:val="3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225" w:lineRule="exact"/>
        <w:rPr>
          <w:rFonts w:ascii="Times New Roman" w:cs="Times New Roman" w:eastAsia="Times New Roman" w:hAnsi="Times New Roman"/>
          <w:sz w:val="18"/>
          <w:szCs w:val="18"/>
          <w:color w:val="auto"/>
        </w:rPr>
      </w:pPr>
    </w:p>
    <w:p>
      <w:pPr>
        <w:ind w:left="980" w:hanging="324"/>
        <w:spacing w:after="0" w:line="207" w:lineRule="exact"/>
        <w:tabs>
          <w:tab w:leader="none" w:pos="980" w:val="left"/>
        </w:tabs>
        <w:numPr>
          <w:ilvl w:val="0"/>
          <w:numId w:val="3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225" w:lineRule="exact"/>
        <w:rPr>
          <w:rFonts w:ascii="Times New Roman" w:cs="Times New Roman" w:eastAsia="Times New Roman" w:hAnsi="Times New Roman"/>
          <w:sz w:val="18"/>
          <w:szCs w:val="18"/>
          <w:color w:val="auto"/>
        </w:rPr>
      </w:pPr>
    </w:p>
    <w:p>
      <w:pPr>
        <w:ind w:left="980" w:hanging="324"/>
        <w:spacing w:after="0" w:line="207" w:lineRule="exact"/>
        <w:tabs>
          <w:tab w:leader="none" w:pos="980" w:val="left"/>
        </w:tabs>
        <w:numPr>
          <w:ilvl w:val="0"/>
          <w:numId w:val="3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225" w:lineRule="exact"/>
        <w:rPr>
          <w:rFonts w:ascii="Times New Roman" w:cs="Times New Roman" w:eastAsia="Times New Roman" w:hAnsi="Times New Roman"/>
          <w:sz w:val="18"/>
          <w:szCs w:val="18"/>
          <w:color w:val="auto"/>
        </w:rPr>
      </w:pPr>
    </w:p>
    <w:p>
      <w:pPr>
        <w:ind w:left="980" w:hanging="324"/>
        <w:spacing w:after="0" w:line="207" w:lineRule="exact"/>
        <w:tabs>
          <w:tab w:leader="none" w:pos="980" w:val="left"/>
        </w:tabs>
        <w:numPr>
          <w:ilvl w:val="0"/>
          <w:numId w:val="3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1300" w:right="120" w:hanging="644"/>
        <w:spacing w:after="0" w:line="239" w:lineRule="exact"/>
        <w:tabs>
          <w:tab w:leader="none" w:pos="976" w:val="left"/>
        </w:tabs>
        <w:numPr>
          <w:ilvl w:val="0"/>
          <w:numId w:val="3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Times New Roman" w:cs="Times New Roman" w:eastAsia="Times New Roman" w:hAnsi="Times New Roman"/>
          <w:sz w:val="18"/>
          <w:szCs w:val="18"/>
          <w:color w:val="auto"/>
        </w:rPr>
      </w:pPr>
    </w:p>
    <w:p>
      <w:pPr>
        <w:ind w:left="980" w:hanging="324"/>
        <w:spacing w:after="0" w:line="207" w:lineRule="exact"/>
        <w:tabs>
          <w:tab w:leader="none" w:pos="980" w:val="left"/>
        </w:tabs>
        <w:numPr>
          <w:ilvl w:val="0"/>
          <w:numId w:val="3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225" w:lineRule="exact"/>
        <w:rPr>
          <w:rFonts w:ascii="Times New Roman" w:cs="Times New Roman" w:eastAsia="Times New Roman" w:hAnsi="Times New Roman"/>
          <w:sz w:val="18"/>
          <w:szCs w:val="18"/>
          <w:color w:val="auto"/>
        </w:rPr>
      </w:pPr>
    </w:p>
    <w:p>
      <w:pPr>
        <w:ind w:left="980" w:hanging="324"/>
        <w:spacing w:after="0" w:line="207" w:lineRule="exact"/>
        <w:tabs>
          <w:tab w:leader="none" w:pos="980" w:val="left"/>
        </w:tabs>
        <w:numPr>
          <w:ilvl w:val="0"/>
          <w:numId w:val="3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Rule 13d-1(b)(1)(ii)(K).</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filing as a non-U.S. institution in accordance with §240.13d-1(b)(1)(ii)(J), please specify the type of institution: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25"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Amount Beneficially Owned:</w:t>
      </w:r>
    </w:p>
    <w:p>
      <w:pPr>
        <w:spacing w:after="0" w:line="2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9 of the cover page of each Reporting Person.</w:t>
      </w:r>
    </w:p>
    <w:p>
      <w:pPr>
        <w:spacing w:after="0" w:line="225" w:lineRule="exact"/>
        <w:rPr>
          <w:rFonts w:ascii="Times New Roman" w:cs="Times New Roman" w:eastAsia="Times New Roman" w:hAnsi="Times New Roman"/>
          <w:sz w:val="18"/>
          <w:szCs w:val="18"/>
          <w:color w:val="auto"/>
        </w:rPr>
      </w:pPr>
    </w:p>
    <w:p>
      <w:pPr>
        <w:ind w:left="66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the general partner of Tullis-Dickerson Capital Focus III, L.P., Tullis Dickerson Partners III, L.L.C. is deemed to beneficially own 1,112,357 shares of the Issuer’s Common Stock. As the general partner of Tullis Growth Fund, L.P., Tullis-Growth Partners, L.L.C. is deemed to beneficially own 587,843 shares of the Issuer’s Common Stock. As the general partner of Tullis Growth Fund II, L.P., Tullis-Growth Partners II, LLC is deemed to beneficially own 105,453 shares of the Issuer’s Common Stock. James L.L. Tullis, in his individual capacity, beneficially owns 52,296 shares of the Issuer’s Common Stock and is a principal of each of the foregoing entities and may be deemed to possess voting and investment control over, and may be deemed to have an indirect beneficial ownership with respect to the shares held by Tullis-Dickerson Capital Focus III, L.P., Tullis Growth Fund, L.P., and Tullis Growth Fund II, L.P.</w:t>
      </w:r>
    </w:p>
    <w:p>
      <w:pPr>
        <w:spacing w:after="0" w:line="188" w:lineRule="exact"/>
        <w:rPr>
          <w:rFonts w:ascii="Times New Roman" w:cs="Times New Roman" w:eastAsia="Times New Roman" w:hAnsi="Times New Roman"/>
          <w:sz w:val="18"/>
          <w:szCs w:val="18"/>
          <w:color w:val="auto"/>
        </w:rPr>
      </w:pPr>
    </w:p>
    <w:p>
      <w:pPr>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13d-4 of the Securities Exchange Act of 1934, as amended (the “Exchange Act”), the Reporting Persons declare that filing this Schedule 13G shall not be construed as an admission that any such person is, for the purposes of Section 13(d) and/or Section 13(g) of the Exchange Act, the beneficial owner of any Common Stock covered by this Schedule 13G except to the extent of such person’s direct ownership of such Common Stock, and except to the extent of such direct ownership, such beneficial ownership is expressly disclaimed by each Reporting Person.</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0" w:name="page11"/>
    <w:bookmarkEnd w:id="10"/>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Percent of Class:</w:t>
      </w:r>
    </w:p>
    <w:p>
      <w:pPr>
        <w:spacing w:after="0" w:line="22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Tullis-Dickerson Capital Focus III, L.P.: 6.82%</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Tullis-Dickerson Partners III, L.L.C.: 6.82%</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Tullis Growth Fund, L.P.: 3.60%</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Tullis-Growth Partners, L.L.C.: 3.60%</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Tullis Growth Fund II, L.P.: 0.65%</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Tullis-Growth Partners II, L.L.C., 0.65%</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L. L. Tullis: 11.38% as a principal of each of the foregoing entities and 0.32%, individually</w:t>
      </w:r>
    </w:p>
    <w:p>
      <w:pPr>
        <w:spacing w:after="0" w:line="207" w:lineRule="exact"/>
        <w:rPr>
          <w:sz w:val="20"/>
          <w:szCs w:val="20"/>
          <w:color w:val="auto"/>
        </w:rPr>
      </w:pPr>
    </w:p>
    <w:p>
      <w:pPr>
        <w:ind w:left="660" w:right="100"/>
        <w:spacing w:after="0" w:line="282" w:lineRule="auto"/>
        <w:rPr>
          <w:sz w:val="20"/>
          <w:szCs w:val="20"/>
          <w:color w:val="auto"/>
        </w:rPr>
      </w:pPr>
      <w:r>
        <w:rPr>
          <w:rFonts w:ascii="Times New Roman" w:cs="Times New Roman" w:eastAsia="Times New Roman" w:hAnsi="Times New Roman"/>
          <w:sz w:val="18"/>
          <w:szCs w:val="18"/>
          <w:color w:val="auto"/>
        </w:rPr>
        <w:t>Percentage calculated based on 16,319,488 shares of Common Stock outstanding as of November 18, 2022, as reported in the issuer’s Quarterly Report on Form 10-Q for the quarter ended September 30, 2022.</w:t>
      </w:r>
    </w:p>
    <w:p>
      <w:pPr>
        <w:spacing w:after="0" w:line="162"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Sole power to vote or to direct the vote:</w:t>
      </w:r>
    </w:p>
    <w:p>
      <w:pPr>
        <w:spacing w:after="0" w:line="229"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5 of the cover page of each Reporting Person.</w:t>
      </w:r>
    </w:p>
    <w:p>
      <w:pPr>
        <w:spacing w:after="0" w:line="2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Shared power to vote or to direct the vote:</w:t>
      </w:r>
    </w:p>
    <w:p>
      <w:pPr>
        <w:spacing w:after="0" w:line="229"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6 of the cover page of each Reporting Person</w:t>
      </w:r>
    </w:p>
    <w:p>
      <w:pPr>
        <w:spacing w:after="0" w:line="221" w:lineRule="exact"/>
        <w:rPr>
          <w:rFonts w:ascii="Times New Roman" w:cs="Times New Roman" w:eastAsia="Times New Roman" w:hAnsi="Times New Roman"/>
          <w:sz w:val="18"/>
          <w:szCs w:val="18"/>
          <w:color w:val="auto"/>
        </w:rPr>
      </w:pPr>
    </w:p>
    <w:p>
      <w:pPr>
        <w:jc w:val="both"/>
        <w:ind w:left="980" w:right="6180" w:hanging="324"/>
        <w:spacing w:after="0" w:line="530" w:lineRule="auto"/>
        <w:tabs>
          <w:tab w:leader="none" w:pos="98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Sole power to dispose or to direct the disposition of: </w:t>
      </w:r>
      <w:r>
        <w:rPr>
          <w:rFonts w:ascii="Times New Roman" w:cs="Times New Roman" w:eastAsia="Times New Roman" w:hAnsi="Times New Roman"/>
          <w:sz w:val="17"/>
          <w:szCs w:val="17"/>
          <w:color w:val="auto"/>
        </w:rPr>
        <w:t>See row 7 of the cover page of each Reporting Person.</w:t>
      </w:r>
    </w:p>
    <w:p>
      <w:pPr>
        <w:ind w:left="980" w:right="5960" w:hanging="324"/>
        <w:spacing w:after="0" w:line="500" w:lineRule="auto"/>
        <w:tabs>
          <w:tab w:leader="none" w:pos="9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Shared power to dispose or to direct the disposition of: </w:t>
      </w:r>
      <w:r>
        <w:rPr>
          <w:rFonts w:ascii="Times New Roman" w:cs="Times New Roman" w:eastAsia="Times New Roman" w:hAnsi="Times New Roman"/>
          <w:sz w:val="18"/>
          <w:szCs w:val="18"/>
          <w:color w:val="auto"/>
        </w:rPr>
        <w:t>See row 8 of the cover page of each Reporting Person.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40" w:right="200" w:hanging="647"/>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Certifications.</w:t>
      </w:r>
    </w:p>
    <w:p>
      <w:pPr>
        <w:spacing w:after="0" w:line="229"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0" w:right="4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7, 2023</w:t>
      </w:r>
    </w:p>
    <w:p>
      <w:pPr>
        <w:spacing w:after="0" w:line="221"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b w:val="1"/>
          <w:bCs w:val="1"/>
          <w:color w:val="auto"/>
        </w:rPr>
        <w:t>TULLIS-DICKERSON CAPITAL FOCUS III, L.P.</w:t>
      </w:r>
    </w:p>
    <w:p>
      <w:pPr>
        <w:spacing w:after="0" w:line="225" w:lineRule="exact"/>
        <w:rPr>
          <w:sz w:val="20"/>
          <w:szCs w:val="20"/>
          <w:color w:val="auto"/>
        </w:rPr>
      </w:pPr>
    </w:p>
    <w:p>
      <w:pPr>
        <w:ind w:left="6720"/>
        <w:spacing w:after="0"/>
        <w:tabs>
          <w:tab w:leader="none" w:pos="714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7"/>
          <w:szCs w:val="17"/>
          <w:b w:val="1"/>
          <w:bCs w:val="1"/>
          <w:color w:val="auto"/>
        </w:rPr>
        <w:t>Tullis-Dickerson Partners III, L.L.C., its general</w:t>
      </w:r>
    </w:p>
    <w:p>
      <w:pPr>
        <w:spacing w:after="0" w:line="31"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b w:val="1"/>
          <w:bCs w:val="1"/>
          <w:color w:val="auto"/>
        </w:rPr>
        <w:t>partner</w:t>
      </w:r>
    </w:p>
    <w:p>
      <w:pPr>
        <w:spacing w:after="0" w:line="203" w:lineRule="exact"/>
        <w:rPr>
          <w:sz w:val="20"/>
          <w:szCs w:val="20"/>
          <w:color w:val="auto"/>
        </w:rPr>
      </w:pPr>
    </w:p>
    <w:p>
      <w:pPr>
        <w:ind w:left="6720"/>
        <w:spacing w:after="0"/>
        <w:tabs>
          <w:tab w:leader="none" w:pos="714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19685</wp:posOffset>
            </wp:positionV>
            <wp:extent cx="258889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88895" cy="17145"/>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b w:val="1"/>
          <w:bCs w:val="1"/>
          <w:color w:val="auto"/>
        </w:rPr>
        <w:t>Name: James L.L. Tullis</w:t>
      </w:r>
    </w:p>
    <w:p>
      <w:pPr>
        <w:spacing w:after="0" w:line="31" w:lineRule="exact"/>
        <w:rPr>
          <w:sz w:val="20"/>
          <w:szCs w:val="20"/>
          <w:color w:val="auto"/>
        </w:rPr>
      </w:pPr>
    </w:p>
    <w:p>
      <w:pPr>
        <w:ind w:left="7160"/>
        <w:spacing w:after="0"/>
        <w:tabs>
          <w:tab w:leader="none" w:pos="7760" w:val="left"/>
        </w:tabs>
        <w:rPr>
          <w:sz w:val="20"/>
          <w:szCs w:val="20"/>
          <w:color w:val="auto"/>
        </w:rPr>
      </w:pPr>
      <w:r>
        <w:rPr>
          <w:rFonts w:ascii="Times New Roman" w:cs="Times New Roman" w:eastAsia="Times New Roman" w:hAnsi="Times New Roman"/>
          <w:sz w:val="18"/>
          <w:szCs w:val="18"/>
          <w:b w:val="1"/>
          <w:bCs w:val="1"/>
          <w:color w:val="auto"/>
        </w:rPr>
        <w:t>Title:</w:t>
        <w:tab/>
        <w:t>Manager</w:t>
      </w:r>
    </w:p>
    <w:p>
      <w:pPr>
        <w:spacing w:after="0" w:line="203"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b w:val="1"/>
          <w:bCs w:val="1"/>
          <w:color w:val="auto"/>
        </w:rPr>
        <w:t>TULLIS GROWTH FUND, L.P.</w:t>
      </w:r>
    </w:p>
    <w:p>
      <w:pPr>
        <w:spacing w:after="0" w:line="225" w:lineRule="exact"/>
        <w:rPr>
          <w:sz w:val="20"/>
          <w:szCs w:val="20"/>
          <w:color w:val="auto"/>
        </w:rPr>
      </w:pPr>
    </w:p>
    <w:p>
      <w:pPr>
        <w:ind w:left="6720"/>
        <w:spacing w:after="0"/>
        <w:tabs>
          <w:tab w:leader="none" w:pos="714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7"/>
          <w:szCs w:val="17"/>
          <w:b w:val="1"/>
          <w:bCs w:val="1"/>
          <w:color w:val="auto"/>
        </w:rPr>
        <w:t>Tullis-Growth Partners, L.L.C., its general partner</w:t>
      </w:r>
    </w:p>
    <w:p>
      <w:pPr>
        <w:spacing w:after="0" w:line="225" w:lineRule="exact"/>
        <w:rPr>
          <w:sz w:val="20"/>
          <w:szCs w:val="20"/>
          <w:color w:val="auto"/>
        </w:rPr>
      </w:pPr>
    </w:p>
    <w:p>
      <w:pPr>
        <w:ind w:left="6720"/>
        <w:spacing w:after="0"/>
        <w:tabs>
          <w:tab w:leader="none" w:pos="714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19685</wp:posOffset>
            </wp:positionV>
            <wp:extent cx="258889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88895" cy="17145"/>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b w:val="1"/>
          <w:bCs w:val="1"/>
          <w:color w:val="auto"/>
        </w:rPr>
        <w:t>Name: James L.L. Tullis</w:t>
      </w:r>
    </w:p>
    <w:p>
      <w:pPr>
        <w:spacing w:after="0" w:line="31" w:lineRule="exact"/>
        <w:rPr>
          <w:sz w:val="20"/>
          <w:szCs w:val="20"/>
          <w:color w:val="auto"/>
        </w:rPr>
      </w:pPr>
    </w:p>
    <w:p>
      <w:pPr>
        <w:ind w:left="7160"/>
        <w:spacing w:after="0"/>
        <w:tabs>
          <w:tab w:leader="none" w:pos="7760" w:val="left"/>
        </w:tabs>
        <w:rPr>
          <w:sz w:val="20"/>
          <w:szCs w:val="20"/>
          <w:color w:val="auto"/>
        </w:rPr>
      </w:pPr>
      <w:r>
        <w:rPr>
          <w:rFonts w:ascii="Times New Roman" w:cs="Times New Roman" w:eastAsia="Times New Roman" w:hAnsi="Times New Roman"/>
          <w:sz w:val="18"/>
          <w:szCs w:val="18"/>
          <w:b w:val="1"/>
          <w:bCs w:val="1"/>
          <w:color w:val="auto"/>
        </w:rPr>
        <w:t>Title:</w:t>
        <w:tab/>
        <w:t>Manager</w:t>
      </w:r>
    </w:p>
    <w:p>
      <w:pPr>
        <w:spacing w:after="0" w:line="203"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b w:val="1"/>
          <w:bCs w:val="1"/>
          <w:color w:val="auto"/>
        </w:rPr>
        <w:t>TULLIS GROWTH FUND II, L.P.</w:t>
      </w:r>
    </w:p>
    <w:p>
      <w:pPr>
        <w:spacing w:after="0" w:line="225" w:lineRule="exact"/>
        <w:rPr>
          <w:sz w:val="20"/>
          <w:szCs w:val="20"/>
          <w:color w:val="auto"/>
        </w:rPr>
      </w:pPr>
    </w:p>
    <w:p>
      <w:pPr>
        <w:ind w:left="6720"/>
        <w:spacing w:after="0"/>
        <w:tabs>
          <w:tab w:leader="none" w:pos="714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7"/>
          <w:szCs w:val="17"/>
          <w:b w:val="1"/>
          <w:bCs w:val="1"/>
          <w:color w:val="auto"/>
        </w:rPr>
        <w:t>Tullis-Growth Partners II, L.L.C., its general</w:t>
      </w:r>
    </w:p>
    <w:p>
      <w:pPr>
        <w:spacing w:after="0" w:line="31"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b w:val="1"/>
          <w:bCs w:val="1"/>
          <w:color w:val="auto"/>
        </w:rPr>
        <w:t>partner</w:t>
      </w:r>
    </w:p>
    <w:p>
      <w:pPr>
        <w:spacing w:after="0" w:line="203" w:lineRule="exact"/>
        <w:rPr>
          <w:sz w:val="20"/>
          <w:szCs w:val="20"/>
          <w:color w:val="auto"/>
        </w:rPr>
      </w:pPr>
    </w:p>
    <w:p>
      <w:pPr>
        <w:ind w:left="6720"/>
        <w:spacing w:after="0"/>
        <w:tabs>
          <w:tab w:leader="none" w:pos="714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19685</wp:posOffset>
            </wp:positionV>
            <wp:extent cx="258889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88895" cy="17145"/>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b w:val="1"/>
          <w:bCs w:val="1"/>
          <w:color w:val="auto"/>
        </w:rPr>
        <w:t>Name: James L.L. Tullis</w:t>
      </w:r>
    </w:p>
    <w:p>
      <w:pPr>
        <w:spacing w:after="0" w:line="31" w:lineRule="exact"/>
        <w:rPr>
          <w:sz w:val="20"/>
          <w:szCs w:val="20"/>
          <w:color w:val="auto"/>
        </w:rPr>
      </w:pPr>
    </w:p>
    <w:p>
      <w:pPr>
        <w:ind w:left="7160"/>
        <w:spacing w:after="0"/>
        <w:tabs>
          <w:tab w:leader="none" w:pos="7760" w:val="left"/>
        </w:tabs>
        <w:rPr>
          <w:sz w:val="20"/>
          <w:szCs w:val="20"/>
          <w:color w:val="auto"/>
        </w:rPr>
      </w:pPr>
      <w:r>
        <w:rPr>
          <w:rFonts w:ascii="Times New Roman" w:cs="Times New Roman" w:eastAsia="Times New Roman" w:hAnsi="Times New Roman"/>
          <w:sz w:val="18"/>
          <w:szCs w:val="18"/>
          <w:b w:val="1"/>
          <w:bCs w:val="1"/>
          <w:color w:val="auto"/>
        </w:rPr>
        <w:t>Title:</w:t>
        <w:tab/>
        <w:t>Manager</w:t>
      </w:r>
    </w:p>
    <w:p>
      <w:pPr>
        <w:spacing w:after="0" w:line="203"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b w:val="1"/>
          <w:bCs w:val="1"/>
          <w:color w:val="auto"/>
        </w:rPr>
        <w:t>TULLIS-DICKERSON PARTNERS III, L.L.C.</w:t>
      </w:r>
    </w:p>
    <w:p>
      <w:pPr>
        <w:spacing w:after="0" w:line="225" w:lineRule="exact"/>
        <w:rPr>
          <w:sz w:val="20"/>
          <w:szCs w:val="20"/>
          <w:color w:val="auto"/>
        </w:rPr>
      </w:pPr>
    </w:p>
    <w:p>
      <w:pPr>
        <w:ind w:left="6720"/>
        <w:spacing w:after="0"/>
        <w:tabs>
          <w:tab w:leader="none" w:pos="714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19685</wp:posOffset>
            </wp:positionV>
            <wp:extent cx="258889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88895" cy="17145"/>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b w:val="1"/>
          <w:bCs w:val="1"/>
          <w:color w:val="auto"/>
        </w:rPr>
        <w:t>Name: James L.L. Tullis</w:t>
      </w:r>
    </w:p>
    <w:p>
      <w:pPr>
        <w:spacing w:after="0" w:line="31" w:lineRule="exact"/>
        <w:rPr>
          <w:sz w:val="20"/>
          <w:szCs w:val="20"/>
          <w:color w:val="auto"/>
        </w:rPr>
      </w:pPr>
    </w:p>
    <w:p>
      <w:pPr>
        <w:ind w:left="7160"/>
        <w:spacing w:after="0"/>
        <w:tabs>
          <w:tab w:leader="none" w:pos="776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7"/>
          <w:szCs w:val="17"/>
          <w:b w:val="1"/>
          <w:bCs w:val="1"/>
          <w:color w:val="auto"/>
        </w:rPr>
        <w:t>Chief Executive Officer</w:t>
      </w:r>
    </w:p>
    <w:p>
      <w:pPr>
        <w:spacing w:after="0" w:line="203"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b w:val="1"/>
          <w:bCs w:val="1"/>
          <w:color w:val="auto"/>
        </w:rPr>
        <w:t>TULLIS-GROWTH PARTNERS, L.L.C.</w:t>
      </w:r>
    </w:p>
    <w:p>
      <w:pPr>
        <w:spacing w:after="0" w:line="225" w:lineRule="exact"/>
        <w:rPr>
          <w:sz w:val="20"/>
          <w:szCs w:val="20"/>
          <w:color w:val="auto"/>
        </w:rPr>
      </w:pPr>
    </w:p>
    <w:p>
      <w:pPr>
        <w:ind w:left="6720"/>
        <w:spacing w:after="0"/>
        <w:tabs>
          <w:tab w:leader="none" w:pos="714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19685</wp:posOffset>
            </wp:positionV>
            <wp:extent cx="258889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88895" cy="17145"/>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b w:val="1"/>
          <w:bCs w:val="1"/>
          <w:color w:val="auto"/>
        </w:rPr>
        <w:t>Name: James L.L. Tullis</w:t>
      </w:r>
    </w:p>
    <w:p>
      <w:pPr>
        <w:spacing w:after="0" w:line="31" w:lineRule="exact"/>
        <w:rPr>
          <w:sz w:val="20"/>
          <w:szCs w:val="20"/>
          <w:color w:val="auto"/>
        </w:rPr>
      </w:pPr>
    </w:p>
    <w:p>
      <w:pPr>
        <w:ind w:left="7160"/>
        <w:spacing w:after="0"/>
        <w:tabs>
          <w:tab w:leader="none" w:pos="7760" w:val="left"/>
        </w:tabs>
        <w:rPr>
          <w:sz w:val="20"/>
          <w:szCs w:val="20"/>
          <w:color w:val="auto"/>
        </w:rPr>
      </w:pPr>
      <w:r>
        <w:rPr>
          <w:rFonts w:ascii="Times New Roman" w:cs="Times New Roman" w:eastAsia="Times New Roman" w:hAnsi="Times New Roman"/>
          <w:sz w:val="18"/>
          <w:szCs w:val="18"/>
          <w:b w:val="1"/>
          <w:bCs w:val="1"/>
          <w:color w:val="auto"/>
        </w:rPr>
        <w:t>Title:</w:t>
        <w:tab/>
        <w:t>Manager</w:t>
      </w:r>
    </w:p>
    <w:p>
      <w:pPr>
        <w:spacing w:after="0" w:line="203"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b w:val="1"/>
          <w:bCs w:val="1"/>
          <w:color w:val="auto"/>
        </w:rPr>
        <w:t>TULLIS-GROWTH PARTNERS II, L.L.C.</w:t>
      </w:r>
    </w:p>
    <w:p>
      <w:pPr>
        <w:spacing w:after="0" w:line="225" w:lineRule="exact"/>
        <w:rPr>
          <w:sz w:val="20"/>
          <w:szCs w:val="20"/>
          <w:color w:val="auto"/>
        </w:rPr>
      </w:pPr>
    </w:p>
    <w:p>
      <w:pPr>
        <w:ind w:left="6720"/>
        <w:spacing w:after="0"/>
        <w:tabs>
          <w:tab w:leader="none" w:pos="714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19685</wp:posOffset>
            </wp:positionV>
            <wp:extent cx="258889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88895" cy="17145"/>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b w:val="1"/>
          <w:bCs w:val="1"/>
          <w:color w:val="auto"/>
        </w:rPr>
        <w:t>Name: James L.L. Tullis</w:t>
      </w:r>
    </w:p>
    <w:p>
      <w:pPr>
        <w:spacing w:after="0" w:line="31" w:lineRule="exact"/>
        <w:rPr>
          <w:sz w:val="20"/>
          <w:szCs w:val="20"/>
          <w:color w:val="auto"/>
        </w:rPr>
      </w:pPr>
    </w:p>
    <w:p>
      <w:pPr>
        <w:ind w:left="7160"/>
        <w:spacing w:after="0"/>
        <w:tabs>
          <w:tab w:leader="none" w:pos="776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7"/>
          <w:szCs w:val="17"/>
          <w:b w:val="1"/>
          <w:bCs w:val="1"/>
          <w:color w:val="auto"/>
        </w:rPr>
        <w:t>Chief Executive Officer</w:t>
      </w:r>
    </w:p>
    <w:p>
      <w:pPr>
        <w:spacing w:after="0" w:line="207"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17145</wp:posOffset>
            </wp:positionV>
            <wp:extent cx="258889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88895" cy="17145"/>
                    </a:xfrm>
                    <a:prstGeom prst="rect">
                      <a:avLst/>
                    </a:prstGeom>
                    <a:noFill/>
                  </pic:spPr>
                </pic:pic>
              </a:graphicData>
            </a:graphic>
          </wp:anchor>
        </w:drawing>
      </w:r>
    </w:p>
    <w:p>
      <w:pPr>
        <w:spacing w:after="0" w:line="12"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b w:val="1"/>
          <w:bCs w:val="1"/>
          <w:color w:val="auto"/>
        </w:rPr>
        <w:t>JAMES L.L. TULLIS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Individually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 PURSUANT TO RULE 13d-1(k)</w:t>
      </w:r>
    </w:p>
    <w:p>
      <w:pPr>
        <w:spacing w:after="0" w:line="22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 Dated February 7, 2023</w:t>
      </w:r>
    </w:p>
    <w:p>
      <w:pPr>
        <w:spacing w:after="0" w:line="40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TULLIS-DICKERSON CAPITAL FOCUS III, L.P.</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Tullis-Dickerson Partners III, L.L.C., its general</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James L.L. Tullis</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TULLIS-DICKERSON PARTNERS III, L.L.C.</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James L.L. Tullis</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TULLIS GROWTH FUND, L.P.</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Tullis-Growth Partners, L.L.C., its general partner</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James L.L. Tullis</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TULLIS-GROWTH PARTNERS, L.L.C.</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James L.L. Tullis</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TULLIS GROWTH FUND II, L.P.</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Tullis-Growth Partners II, L.L.C., its general partner</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James L.L. Tullis</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TULLIS-GROWTH PARTNERS II, L.L.C.</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James L.L. Tullis</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JAMES L.L. TULLIS</w:t>
      </w:r>
      <w:r>
        <w:rPr>
          <w:rFonts w:ascii="Times New Roman" w:cs="Times New Roman" w:eastAsia="Times New Roman" w:hAnsi="Times New Roman"/>
          <w:sz w:val="18"/>
          <w:szCs w:val="18"/>
          <w:color w:val="auto"/>
        </w:rPr>
        <w:t>, Individually</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lvl w:ilvl="1">
      <w:lvlJc w:val="left"/>
      <w:lvlText w:val="(%2)"/>
      <w:numFmt w:val="lowerLetter"/>
      <w:start w:val="1"/>
    </w:lvl>
  </w:abstractNum>
  <w:abstractNum w:abstractNumId="3">
    <w:nsid w:val="436C6125"/>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4">
    <w:nsid w:val="628C895D"/>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5">
    <w:nsid w:val="333AB105"/>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
    <w:nsid w:val="721DA317"/>
    <w:multiLevelType w:val="hybridMultilevel"/>
    <w:lvl w:ilvl="0">
      <w:lvlJc w:val="left"/>
      <w:lvlText w:val="(%1)"/>
      <w:numFmt w:val="decimal"/>
      <w:start w:val="1"/>
    </w:lvl>
    <w:lvl w:ilvl="1">
      <w:lvlJc w:val="left"/>
      <w:lvlText w:val="(%2)"/>
      <w:numFmt w:val="lowerLetter"/>
      <w:start w:val="1"/>
    </w:lvl>
  </w:abstractNum>
  <w:abstractNum w:abstractNumId="7">
    <w:nsid w:val="2443A858"/>
    <w:multiLevelType w:val="hybridMultilevel"/>
    <w:lvl w:ilvl="0">
      <w:lvlJc w:val="left"/>
      <w:lvlText w:val="%1"/>
      <w:numFmt w:val="decimal"/>
      <w:start w:val="1"/>
    </w:lvl>
    <w:lvl w:ilvl="1">
      <w:lvlJc w:val="left"/>
      <w:lvlText w:val="(%2)"/>
      <w:numFmt w:val="decimal"/>
      <w:start w:val="8"/>
    </w:lvl>
  </w:abstractNum>
  <w:abstractNum w:abstractNumId="8">
    <w:nsid w:val="2D1D5AE9"/>
    <w:multiLevelType w:val="hybridMultilevel"/>
    <w:lvl w:ilvl="0">
      <w:lvlJc w:val="left"/>
      <w:lvlText w:val="(%1)"/>
      <w:numFmt w:val="decimal"/>
      <w:start w:val="9"/>
    </w:lvl>
    <w:lvl w:ilvl="1">
      <w:lvlJc w:val="left"/>
      <w:lvlText w:val="%2"/>
      <w:numFmt w:val="decimal"/>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1"/>
    </w:lvl>
    <w:lvl w:ilvl="1">
      <w:lvlJc w:val="left"/>
      <w:lvlText w:val="(%2)"/>
      <w:numFmt w:val="lowerLetter"/>
      <w:start w:val="1"/>
    </w:lvl>
  </w:abstractNum>
  <w:abstractNum w:abstractNumId="11">
    <w:nsid w:val="8EDBDAB"/>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12">
    <w:nsid w:val="79838CB2"/>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13">
    <w:nsid w:val="4353D0CD"/>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4">
    <w:nsid w:val="B03E0C6"/>
    <w:multiLevelType w:val="hybridMultilevel"/>
    <w:lvl w:ilvl="0">
      <w:lvlJc w:val="left"/>
      <w:lvlText w:val="(%1)"/>
      <w:numFmt w:val="decimal"/>
      <w:start w:val="1"/>
    </w:lvl>
    <w:lvl w:ilvl="1">
      <w:lvlJc w:val="left"/>
      <w:lvlText w:val="(%2)"/>
      <w:numFmt w:val="lowerLetter"/>
      <w:start w:val="1"/>
    </w:lvl>
  </w:abstractNum>
  <w:abstractNum w:abstractNumId="15">
    <w:nsid w:val="189A769B"/>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16">
    <w:nsid w:val="54E49EB4"/>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17">
    <w:nsid w:val="71F3245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8">
    <w:nsid w:val="2CA88611"/>
    <w:multiLevelType w:val="hybridMultilevel"/>
    <w:lvl w:ilvl="0">
      <w:lvlJc w:val="left"/>
      <w:lvlText w:val="(%1)"/>
      <w:numFmt w:val="decimal"/>
      <w:start w:val="1"/>
    </w:lvl>
    <w:lvl w:ilvl="1">
      <w:lvlJc w:val="left"/>
      <w:lvlText w:val="(%2)"/>
      <w:numFmt w:val="lowerLetter"/>
      <w:start w:val="1"/>
    </w:lvl>
  </w:abstractNum>
  <w:abstractNum w:abstractNumId="19">
    <w:nsid w:val="836C40E"/>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20">
    <w:nsid w:val="2901D82"/>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21">
    <w:nsid w:val="3A95F87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2">
    <w:nsid w:val="8138641"/>
    <w:multiLevelType w:val="hybridMultilevel"/>
    <w:lvl w:ilvl="0">
      <w:lvlJc w:val="left"/>
      <w:lvlText w:val="(%1)"/>
      <w:numFmt w:val="decimal"/>
      <w:start w:val="1"/>
    </w:lvl>
    <w:lvl w:ilvl="1">
      <w:lvlJc w:val="left"/>
      <w:lvlText w:val="(%2)"/>
      <w:numFmt w:val="lowerLetter"/>
      <w:start w:val="1"/>
    </w:lvl>
  </w:abstractNum>
  <w:abstractNum w:abstractNumId="23">
    <w:nsid w:val="1E7FF521"/>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24">
    <w:nsid w:val="7C3DBD3D"/>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25">
    <w:nsid w:val="737B8DDC"/>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6">
    <w:nsid w:val="6CEAF087"/>
    <w:multiLevelType w:val="hybridMultilevel"/>
    <w:lvl w:ilvl="0">
      <w:lvlJc w:val="left"/>
      <w:lvlText w:val="(%1)"/>
      <w:numFmt w:val="decimal"/>
      <w:start w:val="1"/>
    </w:lvl>
    <w:lvl w:ilvl="1">
      <w:lvlJc w:val="left"/>
      <w:lvlText w:val="(%2)"/>
      <w:numFmt w:val="lowerLetter"/>
      <w:start w:val="1"/>
    </w:lvl>
  </w:abstractNum>
  <w:abstractNum w:abstractNumId="27">
    <w:nsid w:val="22221A70"/>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28">
    <w:nsid w:val="4516DDE9"/>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29">
    <w:nsid w:val="3006C83E"/>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lowerLetter"/>
      <w:start w:val="1"/>
    </w:lvl>
    <w:lvl w:ilvl="1">
      <w:lvlJc w:val="left"/>
      <w:lvlText w:val="%2."/>
      <w:numFmt w:val="lowerRoman"/>
      <w:start w:val="1"/>
    </w:lvl>
  </w:abstractNum>
  <w:abstractNum w:abstractNumId="32">
    <w:nsid w:val="5577F8E1"/>
    <w:multiLevelType w:val="hybridMultilevel"/>
    <w:lvl w:ilvl="0">
      <w:lvlJc w:val="left"/>
      <w:lvlText w:val="(%1)"/>
      <w:numFmt w:val="lowerLetter"/>
      <w:start w:val="4"/>
    </w:lvl>
  </w:abstractNum>
  <w:abstractNum w:abstractNumId="33">
    <w:nsid w:val="440BADFC"/>
    <w:multiLevelType w:val="hybridMultilevel"/>
    <w:lvl w:ilvl="0">
      <w:lvlJc w:val="left"/>
      <w:lvlText w:val="(%1)"/>
      <w:numFmt w:val="lowerLetter"/>
      <w:start w:val="1"/>
    </w:lvl>
  </w:abstractNum>
  <w:abstractNum w:abstractNumId="34">
    <w:nsid w:val="5072367"/>
    <w:multiLevelType w:val="hybridMultilevel"/>
    <w:lvl w:ilvl="0">
      <w:lvlJc w:val="left"/>
      <w:lvlText w:val="(%1)"/>
      <w:numFmt w:val="lowerLetter"/>
      <w:start w:val="1"/>
    </w:lvl>
  </w:abstractNum>
  <w:abstractNum w:abstractNumId="35">
    <w:nsid w:val="3804823E"/>
    <w:multiLevelType w:val="hybridMultilevel"/>
    <w:lvl w:ilvl="0">
      <w:lvlJc w:val="left"/>
      <w:lvlText w:val="(%1)"/>
      <w:numFmt w:val="lowerLetter"/>
      <w:start w:val="2"/>
    </w:lvl>
    <w:lvl w:ilvl="1">
      <w:lvlJc w:val="left"/>
      <w:lvlText w:val="%2."/>
      <w:numFmt w:val="lowerRoman"/>
      <w:start w:val="1"/>
    </w:lvl>
  </w:abstractNum>
  <w:abstractNum w:abstractNumId="36">
    <w:nsid w:val="77465F01"/>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2023-02-07T11:56:10Z</dcterms:created>
  <dcterms:modified xsi:type="dcterms:W3CDTF">2023-02-07T11:56:10Z</dcterms:modified>
</cp:coreProperties>
</file>