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22, 2024</w:t>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202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001-39049</w:t>
            </w: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191"/>
        </w:trPr>
        <w:tc>
          <w:tcPr>
            <w:tcW w:w="202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20" w:type="dxa"/>
            <w:vAlign w:val="bottom"/>
          </w:tcPr>
          <w:p>
            <w:pPr>
              <w:spacing w:after="0"/>
              <w:rPr>
                <w:sz w:val="24"/>
                <w:szCs w:val="24"/>
                <w:color w:val="auto"/>
              </w:rPr>
            </w:pPr>
          </w:p>
        </w:tc>
        <w:tc>
          <w:tcPr>
            <w:tcW w:w="49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1261 Liberty Way</w:t>
            </w:r>
          </w:p>
        </w:tc>
        <w:tc>
          <w:tcPr>
            <w:tcW w:w="1640" w:type="dxa"/>
            <w:vAlign w:val="bottom"/>
          </w:tcPr>
          <w:p>
            <w:pPr>
              <w:spacing w:after="0"/>
              <w:rPr>
                <w:sz w:val="24"/>
                <w:szCs w:val="24"/>
                <w:color w:val="auto"/>
              </w:rPr>
            </w:pPr>
          </w:p>
        </w:tc>
      </w:tr>
      <w:tr>
        <w:trPr>
          <w:trHeight w:val="214"/>
        </w:trPr>
        <w:tc>
          <w:tcPr>
            <w:tcW w:w="2020" w:type="dxa"/>
            <w:vAlign w:val="bottom"/>
          </w:tcPr>
          <w:p>
            <w:pPr>
              <w:spacing w:after="0"/>
              <w:rPr>
                <w:sz w:val="18"/>
                <w:szCs w:val="18"/>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Vista, CA 92081</w:t>
            </w:r>
          </w:p>
        </w:tc>
        <w:tc>
          <w:tcPr>
            <w:tcW w:w="1640" w:type="dxa"/>
            <w:vAlign w:val="bottom"/>
          </w:tcPr>
          <w:p>
            <w:pPr>
              <w:spacing w:after="0"/>
              <w:rPr>
                <w:sz w:val="18"/>
                <w:szCs w:val="18"/>
                <w:color w:val="auto"/>
              </w:rPr>
            </w:pPr>
          </w:p>
        </w:tc>
      </w:tr>
      <w:tr>
        <w:trPr>
          <w:trHeight w:val="190"/>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40" w:type="dxa"/>
            <w:vAlign w:val="bottom"/>
          </w:tcPr>
          <w:p>
            <w:pPr>
              <w:spacing w:after="0"/>
              <w:rPr>
                <w:sz w:val="16"/>
                <w:szCs w:val="16"/>
                <w:color w:val="auto"/>
              </w:rPr>
            </w:pPr>
          </w:p>
        </w:tc>
      </w:tr>
      <w:tr>
        <w:trPr>
          <w:trHeight w:val="377"/>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(760) 560-1501</w:t>
            </w:r>
          </w:p>
        </w:tc>
        <w:tc>
          <w:tcPr>
            <w:tcW w:w="1640" w:type="dxa"/>
            <w:vAlign w:val="bottom"/>
          </w:tcPr>
          <w:p>
            <w:pPr>
              <w:spacing w:after="0"/>
              <w:rPr>
                <w:sz w:val="24"/>
                <w:szCs w:val="24"/>
                <w:color w:val="auto"/>
              </w:rPr>
            </w:pPr>
          </w:p>
        </w:tc>
      </w:tr>
      <w:tr>
        <w:trPr>
          <w:trHeight w:val="190"/>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40" w:type="dxa"/>
            <w:vAlign w:val="bottom"/>
          </w:tcPr>
          <w:p>
            <w:pPr>
              <w:spacing w:after="0"/>
              <w:rPr>
                <w:sz w:val="16"/>
                <w:szCs w:val="16"/>
                <w:color w:val="auto"/>
              </w:rPr>
            </w:pPr>
          </w:p>
        </w:tc>
      </w:tr>
      <w:tr>
        <w:trPr>
          <w:trHeight w:val="390"/>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tc>
        <w:tc>
          <w:tcPr>
            <w:tcW w:w="1640" w:type="dxa"/>
            <w:vAlign w:val="bottom"/>
          </w:tcPr>
          <w:p>
            <w:pPr>
              <w:spacing w:after="0"/>
              <w:rPr>
                <w:sz w:val="24"/>
                <w:szCs w:val="24"/>
                <w:color w:val="auto"/>
              </w:rPr>
            </w:pPr>
          </w:p>
        </w:tc>
      </w:tr>
      <w:tr>
        <w:trPr>
          <w:trHeight w:val="190"/>
        </w:trPr>
        <w:tc>
          <w:tcPr>
            <w:tcW w:w="2020" w:type="dxa"/>
            <w:vAlign w:val="bottom"/>
          </w:tcPr>
          <w:p>
            <w:pPr>
              <w:spacing w:after="0"/>
              <w:rPr>
                <w:sz w:val="16"/>
                <w:szCs w:val="16"/>
                <w:color w:val="auto"/>
              </w:rPr>
            </w:pPr>
          </w:p>
        </w:tc>
        <w:tc>
          <w:tcPr>
            <w:tcW w:w="49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40" w:type="dxa"/>
            <w:vAlign w:val="bottom"/>
          </w:tcPr>
          <w:p>
            <w:pPr>
              <w:spacing w:after="0"/>
              <w:rPr>
                <w:sz w:val="16"/>
                <w:szCs w:val="16"/>
                <w:color w:val="auto"/>
              </w:rPr>
            </w:pPr>
          </w:p>
        </w:tc>
      </w:tr>
    </w:tbl>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31" w:lineRule="exact"/>
        <w:rPr>
          <w:sz w:val="24"/>
          <w:szCs w:val="24"/>
          <w:color w:val="auto"/>
        </w:rPr>
      </w:pPr>
    </w:p>
    <w:tbl>
      <w:tblPr>
        <w:tblLayout w:type="fixed"/>
        <w:tblInd w:w="38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2"/>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14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4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55" w:lineRule="exact"/>
        <w:rPr>
          <w:sz w:val="24"/>
          <w:szCs w:val="24"/>
          <w:color w:val="auto"/>
        </w:rPr>
      </w:pPr>
    </w:p>
    <w:p>
      <w:pPr>
        <w:ind w:right="52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9" w:right="399" w:bottom="1440" w:gutter="0" w:footer="0" w:header="0"/>
        </w:sectPr>
      </w:pPr>
    </w:p>
    <w:bookmarkStart w:id="1" w:name="page2"/>
    <w:bookmarkEnd w:id="1"/>
    <w:p>
      <w:pPr>
        <w:ind w:left="960" w:right="120" w:hanging="971"/>
        <w:spacing w:after="0" w:line="271"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Between April 22, 2024 and April 23, 2024, Brian Birk, Wendy Johnson and Ebetual Pallares, Ph.D. notified the Board of Directors (the “Board”) of Exagen Inc. (the “Company”) of each of their decisions to resign as members of the Board, including all committees thereof, effective as of June 10, 2024 (the expected date of the Company’s 2024 Annual Stockholder Meeting). Their decisions to resign were not due to any disagreement with the Company on any matter relating to the Company’s operations, policies or practices.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2024, upon the recommendation of the Nominating and Corporate Governance Committee of the Board (“Nominating Committee”), and pursuant to the bylaws of the Company, the Board appointed, effective as of June 10, 2024 (the “Effective Time”), Scott D. Kahn, Ph.D. to serve as a Class I director, with an initial term expiring at the Company’s 2026 annual meeting of stockholders. In connection with and effective as of his appointment to the Board, Dr. Kahn was also appointed to the Compensation Committee and the Nominating Committee. Also in connection with his appointment and the resignations described above, the size of the Board will decrease from nine (9) members to seven (7) members, effective as of the Effective Time.</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Kahn will join the Board on June 10, 2024. From January 2018 until February 2024, he served as the Chief Information and Privacy Officer at LunaPBC, Inc., a privately-held, venture-backed public benefit corporation and corporate founder of LunaDNA (a community-owned genomic and health data platform). At LunaPBC, Dr. Kahn was responsible for all informatics and data science strategy. Through his work with the Helmsley Charitable Trust (a global philanthropy organization) from April 2017 to December 2021, Dr. Kahn worked on data privacy and data sharing policies for biomedical organizations globally. Since January 2019, he has served on the Board of Directors for the Rady Children’s Institute of Genomic Medicine, a nonprofit research organization seeking to improve diagnostic care for neonatal and pediatric rare disease patients. Since December 2021, Dr. Kahn has also served as the Chairman of the Board for Blue Circle Health, nonprofit organization offering virtual care programs for adults with type 1 diabetes. Previously, Dr. Kahn served 11 years as the first Chief Information Officer for Illumina, Inc. (NASDAQ: ILMN), and he was also an executive leader in Illumina's Enterprise Informatics Unit. He organized the Genome Informatics Alliance for five years to drive interdisciplinary thought leadership focused on the future of Next Generation Sequencing (NGS) and its role in precision medicine, healthcare, and other applied markets. Dr. Kahn has a Ph.D. in Theoretical Organic Chemistry from the University of California, Irvine and was a Fellow Commoner of Churchill College at the University of Cambridge in England. The Board believes Dr. Kahn is qualified to serve as a member of the Board because of his extensive experience in health data sharing and data privacy and his service as a director for numerous companies.</w:t>
      </w:r>
    </w:p>
    <w:p>
      <w:pPr>
        <w:spacing w:after="0" w:line="133"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Company’s non-employee director compensation program, on the effective date of Dr. Kahn’s appointment to the Board, he will be granted an option to purchase (i) 15,000 shares of the Company’s common stock with an exercise price equal to the fair market value of the common stock on the date of grant, which will vest over three years in equal installments on each monthly anniversary of the grant date, subject to his continuing service as of each vesting date, and (ii) 9,000 shares of the Company’s common stock with an exercise price equal to the fair market value of the common stock on the date of grant, which will becomes fully vested and exercisable on the first to occur of (a) the first anniversary of the grant date or (b) the next occurring annual meeting of the Company's stockholders. Dr. Kahn will also receive cash compensation for his service on the Board and the Nominating Committee in accordance with the non-employee director compensation program, which is filed as </w:t>
      </w:r>
      <w:hyperlink r:id="rId9">
        <w:r>
          <w:rPr>
            <w:rFonts w:ascii="Times New Roman" w:cs="Times New Roman" w:eastAsia="Times New Roman" w:hAnsi="Times New Roman"/>
            <w:sz w:val="18"/>
            <w:szCs w:val="18"/>
            <w:u w:val="single" w:color="auto"/>
            <w:color w:val="0000FF"/>
          </w:rPr>
          <w:t>Exhibit 10.52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Company’s Annual Report on Form 10-K, filed with the SEC on March 20, 2023 and is incorporated herein by reference. Dr. Kahn will enter into the Company’s standard indemnification agreement for directors, the form of which was filed as </w:t>
      </w:r>
      <w:hyperlink r:id="rId9">
        <w:r>
          <w:rPr>
            <w:rFonts w:ascii="Times New Roman" w:cs="Times New Roman" w:eastAsia="Times New Roman" w:hAnsi="Times New Roman"/>
            <w:sz w:val="18"/>
            <w:szCs w:val="18"/>
            <w:u w:val="single" w:color="auto"/>
            <w:color w:val="0000FF"/>
          </w:rPr>
          <w:t>Exhibit 10.48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filed with the SEC on March 20, 2023 and is incorporated herein by reference.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arrangement or understanding between Dr. Kahn and any other person pursuant to which Dr. Kahn was appointed as a director. Dr. Kahn is not a party to any transaction that would require disclosure under Item 404(a) of Regulation S-K promulgated under the Securities Act of 1933, as amended, and the Securities Exchange Act of 1934, as amended. The Board has determined that Dr. Kahn is an independent director in accordance with the listing requirements of the Nasdaq Global Market and the standards promulgated by the Securities and Exchange Commission, including enhanced independence criteria applicable to members of the Nominating Committee.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10, 2024, following the appointment and resignations described above, the Committees of the Board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Director</w:t>
            </w:r>
          </w:p>
        </w:tc>
        <w:tc>
          <w:tcPr>
            <w:tcW w:w="2820" w:type="dxa"/>
            <w:vAlign w:val="bottom"/>
            <w:vMerge w:val="restart"/>
          </w:tcPr>
          <w:p>
            <w:pPr>
              <w:jc w:val="center"/>
              <w:ind w:left="948"/>
              <w:spacing w:after="0"/>
              <w:rPr>
                <w:sz w:val="20"/>
                <w:szCs w:val="20"/>
                <w:color w:val="auto"/>
              </w:rPr>
            </w:pPr>
            <w:r>
              <w:rPr>
                <w:rFonts w:ascii="Arial" w:cs="Arial" w:eastAsia="Arial" w:hAnsi="Arial"/>
                <w:sz w:val="14"/>
                <w:szCs w:val="14"/>
                <w:b w:val="1"/>
                <w:bCs w:val="1"/>
                <w:color w:val="auto"/>
              </w:rPr>
              <w:t>Audit</w:t>
            </w:r>
          </w:p>
        </w:tc>
        <w:tc>
          <w:tcPr>
            <w:tcW w:w="20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Compensation</w:t>
            </w:r>
          </w:p>
        </w:tc>
        <w:tc>
          <w:tcPr>
            <w:tcW w:w="2340" w:type="dxa"/>
            <w:vAlign w:val="bottom"/>
          </w:tcPr>
          <w:p>
            <w:pPr>
              <w:jc w:val="center"/>
              <w:ind w:left="128"/>
              <w:spacing w:after="0"/>
              <w:rPr>
                <w:sz w:val="20"/>
                <w:szCs w:val="20"/>
                <w:color w:val="auto"/>
              </w:rPr>
            </w:pPr>
            <w:r>
              <w:rPr>
                <w:rFonts w:ascii="Arial" w:cs="Arial" w:eastAsia="Arial" w:hAnsi="Arial"/>
                <w:sz w:val="14"/>
                <w:szCs w:val="14"/>
                <w:b w:val="1"/>
                <w:bCs w:val="1"/>
                <w:color w:val="auto"/>
              </w:rPr>
              <w:t>Nominating and Corporate</w:t>
            </w:r>
          </w:p>
        </w:tc>
        <w:tc>
          <w:tcPr>
            <w:tcW w:w="0" w:type="dxa"/>
            <w:vAlign w:val="bottom"/>
          </w:tcPr>
          <w:p>
            <w:pPr>
              <w:spacing w:after="0"/>
              <w:rPr>
                <w:sz w:val="1"/>
                <w:szCs w:val="1"/>
                <w:color w:val="auto"/>
              </w:rPr>
            </w:pPr>
          </w:p>
        </w:tc>
      </w:tr>
      <w:tr>
        <w:trPr>
          <w:trHeight w:val="185"/>
        </w:trPr>
        <w:tc>
          <w:tcPr>
            <w:tcW w:w="3460" w:type="dxa"/>
            <w:vAlign w:val="bottom"/>
            <w:tcBorders>
              <w:bottom w:val="single" w:sz="8" w:color="auto"/>
            </w:tcBorders>
            <w:vMerge w:val="continue"/>
          </w:tcPr>
          <w:p>
            <w:pPr>
              <w:spacing w:after="0"/>
              <w:rPr>
                <w:sz w:val="16"/>
                <w:szCs w:val="16"/>
                <w:color w:val="auto"/>
              </w:rPr>
            </w:pPr>
          </w:p>
        </w:tc>
        <w:tc>
          <w:tcPr>
            <w:tcW w:w="282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Ana Hooker</w:t>
            </w:r>
          </w:p>
        </w:tc>
        <w:tc>
          <w:tcPr>
            <w:tcW w:w="2820" w:type="dxa"/>
            <w:vAlign w:val="bottom"/>
            <w:shd w:val="clear" w:color="auto" w:fill="CCEEFF"/>
          </w:tcPr>
          <w:p>
            <w:pPr>
              <w:jc w:val="center"/>
              <w:ind w:left="928"/>
              <w:spacing w:after="0"/>
              <w:rPr>
                <w:sz w:val="20"/>
                <w:szCs w:val="20"/>
                <w:color w:val="auto"/>
              </w:rPr>
            </w:pPr>
            <w:r>
              <w:rPr>
                <w:rFonts w:ascii="Arial" w:cs="Arial" w:eastAsia="Arial" w:hAnsi="Arial"/>
                <w:sz w:val="14"/>
                <w:szCs w:val="14"/>
                <w:color w:val="auto"/>
              </w:rPr>
              <w:t>X</w:t>
            </w:r>
          </w:p>
        </w:tc>
        <w:tc>
          <w:tcPr>
            <w:tcW w:w="2060" w:type="dxa"/>
            <w:vAlign w:val="bottom"/>
            <w:shd w:val="clear" w:color="auto" w:fill="CCEEFF"/>
          </w:tcPr>
          <w:p>
            <w:pPr>
              <w:spacing w:after="0"/>
              <w:rPr>
                <w:sz w:val="17"/>
                <w:szCs w:val="17"/>
                <w:color w:val="auto"/>
              </w:rPr>
            </w:pPr>
          </w:p>
        </w:tc>
        <w:tc>
          <w:tcPr>
            <w:tcW w:w="23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8"/>
              </w:rPr>
              <w:t>C</w:t>
            </w:r>
          </w:p>
        </w:tc>
        <w:tc>
          <w:tcPr>
            <w:tcW w:w="0" w:type="dxa"/>
            <w:vAlign w:val="bottom"/>
          </w:tcPr>
          <w:p>
            <w:pPr>
              <w:spacing w:after="0"/>
              <w:rPr>
                <w:sz w:val="1"/>
                <w:szCs w:val="1"/>
                <w:color w:val="auto"/>
              </w:rPr>
            </w:pPr>
          </w:p>
        </w:tc>
      </w:tr>
      <w:tr>
        <w:trPr>
          <w:trHeight w:val="202"/>
        </w:trPr>
        <w:tc>
          <w:tcPr>
            <w:tcW w:w="34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Paul Kim </w:t>
            </w:r>
            <w:r>
              <w:rPr>
                <w:rFonts w:ascii="Arial" w:cs="Arial" w:eastAsia="Arial" w:hAnsi="Arial"/>
                <w:sz w:val="18"/>
                <w:szCs w:val="18"/>
                <w:color w:val="auto"/>
                <w:vertAlign w:val="superscript"/>
              </w:rPr>
              <w:t>†</w:t>
            </w:r>
          </w:p>
        </w:tc>
        <w:tc>
          <w:tcPr>
            <w:tcW w:w="2820" w:type="dxa"/>
            <w:vAlign w:val="bottom"/>
          </w:tcPr>
          <w:p>
            <w:pPr>
              <w:jc w:val="center"/>
              <w:ind w:left="928"/>
              <w:spacing w:after="0"/>
              <w:rPr>
                <w:sz w:val="20"/>
                <w:szCs w:val="20"/>
                <w:color w:val="auto"/>
              </w:rPr>
            </w:pPr>
            <w:r>
              <w:rPr>
                <w:rFonts w:ascii="Arial" w:cs="Arial" w:eastAsia="Arial" w:hAnsi="Arial"/>
                <w:sz w:val="14"/>
                <w:szCs w:val="14"/>
                <w:color w:val="auto"/>
              </w:rPr>
              <w:t>X</w:t>
            </w:r>
          </w:p>
        </w:tc>
        <w:tc>
          <w:tcPr>
            <w:tcW w:w="2060" w:type="dxa"/>
            <w:vAlign w:val="bottom"/>
          </w:tcPr>
          <w:p>
            <w:pPr>
              <w:jc w:val="center"/>
              <w:ind w:left="288"/>
              <w:spacing w:after="0"/>
              <w:rPr>
                <w:sz w:val="20"/>
                <w:szCs w:val="20"/>
                <w:color w:val="auto"/>
              </w:rPr>
            </w:pPr>
            <w:r>
              <w:rPr>
                <w:rFonts w:ascii="Arial" w:cs="Arial" w:eastAsia="Arial" w:hAnsi="Arial"/>
                <w:sz w:val="14"/>
                <w:szCs w:val="14"/>
                <w:color w:val="auto"/>
              </w:rPr>
              <w:t>X</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D. Kahn, Ph.D.</w:t>
            </w:r>
          </w:p>
        </w:tc>
        <w:tc>
          <w:tcPr>
            <w:tcW w:w="2820" w:type="dxa"/>
            <w:vAlign w:val="bottom"/>
            <w:shd w:val="clear" w:color="auto" w:fill="CCEEFF"/>
          </w:tcPr>
          <w:p>
            <w:pPr>
              <w:spacing w:after="0"/>
              <w:rPr>
                <w:sz w:val="17"/>
                <w:szCs w:val="17"/>
                <w:color w:val="auto"/>
              </w:rPr>
            </w:pPr>
          </w:p>
        </w:tc>
        <w:tc>
          <w:tcPr>
            <w:tcW w:w="206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rPr>
              <w:t>X</w:t>
            </w:r>
          </w:p>
        </w:tc>
        <w:tc>
          <w:tcPr>
            <w:tcW w:w="23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rPr>
                <w:sz w:val="20"/>
                <w:szCs w:val="20"/>
                <w:color w:val="auto"/>
              </w:rPr>
            </w:pPr>
            <w:r>
              <w:rPr>
                <w:rFonts w:ascii="Arial" w:cs="Arial" w:eastAsia="Arial" w:hAnsi="Arial"/>
                <w:sz w:val="14"/>
                <w:szCs w:val="14"/>
                <w:color w:val="auto"/>
              </w:rPr>
              <w:t>Tina S. Nova, Ph.D.</w:t>
            </w:r>
          </w:p>
        </w:tc>
        <w:tc>
          <w:tcPr>
            <w:tcW w:w="28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Bruce C. Robertson, Ph.D.</w:t>
            </w:r>
          </w:p>
        </w:tc>
        <w:tc>
          <w:tcPr>
            <w:tcW w:w="2820" w:type="dxa"/>
            <w:vAlign w:val="bottom"/>
            <w:shd w:val="clear" w:color="auto" w:fill="CCEEFF"/>
          </w:tcPr>
          <w:p>
            <w:pPr>
              <w:spacing w:after="0"/>
              <w:rPr>
                <w:sz w:val="17"/>
                <w:szCs w:val="17"/>
                <w:color w:val="auto"/>
              </w:rPr>
            </w:pPr>
          </w:p>
        </w:tc>
        <w:tc>
          <w:tcPr>
            <w:tcW w:w="206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w w:val="98"/>
              </w:rPr>
              <w:t>C</w:t>
            </w:r>
          </w:p>
        </w:tc>
        <w:tc>
          <w:tcPr>
            <w:tcW w:w="23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52"/>
        </w:trPr>
        <w:tc>
          <w:tcPr>
            <w:tcW w:w="3460" w:type="dxa"/>
            <w:vAlign w:val="bottom"/>
          </w:tcPr>
          <w:p>
            <w:pPr>
              <w:ind w:left="20"/>
              <w:spacing w:after="0"/>
              <w:rPr>
                <w:sz w:val="20"/>
                <w:szCs w:val="20"/>
                <w:color w:val="auto"/>
              </w:rPr>
            </w:pPr>
            <w:r>
              <w:rPr>
                <w:rFonts w:ascii="Arial" w:cs="Arial" w:eastAsia="Arial" w:hAnsi="Arial"/>
                <w:sz w:val="14"/>
                <w:szCs w:val="14"/>
                <w:color w:val="auto"/>
              </w:rPr>
              <w:t xml:space="preserve">Frank Stokes </w:t>
            </w:r>
            <w:r>
              <w:rPr>
                <w:rFonts w:ascii="Arial" w:cs="Arial" w:eastAsia="Arial" w:hAnsi="Arial"/>
                <w:sz w:val="18"/>
                <w:szCs w:val="18"/>
                <w:color w:val="auto"/>
                <w:vertAlign w:val="superscript"/>
              </w:rPr>
              <w:t>†</w:t>
            </w:r>
          </w:p>
        </w:tc>
        <w:tc>
          <w:tcPr>
            <w:tcW w:w="2820" w:type="dxa"/>
            <w:vAlign w:val="bottom"/>
          </w:tcPr>
          <w:p>
            <w:pPr>
              <w:jc w:val="center"/>
              <w:ind w:left="928"/>
              <w:spacing w:after="0"/>
              <w:rPr>
                <w:sz w:val="20"/>
                <w:szCs w:val="20"/>
                <w:color w:val="auto"/>
              </w:rPr>
            </w:pPr>
            <w:r>
              <w:rPr>
                <w:rFonts w:ascii="Arial" w:cs="Arial" w:eastAsia="Arial" w:hAnsi="Arial"/>
                <w:sz w:val="14"/>
                <w:szCs w:val="14"/>
                <w:color w:val="auto"/>
                <w:w w:val="98"/>
              </w:rPr>
              <w:t>C</w:t>
            </w:r>
          </w:p>
        </w:tc>
        <w:tc>
          <w:tcPr>
            <w:tcW w:w="20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Committee Chairman</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Financial Expert</w:t>
      </w:r>
    </w:p>
    <w:p>
      <w:pPr>
        <w:spacing w:after="0" w:line="28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94"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On April 26, 2024, the Company issued a press release announcing the resignations of Mr. Birk, Ms. Johnson and Dr. Pallares as directors and the appointment of Dr. Kahn as a director, a copy of which is attached hereto as Exhibit 99.1 and is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16"/>
                <w:szCs w:val="16"/>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43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April 26, 2024</w:t>
            </w:r>
          </w:p>
        </w:tc>
      </w:tr>
      <w:tr>
        <w:trPr>
          <w:trHeight w:val="20"/>
        </w:trPr>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52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98"/>
        </w:trPr>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283" w:lineRule="exact"/>
        <w:rPr>
          <w:sz w:val="20"/>
          <w:szCs w:val="20"/>
          <w:color w:val="auto"/>
        </w:rPr>
      </w:pPr>
    </w:p>
    <w:p>
      <w:pPr>
        <w:ind w:left="20"/>
        <w:spacing w:after="0"/>
        <w:tabs>
          <w:tab w:leader="none" w:pos="4840" w:val="left"/>
          <w:tab w:leader="none" w:pos="5440" w:val="left"/>
        </w:tabs>
        <w:rPr>
          <w:sz w:val="20"/>
          <w:szCs w:val="20"/>
          <w:color w:val="auto"/>
        </w:rPr>
      </w:pPr>
      <w:r>
        <w:rPr>
          <w:rFonts w:ascii="Times New Roman" w:cs="Times New Roman" w:eastAsia="Times New Roman" w:hAnsi="Times New Roman"/>
          <w:sz w:val="18"/>
          <w:szCs w:val="18"/>
          <w:color w:val="auto"/>
        </w:rPr>
        <w:t>Date: April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34290</wp:posOffset>
            </wp:positionV>
            <wp:extent cx="26485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Kamal Adawi</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920"/>
          </w:cols>
          <w:pgMar w:left="320" w:top="900" w:right="659" w:bottom="1440" w:gutter="0" w:footer="0" w:header="0"/>
        </w:sectPr>
      </w:pPr>
    </w:p>
    <w:bookmarkStart w:id="4" w:name="page5"/>
    <w:bookmarkEnd w:id="4"/>
    <w:p>
      <w:pPr>
        <w:spacing w:after="0" w:line="19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Exagen Inc. Announces Changes to the Board of Directors</w:t>
      </w:r>
    </w:p>
    <w:p>
      <w:pPr>
        <w:spacing w:after="0" w:line="222" w:lineRule="exact"/>
        <w:rPr>
          <w:sz w:val="20"/>
          <w:szCs w:val="20"/>
          <w:color w:val="auto"/>
        </w:rPr>
      </w:pPr>
    </w:p>
    <w:p>
      <w:pPr>
        <w:ind w:right="940"/>
        <w:spacing w:after="0" w:line="285" w:lineRule="auto"/>
        <w:rPr>
          <w:sz w:val="20"/>
          <w:szCs w:val="20"/>
          <w:color w:val="auto"/>
        </w:rPr>
      </w:pPr>
      <w:r>
        <w:rPr>
          <w:rFonts w:ascii="Arial" w:cs="Arial" w:eastAsia="Arial" w:hAnsi="Arial"/>
          <w:sz w:val="22"/>
          <w:szCs w:val="22"/>
          <w:color w:val="auto"/>
        </w:rPr>
        <w:t>San Diego, Calif., April 25, 2024 (GLOBE NEWSWIRE) – Exagen Inc. (Nasdaq: XGN), a leading provider of autoimmune testing solutions, today announced changes to the Board of Directors.</w:t>
      </w:r>
    </w:p>
    <w:p>
      <w:pPr>
        <w:spacing w:after="0" w:line="142" w:lineRule="exact"/>
        <w:rPr>
          <w:sz w:val="20"/>
          <w:szCs w:val="20"/>
          <w:color w:val="auto"/>
        </w:rPr>
      </w:pPr>
    </w:p>
    <w:p>
      <w:pPr>
        <w:ind w:right="100"/>
        <w:spacing w:after="0" w:line="249" w:lineRule="auto"/>
        <w:rPr>
          <w:sz w:val="20"/>
          <w:szCs w:val="20"/>
          <w:color w:val="auto"/>
        </w:rPr>
      </w:pPr>
      <w:r>
        <w:rPr>
          <w:rFonts w:ascii="Arial" w:cs="Arial" w:eastAsia="Arial" w:hAnsi="Arial"/>
          <w:sz w:val="22"/>
          <w:szCs w:val="22"/>
          <w:color w:val="auto"/>
        </w:rPr>
        <w:t>Exagen is pleased to announce Scott Kahn, Ph.D. is joining the Board as a Class I Director. Dr. Kahn has a distinguished career in life sciences spending over 30 years in global leadership positions. Prior to starting his career in the life science industry, he was an assistant professor of organic chemistry at the University of Illinois. He spent over 10 years at the scientific software company, Accelrys, where he held several positions with increasing responsibility including SVP, General Manager and Chief Science Officer. He then joined Illumina as its first Chief Information Officer and spent 12 years with the sequencing leader. He was most recently with LunaPBC as the Chief Information and Privacy Officer. Dr. Kahn currently holds Board positions at Blue Circle Health, Rady Children’s Institute for Genomic Medicine and Rady Children's Hospital.</w:t>
      </w:r>
    </w:p>
    <w:p>
      <w:pPr>
        <w:spacing w:after="0" w:line="182" w:lineRule="exact"/>
        <w:rPr>
          <w:sz w:val="20"/>
          <w:szCs w:val="20"/>
          <w:color w:val="auto"/>
        </w:rPr>
      </w:pPr>
    </w:p>
    <w:p>
      <w:pPr>
        <w:ind w:right="660"/>
        <w:spacing w:after="0" w:line="264" w:lineRule="auto"/>
        <w:rPr>
          <w:sz w:val="20"/>
          <w:szCs w:val="20"/>
          <w:color w:val="auto"/>
        </w:rPr>
      </w:pPr>
      <w:r>
        <w:rPr>
          <w:rFonts w:ascii="Arial" w:cs="Arial" w:eastAsia="Arial" w:hAnsi="Arial"/>
          <w:sz w:val="22"/>
          <w:szCs w:val="22"/>
          <w:color w:val="auto"/>
        </w:rPr>
        <w:t>Dr. Kahn received a B.S. in Chemistry from Rider College, a Ph.D. in Theoretical Organic Chemistry from the University of California, Irvine and was a Fellow Commoner at Churchill College and Postdoctoral Fellow at the University of Cambridge, England.</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22"/>
          <w:szCs w:val="22"/>
          <w:color w:val="auto"/>
        </w:rPr>
        <w:t>"I am thrilled to join Exagen’s Board of Directors. The management team and the board have made extensive changes over the past year and a half to position the company for a prosperous future. As the company continues its transition, I am eager to contribute to this next phase of growth and innovation," said Dr. Kahn.</w:t>
      </w:r>
    </w:p>
    <w:p>
      <w:pPr>
        <w:spacing w:after="0" w:line="173" w:lineRule="exact"/>
        <w:rPr>
          <w:sz w:val="20"/>
          <w:szCs w:val="20"/>
          <w:color w:val="auto"/>
        </w:rPr>
      </w:pPr>
    </w:p>
    <w:p>
      <w:pPr>
        <w:ind w:right="120"/>
        <w:spacing w:after="0" w:line="273" w:lineRule="auto"/>
        <w:rPr>
          <w:sz w:val="20"/>
          <w:szCs w:val="20"/>
          <w:color w:val="auto"/>
        </w:rPr>
      </w:pPr>
      <w:r>
        <w:rPr>
          <w:rFonts w:ascii="Arial" w:cs="Arial" w:eastAsia="Arial" w:hAnsi="Arial"/>
          <w:sz w:val="21"/>
          <w:szCs w:val="21"/>
          <w:color w:val="auto"/>
        </w:rPr>
        <w:t>Additionally, in an ever-continuing effort to streamline operations at the company, Exagen announced that it is reducing the size of the Board of Directors from nine to seven, a change that has been carefully planned and complements our long-term strategy. Brian Birk, Ebetuel Pallares, Ph.D. and Wendy Johnson have all agreed to step down from the Board of Directors, effective on the date of the annual shareholder meeting on June 10th, 2024.</w:t>
      </w:r>
    </w:p>
    <w:p>
      <w:pPr>
        <w:spacing w:after="0" w:line="157" w:lineRule="exact"/>
        <w:rPr>
          <w:sz w:val="20"/>
          <w:szCs w:val="20"/>
          <w:color w:val="auto"/>
        </w:rPr>
      </w:pPr>
    </w:p>
    <w:p>
      <w:pPr>
        <w:ind w:right="100"/>
        <w:spacing w:after="0" w:line="249" w:lineRule="auto"/>
        <w:rPr>
          <w:sz w:val="20"/>
          <w:szCs w:val="20"/>
          <w:color w:val="auto"/>
        </w:rPr>
      </w:pPr>
      <w:r>
        <w:rPr>
          <w:rFonts w:ascii="Arial" w:cs="Arial" w:eastAsia="Arial" w:hAnsi="Arial"/>
          <w:sz w:val="22"/>
          <w:szCs w:val="22"/>
          <w:color w:val="auto"/>
        </w:rPr>
        <w:t>“First, I want to thank Brian Birk, Beto Pallares, Ph.D. and Wendy Johnson for their years of commitment and service to the Exagen Board of Directors. They have been instrumental in providing guidance and strategy to the company throughout its growth. Since I joined the company in late 2022, they have been integral in making the necessary changes to focus on achieving profitability and have been extremely supportive throughout my transition,” said John Aballi, President and Chief Executive Officer of Exagen. “As the company evolves, so do the requirements of our Board. To ensure we are well-equipped to grow with these changes, we have appointed Dr. Kahn to our Board of Directors. This is a very exciting time for Exagen as the company enhances its product capabilities, and Dr. Kahn’s expertise will play an important role in this process.”</w:t>
      </w:r>
    </w:p>
    <w:p>
      <w:pPr>
        <w:sectPr>
          <w:pgSz w:w="11900" w:h="16838" w:orient="portrait"/>
          <w:cols w:equalWidth="0" w:num="1">
            <w:col w:w="11240"/>
          </w:cols>
          <w:pgMar w:left="320" w:top="1440" w:right="339" w:bottom="1440" w:gutter="0" w:footer="0" w:header="0"/>
        </w:sectPr>
      </w:pPr>
    </w:p>
    <w:bookmarkStart w:id="5" w:name="page6"/>
    <w:bookmarkEnd w:id="5"/>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Exagen:</w:t>
      </w:r>
    </w:p>
    <w:p>
      <w:pPr>
        <w:spacing w:after="0" w:line="222" w:lineRule="exact"/>
        <w:rPr>
          <w:sz w:val="20"/>
          <w:szCs w:val="20"/>
          <w:color w:val="auto"/>
        </w:rPr>
      </w:pPr>
    </w:p>
    <w:p>
      <w:pPr>
        <w:ind w:right="60"/>
        <w:spacing w:after="0" w:line="264" w:lineRule="auto"/>
        <w:rPr>
          <w:sz w:val="20"/>
          <w:szCs w:val="20"/>
          <w:color w:val="auto"/>
        </w:rPr>
      </w:pPr>
      <w:r>
        <w:rPr>
          <w:rFonts w:ascii="Arial" w:cs="Arial" w:eastAsia="Arial" w:hAnsi="Arial"/>
          <w:sz w:val="22"/>
          <w:szCs w:val="22"/>
          <w:color w:val="auto"/>
        </w:rPr>
        <w:t>Exagen is a leading provider of autoimmune testing and its purpose as an organization is to provide clarity in autoimmune disease decision making with the goal of improving patients’ clinical outcomes. Exagen is located in San Diego County, California.</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please visit Exagen.com or follow @ExagenInc on X (formally known as Twitter).</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2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strategies and ambitions; potential future financial and business performance; the potential utility and effectiveness of Exagen’s services and testing solutions; the expected benefits of Dr. Kahn’s position with Exagen; potential shareholder value and growth and 2024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 interactions with regulatory authorities, and delays in ongoing and planned clinical trials involving its tests; Exagen’s commercial success depends upon attaining and maintaining significant market acceptance of its testing products among rheumatologists, patients, third-party payors and others in the medical community; Exagen’s ability to successfully execute on its business strategies; third-party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 Exchange</w:t>
      </w:r>
    </w:p>
    <w:p>
      <w:pPr>
        <w:spacing w:after="0" w:line="16" w:lineRule="exact"/>
        <w:rPr>
          <w:sz w:val="20"/>
          <w:szCs w:val="20"/>
          <w:color w:val="auto"/>
        </w:rPr>
      </w:pPr>
    </w:p>
    <w:p>
      <w:pPr>
        <w:ind w:right="60"/>
        <w:spacing w:after="0" w:line="261" w:lineRule="auto"/>
        <w:rPr>
          <w:sz w:val="20"/>
          <w:szCs w:val="20"/>
          <w:color w:val="auto"/>
        </w:rPr>
      </w:pPr>
      <w:r>
        <w:rPr>
          <w:rFonts w:ascii="Arial" w:cs="Arial" w:eastAsia="Arial" w:hAnsi="Arial"/>
          <w:sz w:val="21"/>
          <w:szCs w:val="21"/>
          <w:color w:val="auto"/>
        </w:rPr>
        <w:t>Commission (“SEC”), including under the heading “Risk Factors” in Exagen’s Annual Report on Form 10-K for the year ended December 31, 2023, filed with the SEC on March 18, 2024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Ryan Douglas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ir@exagen.com</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760.560.1525</w:t>
      </w:r>
    </w:p>
    <w:sectPr>
      <w:pgSz w:w="11900" w:h="16838" w:orient="portrait"/>
      <w:cols w:equalWidth="0" w:num="1">
        <w:col w:w="10139"/>
      </w:cols>
      <w:pgMar w:left="320" w:top="14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C"/>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9" Type="http://schemas.openxmlformats.org/officeDocument/2006/relationships/hyperlink" Target="https://www.sec.gov/ix?doc=/Archives/edgar/data/0001274737/000127473723000019/exdx-2022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2024-04-26T07:38:40Z</dcterms:created>
  <dcterms:modified xsi:type="dcterms:W3CDTF">2024-04-26T07:38:40Z</dcterms:modified>
</cp:coreProperties>
</file>