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ABALLI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EXAGEN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VISTA</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92081</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02/24/2026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11,430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702,997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40,401</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at the direction of the Issuer, to cover tax withholding obligations in connection with the vesting and settlement of Restricted Stock Units. The sale is mandated solely by the Issuer and does not represent a discretionary transaction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G. Black,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02/25/2026</w:t>
            </w:r>
          </w:p>
        </w:tc>
        <w:tc>
          <w:tcPr>
            <w:tcW w:w="0" w:type="dxa"/>
            <w:vAlign w:val="bottom"/>
          </w:tcPr>
          <w:p>
            <w:pPr>
              <w:spacing w:after="0"/>
              <w:rPr>
                <w:sz w:val="1"/>
                <w:szCs w:val="1"/>
                <w:color w:val="auto"/>
              </w:rPr>
            </w:pPr>
          </w:p>
        </w:tc>
      </w:tr>
      <w:tr>
        <w:trPr>
          <w:trHeight w:val="87"/>
        </w:trPr>
        <w:tc>
          <w:tcPr>
            <w:tcW w:w="15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80" w:type="dxa"/>
            <w:vAlign w:val="bottom"/>
            <w:tcBorders>
              <w:top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3113"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2026-02-25T18:13:45Z</dcterms:created>
  <dcterms:modified xsi:type="dcterms:W3CDTF">2026-02-25T18:13:45Z</dcterms:modified>
</cp:coreProperties>
</file>