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043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4317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Black Jeffrey G.</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02"/>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0"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0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82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92081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gridSpan w:val="2"/>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60" w:type="dxa"/>
            <w:vAlign w:val="bottom"/>
            <w:gridSpan w:val="3"/>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03/12/2026</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75,000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342,442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(2)</w:t>
            </w:r>
          </w:p>
        </w:tc>
        <w:tc>
          <w:tcPr>
            <w:tcW w:w="9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02/27/2026</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1,511</w:t>
            </w:r>
            <w:r>
              <w:rPr>
                <w:rFonts w:ascii="Times New Roman" w:cs="Times New Roman" w:eastAsia="Times New Roman" w:hAnsi="Times New Roman"/>
                <w:sz w:val="21"/>
                <w:szCs w:val="21"/>
                <w:color w:val="008000"/>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3.077</w:t>
            </w: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343,953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50,000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82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w:t>
            </w:r>
          </w:p>
        </w:tc>
        <w:tc>
          <w:tcPr>
            <w:tcW w:w="96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03/12/2026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03/11/2036</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w:t>
            </w:r>
          </w:p>
        </w:tc>
        <w:tc>
          <w:tcPr>
            <w:tcW w:w="60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94"/>
              </w:rPr>
              <w:t>60,000</w:t>
            </w:r>
          </w:p>
        </w:tc>
        <w:tc>
          <w:tcPr>
            <w:tcW w:w="26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-1996440</wp:posOffset>
            </wp:positionV>
            <wp:extent cx="29210" cy="2001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1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are in the form of restricted stock units under the issuer's 2019 Incentive Award Plan. Each restricted stock unit represents a contingent right to receive one share of the Issuer's common stock. The restricted stock unit will vest with respect to 25% of the restricted stock units on each of the first, second, third and fourth anniversaries of February 21, 2026, subject to the Reporting Person's continued service through the applicable vesting date. In addition, the award may become fully vested upon a qualifying termination of employment in connection with a change in control.</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the Issuer's common stock pursuant to the Employee Stock Purchase Plan ("ESPP").</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purchased through ESPP in transactions that were exempt under both Rule 16b-3(d) and Rule 16b-3(c).</w:t>
      </w:r>
    </w:p>
    <w:p>
      <w:pPr>
        <w:spacing w:after="0" w:line="42"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exercisable as it vests. 25% of the shares subject to the option vest on February 21, 2027, and 1/48th of the total number of shares subject to the option vest at the end of each calendar month thereafter, subject to the Reporting Person's continued service to the Issuer through each such vesting date. In addition, the stock option may become fully vested upon a qualifying termination of employment in connection with a change in control.</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Jeffrey G. Black</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03/16/2026</w:t>
            </w:r>
          </w:p>
        </w:tc>
      </w:tr>
      <w:tr>
        <w:trPr>
          <w:trHeight w:val="20"/>
        </w:trPr>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2026-03-16T18:18:50Z</dcterms:created>
  <dcterms:modified xsi:type="dcterms:W3CDTF">2026-03-16T18:18:50Z</dcterms:modified>
</cp:coreProperties>
</file>