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Under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3)*</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Exagen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30068X103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45" w:lineRule="exact"/>
        <w:rPr>
          <w:sz w:val="24"/>
          <w:szCs w:val="24"/>
          <w:color w:val="auto"/>
        </w:rPr>
      </w:pPr>
    </w:p>
    <w:p>
      <w:pPr>
        <w:ind w:firstLine="8"/>
        <w:spacing w:after="0"/>
        <w:tabs>
          <w:tab w:leader="none" w:pos="216"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ind w:right="2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1"/>
        </w:trPr>
        <w:tc>
          <w:tcPr>
            <w:tcW w:w="1400" w:type="dxa"/>
            <w:vAlign w:val="bottom"/>
          </w:tcPr>
          <w:p>
            <w:pPr>
              <w:spacing w:after="0"/>
              <w:rPr>
                <w:sz w:val="20"/>
                <w:szCs w:val="20"/>
                <w:color w:val="auto"/>
              </w:rPr>
            </w:pPr>
            <w:r>
              <w:rPr>
                <w:rFonts w:ascii="Arial" w:cs="Arial" w:eastAsia="Arial" w:hAnsi="Arial"/>
                <w:sz w:val="22"/>
                <w:szCs w:val="22"/>
                <w:b w:val="1"/>
                <w:bCs w:val="1"/>
                <w:color w:val="auto"/>
              </w:rPr>
              <w:t>CUSIP No.</w:t>
            </w:r>
          </w:p>
        </w:tc>
        <w:tc>
          <w:tcPr>
            <w:tcW w:w="1320" w:type="dxa"/>
            <w:vAlign w:val="bottom"/>
            <w:gridSpan w:val="4"/>
          </w:tcPr>
          <w:p>
            <w:pPr>
              <w:ind w:left="120"/>
              <w:spacing w:after="0"/>
              <w:rPr>
                <w:sz w:val="20"/>
                <w:szCs w:val="20"/>
                <w:color w:val="auto"/>
              </w:rPr>
            </w:pPr>
            <w:r>
              <w:rPr>
                <w:rFonts w:ascii="Arial" w:cs="Arial" w:eastAsia="Arial" w:hAnsi="Arial"/>
                <w:sz w:val="22"/>
                <w:szCs w:val="22"/>
                <w:b w:val="1"/>
                <w:bCs w:val="1"/>
                <w:color w:val="auto"/>
              </w:rPr>
              <w:t>30068X103</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00" w:type="dxa"/>
            <w:vAlign w:val="bottom"/>
            <w:tcBorders>
              <w:bottom w:val="single" w:sz="8" w:color="auto"/>
            </w:tcBorders>
          </w:tcPr>
          <w:p>
            <w:pPr>
              <w:spacing w:after="0"/>
              <w:rPr>
                <w:sz w:val="20"/>
                <w:szCs w:val="20"/>
                <w:color w:val="auto"/>
              </w:rPr>
            </w:pPr>
          </w:p>
        </w:tc>
        <w:tc>
          <w:tcPr>
            <w:tcW w:w="9620" w:type="dxa"/>
            <w:vAlign w:val="bottom"/>
            <w:tcBorders>
              <w:bottom w:val="single" w:sz="8" w:color="auto"/>
            </w:tcBorders>
            <w:gridSpan w:val="5"/>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Arial" w:cs="Arial" w:eastAsia="Arial" w:hAnsi="Arial"/>
                <w:sz w:val="18"/>
                <w:szCs w:val="18"/>
                <w:b w:val="1"/>
                <w:bCs w:val="1"/>
                <w:color w:val="auto"/>
              </w:rPr>
              <w:t>NMSIC Co-Investment Fund,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220" w:type="dxa"/>
            <w:vAlign w:val="bottom"/>
            <w:tcBorders>
              <w:bottom w:val="single" w:sz="8" w:color="auto"/>
            </w:tcBorders>
            <w:shd w:val="clear" w:color="auto" w:fill="BFBFBF"/>
          </w:tcPr>
          <w:p>
            <w:pPr>
              <w:spacing w:after="0"/>
              <w:rPr>
                <w:sz w:val="23"/>
                <w:szCs w:val="23"/>
                <w:color w:val="auto"/>
              </w:rPr>
            </w:pPr>
          </w:p>
        </w:tc>
        <w:tc>
          <w:tcPr>
            <w:tcW w:w="44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Delaware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2,308,958</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8"/>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2,308,958</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2,308,958</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14.15%(1)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PN</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40" w:right="200" w:hanging="40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Percentage calculated based on 16,319,488 shares of common stock outstanding as of November 18, 2022, as reported in the issuer’s Quarterly Report on Form 10-Q for the quarter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81"/>
        </w:trPr>
        <w:tc>
          <w:tcPr>
            <w:tcW w:w="1400" w:type="dxa"/>
            <w:vAlign w:val="bottom"/>
          </w:tcPr>
          <w:p>
            <w:pPr>
              <w:spacing w:after="0"/>
              <w:rPr>
                <w:sz w:val="20"/>
                <w:szCs w:val="20"/>
                <w:color w:val="auto"/>
              </w:rPr>
            </w:pPr>
            <w:r>
              <w:rPr>
                <w:rFonts w:ascii="Arial" w:cs="Arial" w:eastAsia="Arial" w:hAnsi="Arial"/>
                <w:sz w:val="22"/>
                <w:szCs w:val="22"/>
                <w:b w:val="1"/>
                <w:bCs w:val="1"/>
                <w:color w:val="auto"/>
              </w:rPr>
              <w:t>CUSIP No.</w:t>
            </w:r>
          </w:p>
        </w:tc>
        <w:tc>
          <w:tcPr>
            <w:tcW w:w="1320" w:type="dxa"/>
            <w:vAlign w:val="bottom"/>
            <w:gridSpan w:val="4"/>
          </w:tcPr>
          <w:p>
            <w:pPr>
              <w:ind w:left="120"/>
              <w:spacing w:after="0"/>
              <w:rPr>
                <w:sz w:val="20"/>
                <w:szCs w:val="20"/>
                <w:color w:val="auto"/>
              </w:rPr>
            </w:pPr>
            <w:r>
              <w:rPr>
                <w:rFonts w:ascii="Arial" w:cs="Arial" w:eastAsia="Arial" w:hAnsi="Arial"/>
                <w:sz w:val="22"/>
                <w:szCs w:val="22"/>
                <w:b w:val="1"/>
                <w:bCs w:val="1"/>
                <w:color w:val="auto"/>
              </w:rPr>
              <w:t>30068X103</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00" w:type="dxa"/>
            <w:vAlign w:val="bottom"/>
            <w:tcBorders>
              <w:bottom w:val="single" w:sz="8" w:color="auto"/>
            </w:tcBorders>
          </w:tcPr>
          <w:p>
            <w:pPr>
              <w:spacing w:after="0"/>
              <w:rPr>
                <w:sz w:val="20"/>
                <w:szCs w:val="20"/>
                <w:color w:val="auto"/>
              </w:rPr>
            </w:pPr>
          </w:p>
        </w:tc>
        <w:tc>
          <w:tcPr>
            <w:tcW w:w="9620" w:type="dxa"/>
            <w:vAlign w:val="bottom"/>
            <w:tcBorders>
              <w:bottom w:val="single" w:sz="8" w:color="auto"/>
            </w:tcBorders>
            <w:gridSpan w:val="5"/>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Arial" w:cs="Arial" w:eastAsia="Arial" w:hAnsi="Arial"/>
                <w:sz w:val="18"/>
                <w:szCs w:val="18"/>
                <w:b w:val="1"/>
                <w:bCs w:val="1"/>
                <w:color w:val="auto"/>
              </w:rPr>
              <w:t>Sun Mountain Capital Partners,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220" w:type="dxa"/>
            <w:vAlign w:val="bottom"/>
            <w:tcBorders>
              <w:bottom w:val="single" w:sz="8" w:color="auto"/>
            </w:tcBorders>
            <w:shd w:val="clear" w:color="auto" w:fill="BFBFBF"/>
          </w:tcPr>
          <w:p>
            <w:pPr>
              <w:spacing w:after="0"/>
              <w:rPr>
                <w:sz w:val="23"/>
                <w:szCs w:val="23"/>
                <w:color w:val="auto"/>
              </w:rPr>
            </w:pPr>
          </w:p>
        </w:tc>
        <w:tc>
          <w:tcPr>
            <w:tcW w:w="44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Delaware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2,308,958</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8"/>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2,308,958</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2,308,958</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14.15%(1)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PN</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40" w:right="20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Percentage calculated based on 16,319,488 shares of common stock outstanding as of November 18, 2022, as reported in the issuer’s Quarterly Report on Form 10-Q for the quarter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Exagen Inc.</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1261 Liberty Way</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Vista, California 92081</w:t>
      </w: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49" w:lineRule="exact"/>
        <w:rPr>
          <w:sz w:val="20"/>
          <w:szCs w:val="20"/>
          <w:color w:val="auto"/>
        </w:rPr>
      </w:pPr>
    </w:p>
    <w:p>
      <w:pPr>
        <w:ind w:right="700" w:firstLine="324"/>
        <w:spacing w:after="0" w:line="250" w:lineRule="auto"/>
        <w:rPr>
          <w:sz w:val="20"/>
          <w:szCs w:val="20"/>
          <w:color w:val="auto"/>
        </w:rPr>
      </w:pPr>
      <w:r>
        <w:rPr>
          <w:rFonts w:ascii="Arial" w:cs="Arial" w:eastAsia="Arial" w:hAnsi="Arial"/>
          <w:sz w:val="22"/>
          <w:szCs w:val="22"/>
          <w:color w:val="auto"/>
        </w:rPr>
        <w:t>This statement is being filed on behalf of each of the following persons (each, a “Reporting Person” and together, the “Reporting Persons”):</w:t>
      </w:r>
    </w:p>
    <w:p>
      <w:pPr>
        <w:spacing w:after="0" w:line="202" w:lineRule="exact"/>
        <w:rPr>
          <w:sz w:val="20"/>
          <w:szCs w:val="20"/>
          <w:color w:val="auto"/>
        </w:rPr>
      </w:pPr>
    </w:p>
    <w:p>
      <w:pPr>
        <w:ind w:left="800" w:hanging="468"/>
        <w:spacing w:after="0"/>
        <w:tabs>
          <w:tab w:leader="none" w:pos="800" w:val="left"/>
        </w:tabs>
        <w:numPr>
          <w:ilvl w:val="0"/>
          <w:numId w:val="6"/>
        </w:numPr>
        <w:rPr>
          <w:rFonts w:ascii="Arial" w:cs="Arial" w:eastAsia="Arial" w:hAnsi="Arial"/>
          <w:sz w:val="22"/>
          <w:szCs w:val="22"/>
          <w:color w:val="auto"/>
        </w:rPr>
      </w:pPr>
      <w:r>
        <w:rPr>
          <w:rFonts w:ascii="Arial" w:cs="Arial" w:eastAsia="Arial" w:hAnsi="Arial"/>
          <w:sz w:val="22"/>
          <w:szCs w:val="22"/>
          <w:color w:val="auto"/>
        </w:rPr>
        <w:t>NMSIC Co-Investment Fund, L.P. (“NMSIC”); and</w:t>
      </w:r>
    </w:p>
    <w:p>
      <w:pPr>
        <w:spacing w:after="0" w:line="233" w:lineRule="exact"/>
        <w:rPr>
          <w:rFonts w:ascii="Arial" w:cs="Arial" w:eastAsia="Arial" w:hAnsi="Arial"/>
          <w:sz w:val="22"/>
          <w:szCs w:val="22"/>
          <w:color w:val="auto"/>
        </w:rPr>
      </w:pPr>
    </w:p>
    <w:p>
      <w:pPr>
        <w:ind w:left="820" w:hanging="488"/>
        <w:spacing w:after="0"/>
        <w:tabs>
          <w:tab w:leader="none" w:pos="820" w:val="left"/>
        </w:tabs>
        <w:numPr>
          <w:ilvl w:val="0"/>
          <w:numId w:val="6"/>
        </w:numPr>
        <w:rPr>
          <w:rFonts w:ascii="Arial" w:cs="Arial" w:eastAsia="Arial" w:hAnsi="Arial"/>
          <w:sz w:val="22"/>
          <w:szCs w:val="22"/>
          <w:color w:val="auto"/>
        </w:rPr>
      </w:pPr>
      <w:r>
        <w:rPr>
          <w:rFonts w:ascii="Arial" w:cs="Arial" w:eastAsia="Arial" w:hAnsi="Arial"/>
          <w:sz w:val="22"/>
          <w:szCs w:val="22"/>
          <w:color w:val="auto"/>
        </w:rPr>
        <w:t>Sun Mountain Capital Partners, L.L.C. (“Sun Mountain”), the general partner of NMSIC.</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address of the principal business office of each of the Reporting Persons is: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527 Don Gaspar Avenue</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Santa Fe, New Mexico 87505</w:t>
      </w: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See row 4 of the cover page of each Reporting Person.</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Common Stock, par value $0.001 per share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No:</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30068X103</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49" w:lineRule="exact"/>
        <w:rPr>
          <w:sz w:val="20"/>
          <w:szCs w:val="20"/>
          <w:color w:val="auto"/>
        </w:rPr>
      </w:pPr>
    </w:p>
    <w:p>
      <w:pPr>
        <w:ind w:left="1120" w:hanging="788"/>
        <w:spacing w:after="0"/>
        <w:tabs>
          <w:tab w:leader="none" w:pos="1120" w:val="left"/>
        </w:tabs>
        <w:numPr>
          <w:ilvl w:val="0"/>
          <w:numId w:val="7"/>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row 9 of the cover page of each Reporting Person.</w:t>
      </w:r>
    </w:p>
    <w:p>
      <w:pPr>
        <w:spacing w:after="0" w:line="233" w:lineRule="exact"/>
        <w:rPr>
          <w:sz w:val="20"/>
          <w:szCs w:val="20"/>
          <w:color w:val="auto"/>
        </w:rPr>
      </w:pPr>
    </w:p>
    <w:p>
      <w:pPr>
        <w:ind w:right="140" w:firstLine="648"/>
        <w:spacing w:after="0" w:line="238" w:lineRule="auto"/>
        <w:rPr>
          <w:sz w:val="20"/>
          <w:szCs w:val="20"/>
          <w:color w:val="auto"/>
        </w:rPr>
      </w:pPr>
      <w:r>
        <w:rPr>
          <w:rFonts w:ascii="Arial" w:cs="Arial" w:eastAsia="Arial" w:hAnsi="Arial"/>
          <w:sz w:val="22"/>
          <w:szCs w:val="22"/>
          <w:color w:val="auto"/>
        </w:rPr>
        <w:t>As of December 31, 2022, NMSIC directly owns 2,308,958 shares of common stock, par value $0.001 per share (the “Common Stock”) of the issuer. Sun Mountain is the general partner of NMSIC. The controlling members of Sun Mountain are Brian Birk, Sally Coming and Lee Rand. As such, each of these entities and individuals may be deemed to share beneficial ownership of the shares held of record by NMSIC.</w:t>
      </w:r>
    </w:p>
    <w:p>
      <w:pPr>
        <w:spacing w:after="0" w:line="212"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Pursuant to Rule 13d-4 of the Securities Exchange Act of 1934, as amended (the “Exchange Act”), the Reporting Persons declare that filing this Schedule 13G shall not be construed as an admission that any such person is, for the purposes of Section 13(d) and/or Section 13(g) of the Exchange Act, the beneficial owner of any Common Stock covered by this Schedule 13G except to the extent of such person’s direct ownership of such Common Stock, and except to the extent of such direct ownership, such beneficial ownership is expressly disclaimed by each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 w:name="page5"/>
    <w:bookmarkEnd w:id="4"/>
    <w:p>
      <w:pPr>
        <w:ind w:left="340"/>
        <w:spacing w:after="0"/>
        <w:rPr>
          <w:sz w:val="20"/>
          <w:szCs w:val="20"/>
          <w:color w:val="auto"/>
        </w:rPr>
      </w:pPr>
      <w:r>
        <w:rPr>
          <w:rFonts w:ascii="Arial" w:cs="Arial" w:eastAsia="Arial" w:hAnsi="Arial"/>
          <w:sz w:val="22"/>
          <w:szCs w:val="22"/>
          <w:color w:val="auto"/>
        </w:rPr>
        <w:t>(b)  Percent of class:</w:t>
      </w:r>
    </w:p>
    <w:p>
      <w:pPr>
        <w:spacing w:after="0" w:line="234" w:lineRule="exact"/>
        <w:rPr>
          <w:sz w:val="20"/>
          <w:szCs w:val="20"/>
          <w:color w:val="auto"/>
        </w:rPr>
      </w:pPr>
    </w:p>
    <w:p>
      <w:pPr>
        <w:ind w:right="400" w:firstLine="648"/>
        <w:spacing w:after="0" w:line="250" w:lineRule="auto"/>
        <w:rPr>
          <w:sz w:val="20"/>
          <w:szCs w:val="20"/>
          <w:color w:val="auto"/>
        </w:rPr>
      </w:pPr>
      <w:r>
        <w:rPr>
          <w:rFonts w:ascii="Arial" w:cs="Arial" w:eastAsia="Arial" w:hAnsi="Arial"/>
          <w:sz w:val="22"/>
          <w:szCs w:val="22"/>
          <w:color w:val="auto"/>
        </w:rPr>
        <w:t>Each of the Reporting Persons may be deemed to be the beneficial owner of 14.15% of the outstanding shares of the Common Stock.</w:t>
      </w:r>
    </w:p>
    <w:p>
      <w:pPr>
        <w:spacing w:after="0" w:line="202" w:lineRule="exact"/>
        <w:rPr>
          <w:sz w:val="20"/>
          <w:szCs w:val="20"/>
          <w:color w:val="auto"/>
        </w:rPr>
      </w:pPr>
    </w:p>
    <w:p>
      <w:pPr>
        <w:jc w:val="both"/>
        <w:ind w:right="160" w:firstLine="648"/>
        <w:spacing w:after="0"/>
        <w:rPr>
          <w:sz w:val="20"/>
          <w:szCs w:val="20"/>
          <w:color w:val="auto"/>
        </w:rPr>
      </w:pPr>
      <w:r>
        <w:rPr>
          <w:rFonts w:ascii="Arial" w:cs="Arial" w:eastAsia="Arial" w:hAnsi="Arial"/>
          <w:sz w:val="22"/>
          <w:szCs w:val="22"/>
          <w:color w:val="auto"/>
        </w:rPr>
        <w:t>The calculation of beneficial ownership percentage is based on 16,319,488 shares of Common Stock outstanding as of November 18, 2022, as reported by the issuer in its Quarterly Report on Form 10-Q for the quarter ended September 30, 2022, filed with the Securities and Exchange Commission on November 21, 2022.</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  Number of shares as to which the person has:</w:t>
      </w:r>
    </w:p>
    <w:p>
      <w:pPr>
        <w:spacing w:after="0" w:line="23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Sole power to vote or to direct the vote:</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See row 5 of the cover page of each Reporting Person.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(ii) Shared power to vote or to direct the vote:</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See row 6 of the cover page of each Reporting Person.</w:t>
      </w:r>
    </w:p>
    <w:p>
      <w:pPr>
        <w:spacing w:after="0" w:line="233" w:lineRule="exact"/>
        <w:rPr>
          <w:sz w:val="20"/>
          <w:szCs w:val="20"/>
          <w:color w:val="auto"/>
        </w:rPr>
      </w:pPr>
    </w:p>
    <w:p>
      <w:pPr>
        <w:ind w:left="980" w:right="5420" w:hanging="324"/>
        <w:spacing w:after="0" w:line="533" w:lineRule="auto"/>
        <w:tabs>
          <w:tab w:leader="none" w:pos="1034" w:val="left"/>
        </w:tabs>
        <w:numPr>
          <w:ilvl w:val="0"/>
          <w:numId w:val="8"/>
        </w:numPr>
        <w:rPr>
          <w:rFonts w:ascii="Arial" w:cs="Arial" w:eastAsia="Arial" w:hAnsi="Arial"/>
          <w:sz w:val="19"/>
          <w:szCs w:val="19"/>
          <w:color w:val="auto"/>
        </w:rPr>
      </w:pPr>
      <w:r>
        <w:rPr>
          <w:rFonts w:ascii="Arial" w:cs="Arial" w:eastAsia="Arial" w:hAnsi="Arial"/>
          <w:sz w:val="19"/>
          <w:szCs w:val="19"/>
          <w:color w:val="auto"/>
        </w:rPr>
        <w:t>Sole power to dispose or to direct the disposition of: See row 7 of the cover page of each Reporting Person.</w:t>
      </w:r>
    </w:p>
    <w:p>
      <w:pPr>
        <w:spacing w:after="0" w:line="1" w:lineRule="exact"/>
        <w:rPr>
          <w:rFonts w:ascii="Arial" w:cs="Arial" w:eastAsia="Arial" w:hAnsi="Arial"/>
          <w:sz w:val="19"/>
          <w:szCs w:val="19"/>
          <w:color w:val="auto"/>
        </w:rPr>
      </w:pPr>
    </w:p>
    <w:p>
      <w:pPr>
        <w:ind w:left="1020" w:hanging="364"/>
        <w:spacing w:after="0"/>
        <w:tabs>
          <w:tab w:leader="none" w:pos="1020" w:val="left"/>
        </w:tabs>
        <w:numPr>
          <w:ilvl w:val="0"/>
          <w:numId w:val="8"/>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See row 8 of the cover page of each Reporting Person.</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February 2, 2023</w:t>
      </w:r>
    </w:p>
    <w:p>
      <w:pPr>
        <w:spacing w:after="0" w:line="23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NMSIC CO-INVESTMENT FUND, L.P.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Sun Mountain Capital Partners, L.L.C.,</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Birk</w:t>
            </w:r>
          </w:p>
        </w:tc>
      </w:tr>
      <w:tr>
        <w:trPr>
          <w:trHeight w:val="202"/>
        </w:trPr>
        <w:tc>
          <w:tcPr>
            <w:tcW w:w="560" w:type="dxa"/>
            <w:vAlign w:val="bottom"/>
          </w:tcPr>
          <w:p>
            <w:pPr>
              <w:spacing w:after="0"/>
              <w:rPr>
                <w:sz w:val="17"/>
                <w:szCs w:val="17"/>
                <w:color w:val="auto"/>
              </w:rPr>
            </w:pP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Name: Brian Birk</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Managing Member</w:t>
            </w:r>
          </w:p>
        </w:tc>
      </w:tr>
      <w:tr>
        <w:trPr>
          <w:trHeight w:val="45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Lee Rand</w:t>
            </w:r>
          </w:p>
        </w:tc>
      </w:tr>
      <w:tr>
        <w:trPr>
          <w:trHeight w:val="202"/>
        </w:trPr>
        <w:tc>
          <w:tcPr>
            <w:tcW w:w="560" w:type="dxa"/>
            <w:vAlign w:val="bottom"/>
          </w:tcPr>
          <w:p>
            <w:pPr>
              <w:spacing w:after="0"/>
              <w:rPr>
                <w:sz w:val="17"/>
                <w:szCs w:val="17"/>
                <w:color w:val="auto"/>
              </w:rPr>
            </w:pP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Name: Lee Rand</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Managing Member</w:t>
            </w:r>
          </w:p>
        </w:tc>
      </w:tr>
    </w:tbl>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SUN MOUNTAIN CAPITAL PARTNERS,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Birk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23495</wp:posOffset>
            </wp:positionV>
            <wp:extent cx="3197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Brian Birk</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Lee 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23495</wp:posOffset>
            </wp:positionV>
            <wp:extent cx="3197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Lee Rand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2023-02-02T15:29:08Z</dcterms:created>
  <dcterms:modified xsi:type="dcterms:W3CDTF">2023-02-02T15:29:08Z</dcterms:modified>
</cp:coreProperties>
</file>