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July 28, 2020</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180"/>
          </w:cols>
          <w:pgMar w:left="320" w:top="1259" w:right="399" w:bottom="1440" w:gutter="0" w:footer="0" w:header="0"/>
        </w:sectPr>
      </w:pPr>
    </w:p>
    <w:p>
      <w:pPr>
        <w:spacing w:after="0" w:line="313"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82" w:lineRule="exact"/>
        <w:rPr>
          <w:sz w:val="24"/>
          <w:szCs w:val="24"/>
          <w:color w:val="auto"/>
        </w:rPr>
      </w:pPr>
    </w:p>
    <w:p>
      <w:pPr>
        <w:sectPr>
          <w:pgSz w:w="11900" w:h="16838" w:orient="portrait"/>
          <w:cols w:equalWidth="0" w:num="3">
            <w:col w:w="4640" w:space="720"/>
            <w:col w:w="2620" w:space="720"/>
            <w:col w:w="2480"/>
          </w:cols>
          <w:pgMar w:left="320" w:top="1259" w:right="399" w:bottom="1440" w:gutter="0" w:footer="0" w:header="0"/>
          <w:type w:val="continuous"/>
        </w:sectPr>
      </w:pPr>
    </w:p>
    <w:p>
      <w:pPr>
        <w:jc w:val="center"/>
        <w:ind w:right="120"/>
        <w:spacing w:after="0"/>
        <w:rPr>
          <w:sz w:val="20"/>
          <w:szCs w:val="20"/>
          <w:color w:val="auto"/>
        </w:rPr>
      </w:pPr>
      <w:r>
        <w:rPr>
          <w:rFonts w:ascii="Arial" w:cs="Arial" w:eastAsia="Arial" w:hAnsi="Arial"/>
          <w:sz w:val="14"/>
          <w:szCs w:val="14"/>
          <w:b w:val="1"/>
          <w:bCs w:val="1"/>
          <w:color w:val="auto"/>
        </w:rPr>
        <w:t>(State or other jurisdiction</w:t>
      </w:r>
    </w:p>
    <w:p>
      <w:pPr>
        <w:spacing w:after="0" w:line="17" w:lineRule="exact"/>
        <w:rPr>
          <w:sz w:val="24"/>
          <w:szCs w:val="24"/>
          <w:color w:val="auto"/>
        </w:rPr>
      </w:pPr>
    </w:p>
    <w:p>
      <w:pPr>
        <w:jc w:val="center"/>
        <w:ind w:right="12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500" w:space="720"/>
            <w:col w:w="2620"/>
          </w:cols>
          <w:pgMar w:left="320" w:top="1259" w:right="399" w:bottom="1440" w:gutter="0" w:footer="0" w:header="0"/>
          <w:type w:val="continuous"/>
        </w:sectPr>
      </w:pP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17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180"/>
          </w:cols>
          <w:pgMar w:left="320" w:top="1259" w:right="39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81"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81"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81"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9"/>
                <w:szCs w:val="19"/>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60" w:type="dxa"/>
            <w:vAlign w:val="bottom"/>
          </w:tcPr>
          <w:p>
            <w:pPr>
              <w:spacing w:after="0"/>
              <w:rPr>
                <w:sz w:val="19"/>
                <w:szCs w:val="19"/>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43"/>
        </w:trPr>
        <w:tc>
          <w:tcPr>
            <w:tcW w:w="3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3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XGN</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6" w:lineRule="exact"/>
        <w:rPr>
          <w:sz w:val="24"/>
          <w:szCs w:val="24"/>
          <w:color w:val="auto"/>
        </w:rPr>
      </w:pPr>
    </w:p>
    <w:p>
      <w:pPr>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2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180"/>
          </w:cols>
          <w:pgMar w:left="320" w:top="1259"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28, 2020, Exagen Inc. (the “Company”) reported its financial results for the three and six months ended June 30, 2020. A copy of the press release issued by the Company is furnished as Exhibit 99.1 to this report.</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Exhibit No.</w:t>
            </w:r>
          </w:p>
        </w:tc>
        <w:tc>
          <w:tcPr>
            <w:tcW w:w="2940" w:type="dxa"/>
            <w:vAlign w:val="bottom"/>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513"/>
        </w:trPr>
        <w:tc>
          <w:tcPr>
            <w:tcW w:w="980" w:type="dxa"/>
            <w:vAlign w:val="bottom"/>
          </w:tcPr>
          <w:p>
            <w:pPr>
              <w:jc w:val="right"/>
              <w:ind w:right="559"/>
              <w:spacing w:after="0"/>
              <w:rPr>
                <w:sz w:val="20"/>
                <w:szCs w:val="20"/>
                <w:color w:val="auto"/>
              </w:rPr>
            </w:pPr>
            <w:r>
              <w:rPr>
                <w:rFonts w:ascii="Arial" w:cs="Arial" w:eastAsia="Arial" w:hAnsi="Arial"/>
                <w:sz w:val="18"/>
                <w:szCs w:val="18"/>
                <w:color w:val="auto"/>
                <w:w w:val="91"/>
              </w:rPr>
              <w:t>99.1</w:t>
            </w:r>
          </w:p>
        </w:tc>
        <w:tc>
          <w:tcPr>
            <w:tcW w:w="2940" w:type="dxa"/>
            <w:vAlign w:val="bottom"/>
          </w:tcPr>
          <w:p>
            <w:pPr>
              <w:ind w:left="500"/>
              <w:spacing w:after="0"/>
              <w:rPr>
                <w:rFonts w:ascii="Arial" w:cs="Arial" w:eastAsia="Arial" w:hAnsi="Arial"/>
                <w:sz w:val="18"/>
                <w:szCs w:val="18"/>
                <w:u w:val="single" w:color="auto"/>
                <w:color w:val="0000FF"/>
                <w:w w:val="86"/>
              </w:rPr>
            </w:pPr>
            <w:hyperlink w:anchor="page4">
              <w:r>
                <w:rPr>
                  <w:rFonts w:ascii="Arial" w:cs="Arial" w:eastAsia="Arial" w:hAnsi="Arial"/>
                  <w:sz w:val="18"/>
                  <w:szCs w:val="18"/>
                  <w:u w:val="single" w:color="auto"/>
                  <w:color w:val="0000FF"/>
                  <w:w w:val="86"/>
                </w:rPr>
                <w:t>Press Release dated July 28, 2020</w:t>
              </w:r>
            </w:hyperlink>
          </w:p>
        </w:tc>
      </w:tr>
    </w:tbl>
    <w:p>
      <w:pPr>
        <w:sectPr>
          <w:pgSz w:w="11900" w:h="16838" w:orient="portrait"/>
          <w:cols w:equalWidth="0" w:num="1">
            <w:col w:w="11160"/>
          </w:cols>
          <w:pgMar w:left="320" w:top="1336"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333" w:lineRule="exact"/>
        <w:rPr>
          <w:sz w:val="20"/>
          <w:szCs w:val="20"/>
          <w:color w:val="auto"/>
        </w:rPr>
      </w:pPr>
    </w:p>
    <w:p>
      <w:pPr>
        <w:ind w:left="20"/>
        <w:spacing w:after="0"/>
        <w:tabs>
          <w:tab w:leader="none" w:pos="5200" w:val="left"/>
          <w:tab w:leader="none" w:pos="5740" w:val="left"/>
        </w:tabs>
        <w:rPr>
          <w:sz w:val="20"/>
          <w:szCs w:val="20"/>
          <w:color w:val="auto"/>
        </w:rPr>
      </w:pPr>
      <w:r>
        <w:rPr>
          <w:rFonts w:ascii="Arial" w:cs="Arial" w:eastAsia="Arial" w:hAnsi="Arial"/>
          <w:sz w:val="18"/>
          <w:szCs w:val="18"/>
          <w:color w:val="auto"/>
        </w:rPr>
        <w:t>Date: July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2854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Kamal Adawi</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1097"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Exagen Inc. Reports Second Quarter 2020 Results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Testing Experiencing Monthly Sequential Improvement</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Record Gross Margins of 63%</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July 28, 2020</w:t>
      </w:r>
    </w:p>
    <w:p>
      <w:pPr>
        <w:spacing w:after="0" w:line="256"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auto"/>
        </w:rPr>
        <w:t>SAN DIEGO – Exagen Inc. (Nasdaq: XGN), an organization dedicated to transforming the care continuum for patients suffering from autoimmune diseases, today reported financial results for the quarter ended June 30, 2020.</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Highlights:</w:t>
      </w:r>
    </w:p>
    <w:p>
      <w:pPr>
        <w:spacing w:after="0" w:line="186" w:lineRule="exact"/>
        <w:rPr>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total revenue of $8.9 million for the quarter ended June 30, 2020.</w:t>
      </w:r>
    </w:p>
    <w:p>
      <w:pPr>
        <w:spacing w:after="0" w:line="148"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Generated $2.1 million in SIMPONI® co-promotion revenues.</w:t>
      </w:r>
    </w:p>
    <w:p>
      <w:pPr>
        <w:spacing w:after="0" w:line="161" w:lineRule="exact"/>
        <w:rPr>
          <w:rFonts w:ascii="Arial" w:cs="Arial" w:eastAsia="Arial" w:hAnsi="Arial"/>
          <w:sz w:val="20"/>
          <w:szCs w:val="20"/>
          <w:color w:val="auto"/>
        </w:rPr>
      </w:pPr>
    </w:p>
    <w:p>
      <w:pPr>
        <w:ind w:left="980" w:right="62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18,522 flagship AVISE® CTD tests, including AVISE® Lupus, in the second quarter 2020 despite the COVID-19 pandemic.</w:t>
      </w:r>
    </w:p>
    <w:p>
      <w:pPr>
        <w:spacing w:after="0" w:line="134"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Number of ordering healthcare providers was 1,442 in the second quarter, with 428 adopters.</w:t>
      </w:r>
    </w:p>
    <w:p>
      <w:pPr>
        <w:spacing w:after="0" w:line="148"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19"/>
          <w:szCs w:val="19"/>
          <w:color w:val="auto"/>
        </w:rPr>
      </w:pPr>
      <w:r>
        <w:rPr>
          <w:rFonts w:ascii="Arial" w:cs="Arial" w:eastAsia="Arial" w:hAnsi="Arial"/>
          <w:sz w:val="19"/>
          <w:szCs w:val="19"/>
          <w:color w:val="auto"/>
        </w:rPr>
        <w:t>Sequential quarterly retention rate of approximately 96% among adopting healthcare providers from the prior quarter.</w:t>
      </w:r>
    </w:p>
    <w:p>
      <w:pPr>
        <w:spacing w:after="0" w:line="173" w:lineRule="exact"/>
        <w:rPr>
          <w:rFonts w:ascii="Arial" w:cs="Arial" w:eastAsia="Arial" w:hAnsi="Arial"/>
          <w:sz w:val="19"/>
          <w:szCs w:val="19"/>
          <w:color w:val="auto"/>
        </w:rPr>
      </w:pPr>
    </w:p>
    <w:p>
      <w:pPr>
        <w:ind w:left="980" w:right="460" w:hanging="324"/>
        <w:spacing w:after="0" w:line="261"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Cost saving initiatives implemented include the termination and furlough of certain employees and all temps, and halting of all nonessential spending.</w:t>
      </w:r>
    </w:p>
    <w:p>
      <w:pPr>
        <w:spacing w:after="0" w:line="200" w:lineRule="exact"/>
        <w:rPr>
          <w:sz w:val="20"/>
          <w:szCs w:val="20"/>
          <w:color w:val="auto"/>
        </w:rPr>
      </w:pPr>
    </w:p>
    <w:p>
      <w:pPr>
        <w:spacing w:after="0" w:line="299"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“Even during the COVID-19 pandemic, autoimmune diseases don't take a break. This illustrates the need for novel ways to diagnose, prognose and monitor autoimmune diseases, and optimize therapeutic intervention. Our AVISE® tests and SIMPONI® self-injectable anti-TNF meet those needs," said Ron Rocca, President and Chief Executive Officer of Exagen. "Care for autoimmune patients has been difficult for years, and our AVISE® tests provide clarity for the physician's clinical evaluation."</w:t>
      </w: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2020 Financial Results</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Revenue for the three months ended June 30, 2020 was $8.9 million, compared with $10.5 million in the second quarter of 2019. Testing revenue was $6.8 million for the second quarter of 2020, compared to $10.2 million in the second quarter of 2019, due to lower testing volumes attributed to COVID-19 impacts and a decrease in average reimbursement per test. Our co-promotion efforts contributed $2.1</w:t>
      </w:r>
    </w:p>
    <w:p>
      <w:pPr>
        <w:sectPr>
          <w:pgSz w:w="11900" w:h="16838" w:orient="portrait"/>
          <w:cols w:equalWidth="0" w:num="1">
            <w:col w:w="11240"/>
          </w:cols>
          <w:pgMar w:left="320" w:top="1440" w:right="339" w:bottom="1440" w:gutter="0" w:footer="0" w:header="0"/>
        </w:sectPr>
      </w:pPr>
    </w:p>
    <w:bookmarkStart w:id="4" w:name="page5"/>
    <w:bookmarkEnd w:id="4"/>
    <w:p>
      <w:pPr>
        <w:spacing w:after="0" w:line="6" w:lineRule="exact"/>
        <w:rPr>
          <w:sz w:val="20"/>
          <w:szCs w:val="20"/>
          <w:color w:val="auto"/>
        </w:rPr>
      </w:pPr>
    </w:p>
    <w:p>
      <w:pPr>
        <w:ind w:right="20"/>
        <w:spacing w:after="0" w:line="256" w:lineRule="auto"/>
        <w:rPr>
          <w:sz w:val="20"/>
          <w:szCs w:val="20"/>
          <w:color w:val="auto"/>
        </w:rPr>
      </w:pPr>
      <w:r>
        <w:rPr>
          <w:rFonts w:ascii="Arial" w:cs="Arial" w:eastAsia="Arial" w:hAnsi="Arial"/>
          <w:sz w:val="20"/>
          <w:szCs w:val="20"/>
          <w:color w:val="auto"/>
        </w:rPr>
        <w:t>million in the second quarter of 2020, compared to $0.3 million in the second quarter of 2019. Throughout the quarter, monthly testing volumes improved sequentially due to the resumption of patient visits following the easing of shelter-in-place restrictions. We experienced sequential monthly AVISE® CTD test volumes increases from April 2020 of approximately 45% in May 2020 and 52% in June 2020.</w:t>
      </w:r>
    </w:p>
    <w:p>
      <w:pPr>
        <w:spacing w:after="0" w:line="139" w:lineRule="exact"/>
        <w:rPr>
          <w:sz w:val="20"/>
          <w:szCs w:val="20"/>
          <w:color w:val="auto"/>
        </w:rPr>
      </w:pPr>
    </w:p>
    <w:p>
      <w:pPr>
        <w:ind w:right="580"/>
        <w:spacing w:after="0" w:line="261" w:lineRule="auto"/>
        <w:rPr>
          <w:sz w:val="20"/>
          <w:szCs w:val="20"/>
          <w:color w:val="auto"/>
        </w:rPr>
      </w:pPr>
      <w:r>
        <w:rPr>
          <w:rFonts w:ascii="Arial" w:cs="Arial" w:eastAsia="Arial" w:hAnsi="Arial"/>
          <w:sz w:val="20"/>
          <w:szCs w:val="20"/>
          <w:color w:val="auto"/>
        </w:rPr>
        <w:t>Gross margin was 63% in the second quarter of 2020 compared to 52% in the second quarter of 2019, benefiting from an increase in SIMPONI® revenues.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Operating expenses decreased to $12.4 million in the second quarter of 2020, compared with $12.9 million in the second quarter of 2019 and $14.8 million in the first quarter of 2020, due to a decrease in cost of revenue associated with lower testing volumes and cost saving initiatives implemented to reduce overall operating expenses.</w:t>
      </w:r>
    </w:p>
    <w:p>
      <w:pPr>
        <w:spacing w:after="0" w:line="139" w:lineRule="exact"/>
        <w:rPr>
          <w:sz w:val="20"/>
          <w:szCs w:val="20"/>
          <w:color w:val="auto"/>
        </w:rPr>
      </w:pPr>
    </w:p>
    <w:p>
      <w:pPr>
        <w:ind w:right="120"/>
        <w:spacing w:after="0" w:line="460" w:lineRule="auto"/>
        <w:rPr>
          <w:sz w:val="20"/>
          <w:szCs w:val="20"/>
          <w:color w:val="auto"/>
        </w:rPr>
      </w:pPr>
      <w:r>
        <w:rPr>
          <w:rFonts w:ascii="Arial" w:cs="Arial" w:eastAsia="Arial" w:hAnsi="Arial"/>
          <w:sz w:val="20"/>
          <w:szCs w:val="20"/>
          <w:color w:val="auto"/>
        </w:rPr>
        <w:t xml:space="preserve">For the second quarter of 2020, net loss was $3.4 million compared to a net loss of $2.8 million for the second quarter of 2019. Cash and cash equivalents were approximately $63.7 million as of June 30, 2020. </w:t>
      </w:r>
      <w:r>
        <w:rPr>
          <w:rFonts w:ascii="Arial" w:cs="Arial" w:eastAsia="Arial" w:hAnsi="Arial"/>
          <w:sz w:val="20"/>
          <w:szCs w:val="20"/>
          <w:b w:val="1"/>
          <w:bCs w:val="1"/>
          <w:color w:val="auto"/>
        </w:rPr>
        <w:t>Conference Call</w:t>
      </w:r>
    </w:p>
    <w:p>
      <w:pPr>
        <w:spacing w:after="0" w:line="279"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A conference call to review second quarter 2020 financial results and to provide a business update is scheduled for today July 28, 2020 at 8:00 AM Eastern Time (5:00 AM Pacific Time). Interested parties may access the conference call by dialing (877) 407-3982 (U.S.) or (201) 493-6780 (international). Additionally, a link to a live webcast of the call will be available in the investor relations section of Exagen's website at http://investors.exagen.com.</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Tuesday, August 4, 2020 at 11:59 PM Eastern Time (8:59 PM Pacific Time). Interested parties may access the replay by dialing (844) 512-2921 (U.S.) or (412) 317-6671 (international) using passcode 13706731. A link to the replay of the webcast will also be available in the investor relations section of Exagen's website.</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18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 xml:space="preserve">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Exagen’s goal is to enable rheumatologists to improve care for patients through the differential diagnosis, prognosis and monitoring of complex autoimmune and autoimmune-related diseases, including SLE and rheumatoid arthritis, or RA. Exagen’s model of integrating testing products and therapeutics positions Exagen to offer targeted solutions to rheumatologists and, ultimately, better serve patients. For more information, please visit </w:t>
      </w:r>
      <w:r>
        <w:rPr>
          <w:rFonts w:ascii="Arial" w:cs="Arial" w:eastAsia="Arial" w:hAnsi="Arial"/>
          <w:sz w:val="19"/>
          <w:szCs w:val="19"/>
          <w:u w:val="single" w:color="auto"/>
          <w:color w:val="0563C1"/>
        </w:rPr>
        <w:t>www.Exagen.com</w:t>
      </w:r>
      <w:r>
        <w:rPr>
          <w:rFonts w:ascii="Arial" w:cs="Arial" w:eastAsia="Arial" w:hAnsi="Arial"/>
          <w:sz w:val="19"/>
          <w:szCs w:val="19"/>
          <w:color w:val="auto"/>
        </w:rPr>
        <w:t>.</w:t>
      </w:r>
    </w:p>
    <w:p>
      <w:pPr>
        <w:sectPr>
          <w:pgSz w:w="11900" w:h="16838" w:orient="portrait"/>
          <w:cols w:equalWidth="0" w:num="1">
            <w:col w:w="11200"/>
          </w:cols>
          <w:pgMar w:left="320" w:top="1440"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Forward Looking Statements</w:t>
      </w:r>
    </w:p>
    <w:p>
      <w:pPr>
        <w:spacing w:after="0" w:line="186"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expected impact of COVID-19 and the potential benefit of the company's testing products and promoted therapeutic for patients and physicians in autoimmune disease treatment.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COVID-19 pandemic may continue to adversely affect our business, financial condition and results of operations, including as a result of shutdowns of our facilities and operations as well as those of our suppliers and courier services, impeding patient movement and interruptions to healthcare services causing a decrease in test volumes,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and delays in ongoing and planned clinical trials involving our tests; the company’s commercial success depends upon attaining and maintaining significant market acceptance of its testing products and promoted therapeutics among rheumatologists, patients, third-party payers and others in the medical community; the company’s ability to successfully execute on its Dx/Rx strategy, including its promotion efforts for SIMPONI®; third party payers not providing coverage and adequate reimbursement for the company’s testing products or promoted therapeutics; the company’s ability to obtain and maintain intellectual property protection for its testing products; regulatory developments affecting the company’s business; and other risks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CONTACTS: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Westwicke Partners</w:t>
      </w:r>
    </w:p>
    <w:p>
      <w:pPr>
        <w:spacing w:after="0"/>
        <w:rPr>
          <w:sz w:val="20"/>
          <w:szCs w:val="20"/>
          <w:color w:val="auto"/>
        </w:rPr>
      </w:pPr>
      <w:r>
        <w:rPr>
          <w:rFonts w:ascii="Arial" w:cs="Arial" w:eastAsia="Arial" w:hAnsi="Arial"/>
          <w:sz w:val="20"/>
          <w:szCs w:val="20"/>
          <w:color w:val="auto"/>
        </w:rPr>
        <w:t>Mike Cavanaugh</w:t>
      </w:r>
    </w:p>
    <w:p>
      <w:pPr>
        <w:spacing w:after="0"/>
        <w:rPr>
          <w:sz w:val="20"/>
          <w:szCs w:val="20"/>
          <w:color w:val="auto"/>
        </w:rPr>
      </w:pPr>
      <w:r>
        <w:rPr>
          <w:rFonts w:ascii="Arial" w:cs="Arial" w:eastAsia="Arial" w:hAnsi="Arial"/>
          <w:sz w:val="20"/>
          <w:szCs w:val="20"/>
          <w:u w:val="single" w:color="auto"/>
          <w:color w:val="0563C1"/>
        </w:rPr>
        <w:t>Mike.Cavanaugh@westwicke.com</w:t>
      </w:r>
    </w:p>
    <w:p>
      <w:pPr>
        <w:spacing w:after="0"/>
        <w:rPr>
          <w:sz w:val="20"/>
          <w:szCs w:val="20"/>
          <w:color w:val="auto"/>
        </w:rPr>
      </w:pPr>
      <w:r>
        <w:rPr>
          <w:rFonts w:ascii="Arial" w:cs="Arial" w:eastAsia="Arial" w:hAnsi="Arial"/>
          <w:sz w:val="20"/>
          <w:szCs w:val="20"/>
          <w:color w:val="auto"/>
        </w:rPr>
        <w:t>646.677.1838</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rPr>
          <w:sz w:val="20"/>
          <w:szCs w:val="20"/>
          <w:color w:val="auto"/>
        </w:rPr>
      </w:pPr>
      <w:r>
        <w:rPr>
          <w:rFonts w:ascii="Arial" w:cs="Arial" w:eastAsia="Arial" w:hAnsi="Arial"/>
          <w:sz w:val="20"/>
          <w:szCs w:val="20"/>
          <w:color w:val="auto"/>
        </w:rPr>
        <w:t>Kamal Adawi, Chief Financial Officer</w:t>
      </w:r>
    </w:p>
    <w:p>
      <w:pPr>
        <w:spacing w:after="0"/>
        <w:rPr>
          <w:sz w:val="20"/>
          <w:szCs w:val="20"/>
          <w:color w:val="auto"/>
        </w:rPr>
      </w:pPr>
      <w:r>
        <w:rPr>
          <w:rFonts w:ascii="Arial" w:cs="Arial" w:eastAsia="Arial" w:hAnsi="Arial"/>
          <w:sz w:val="20"/>
          <w:szCs w:val="20"/>
          <w:u w:val="single" w:color="auto"/>
          <w:color w:val="0563C1"/>
        </w:rPr>
        <w:t>kadawi@exagen.com</w:t>
      </w:r>
    </w:p>
    <w:p>
      <w:pPr>
        <w:spacing w:after="0"/>
        <w:rPr>
          <w:sz w:val="20"/>
          <w:szCs w:val="20"/>
          <w:color w:val="auto"/>
        </w:rPr>
      </w:pPr>
      <w:r>
        <w:rPr>
          <w:rFonts w:ascii="Arial" w:cs="Arial" w:eastAsia="Arial" w:hAnsi="Arial"/>
          <w:sz w:val="20"/>
          <w:szCs w:val="20"/>
          <w:color w:val="auto"/>
        </w:rPr>
        <w:t>760.477.5514</w:t>
      </w:r>
    </w:p>
    <w:p>
      <w:pPr>
        <w:sectPr>
          <w:pgSz w:w="11900" w:h="16838" w:orient="portrait"/>
          <w:cols w:equalWidth="0" w:num="1">
            <w:col w:w="11220"/>
          </w:cols>
          <w:pgMar w:left="320" w:top="1421" w:right="359" w:bottom="1440" w:gutter="0" w:footer="0" w:header="0"/>
        </w:sectPr>
      </w:pPr>
    </w:p>
    <w:bookmarkStart w:id="6" w:name="page7"/>
    <w:bookmarkEnd w:id="6"/>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7"/>
                <w:szCs w:val="17"/>
                <w:color w:val="auto"/>
              </w:rPr>
            </w:pPr>
          </w:p>
        </w:tc>
        <w:tc>
          <w:tcPr>
            <w:tcW w:w="268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4"/>
        </w:trPr>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8,948</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10,474</w:t>
            </w:r>
          </w:p>
        </w:tc>
        <w:tc>
          <w:tcPr>
            <w:tcW w:w="12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18,532</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19,734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20"/>
              <w:spacing w:after="0"/>
              <w:rPr>
                <w:sz w:val="20"/>
                <w:szCs w:val="20"/>
                <w:color w:val="auto"/>
              </w:rPr>
            </w:pPr>
            <w:r>
              <w:rPr>
                <w:rFonts w:ascii="Arial" w:cs="Arial" w:eastAsia="Arial" w:hAnsi="Arial"/>
                <w:sz w:val="14"/>
                <w:szCs w:val="14"/>
                <w:color w:val="auto"/>
              </w:rPr>
              <w:t>Costs of revenue</w:t>
            </w:r>
          </w:p>
        </w:tc>
        <w:tc>
          <w:tcPr>
            <w:tcW w:w="32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3,338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4,992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7,883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9,434</w:t>
            </w:r>
          </w:p>
        </w:tc>
        <w:tc>
          <w:tcPr>
            <w:tcW w:w="0" w:type="dxa"/>
            <w:vAlign w:val="bottom"/>
          </w:tcPr>
          <w:p>
            <w:pPr>
              <w:spacing w:after="0"/>
              <w:rPr>
                <w:sz w:val="1"/>
                <w:szCs w:val="1"/>
                <w:color w:val="auto"/>
              </w:rPr>
            </w:pPr>
          </w:p>
        </w:tc>
      </w:tr>
      <w:tr>
        <w:trPr>
          <w:trHeight w:val="216"/>
        </w:trPr>
        <w:tc>
          <w:tcPr>
            <w:tcW w:w="4820" w:type="dxa"/>
            <w:vAlign w:val="bottom"/>
          </w:tcPr>
          <w:p>
            <w:pPr>
              <w:ind w:left="32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8,276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7,302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17,902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13,481</w:t>
            </w:r>
          </w:p>
        </w:tc>
        <w:tc>
          <w:tcPr>
            <w:tcW w:w="0" w:type="dxa"/>
            <w:vAlign w:val="bottom"/>
          </w:tcPr>
          <w:p>
            <w:pPr>
              <w:spacing w:after="0"/>
              <w:rPr>
                <w:sz w:val="1"/>
                <w:szCs w:val="1"/>
                <w:color w:val="auto"/>
              </w:rPr>
            </w:pPr>
          </w:p>
        </w:tc>
      </w:tr>
      <w:tr>
        <w:trPr>
          <w:trHeight w:val="222"/>
        </w:trPr>
        <w:tc>
          <w:tcPr>
            <w:tcW w:w="4820" w:type="dxa"/>
            <w:vAlign w:val="bottom"/>
          </w:tcPr>
          <w:p>
            <w:pPr>
              <w:ind w:left="320"/>
              <w:spacing w:after="0"/>
              <w:rPr>
                <w:sz w:val="20"/>
                <w:szCs w:val="20"/>
                <w:color w:val="auto"/>
              </w:rPr>
            </w:pPr>
            <w:r>
              <w:rPr>
                <w:rFonts w:ascii="Arial" w:cs="Arial" w:eastAsia="Arial" w:hAnsi="Arial"/>
                <w:sz w:val="14"/>
                <w:szCs w:val="14"/>
                <w:color w:val="auto"/>
              </w:rPr>
              <w:t>Research and development expenses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1,385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09"/>
        </w:trPr>
        <w:tc>
          <w:tcPr>
            <w:tcW w:w="4820" w:type="dxa"/>
            <w:vAlign w:val="bottom"/>
          </w:tcPr>
          <w:p>
            <w:pPr>
              <w:ind w:left="64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12,365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12,884</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27,170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24,018</w:t>
            </w:r>
          </w:p>
        </w:tc>
        <w:tc>
          <w:tcPr>
            <w:tcW w:w="0" w:type="dxa"/>
            <w:vAlign w:val="bottom"/>
          </w:tcPr>
          <w:p>
            <w:pPr>
              <w:spacing w:after="0"/>
              <w:rPr>
                <w:sz w:val="1"/>
                <w:szCs w:val="1"/>
                <w:color w:val="auto"/>
              </w:rPr>
            </w:pPr>
          </w:p>
        </w:tc>
      </w:tr>
      <w:tr>
        <w:trPr>
          <w:trHeight w:val="204"/>
        </w:trPr>
        <w:tc>
          <w:tcPr>
            <w:tcW w:w="4820" w:type="dxa"/>
            <w:vAlign w:val="bottom"/>
          </w:tcPr>
          <w:p>
            <w:pPr>
              <w:spacing w:after="0"/>
              <w:rPr>
                <w:sz w:val="20"/>
                <w:szCs w:val="20"/>
                <w:color w:val="auto"/>
              </w:rPr>
            </w:pPr>
            <w:r>
              <w:rPr>
                <w:rFonts w:ascii="Arial" w:cs="Arial" w:eastAsia="Arial" w:hAnsi="Arial"/>
                <w:sz w:val="14"/>
                <w:szCs w:val="14"/>
                <w:color w:val="auto"/>
              </w:rPr>
              <w:t>Loss from operations</w:t>
            </w:r>
          </w:p>
        </w:tc>
        <w:tc>
          <w:tcPr>
            <w:tcW w:w="32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(2,410)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(8,638)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(4,284)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4"/>
                <w:szCs w:val="14"/>
                <w:color w:val="auto"/>
              </w:rPr>
              <w:t>Change in fair value of financial instruments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4"/>
                <w:szCs w:val="14"/>
                <w:color w:val="auto"/>
              </w:rPr>
              <w:t>Other income,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4"/>
        </w:trPr>
        <w:tc>
          <w:tcPr>
            <w:tcW w:w="482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32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(3,363)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(2,785)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(9,044)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4"/>
                <w:szCs w:val="14"/>
                <w:color w:val="auto"/>
              </w:rPr>
              <w:t>Income tax benefit</w:t>
            </w: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820" w:type="dxa"/>
            <w:vAlign w:val="bottom"/>
          </w:tcPr>
          <w:p>
            <w:pPr>
              <w:spacing w:after="0"/>
              <w:rPr>
                <w:sz w:val="20"/>
                <w:szCs w:val="20"/>
                <w:color w:val="auto"/>
              </w:rPr>
            </w:pPr>
            <w:r>
              <w:rPr>
                <w:rFonts w:ascii="Arial" w:cs="Arial" w:eastAsia="Arial" w:hAnsi="Arial"/>
                <w:sz w:val="14"/>
                <w:szCs w:val="14"/>
                <w:color w:val="auto"/>
              </w:rPr>
              <w:t>Net loss</w:t>
            </w: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(3,363)</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(2,785)</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(8,926)</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4"/>
                <w:szCs w:val="14"/>
                <w:color w:val="auto"/>
              </w:rPr>
              <w:t>Accretion of redeemable convertible preferred stock</w:t>
            </w:r>
          </w:p>
        </w:tc>
        <w:tc>
          <w:tcPr>
            <w:tcW w:w="3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(2,188)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(4,302)</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(3,363)</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(4,973)</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(8,926)</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(9,791)</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(78.87)</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(155.33)</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8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12,637,642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63,050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vMerge w:val="restart"/>
          </w:tcPr>
          <w:p>
            <w:pPr>
              <w:jc w:val="right"/>
              <w:ind w:right="68"/>
              <w:spacing w:after="0"/>
              <w:rPr>
                <w:sz w:val="20"/>
                <w:szCs w:val="20"/>
                <w:color w:val="auto"/>
              </w:rPr>
            </w:pPr>
            <w:r>
              <w:rPr>
                <w:rFonts w:ascii="Arial" w:cs="Arial" w:eastAsia="Arial" w:hAnsi="Arial"/>
                <w:sz w:val="14"/>
                <w:szCs w:val="14"/>
                <w:color w:val="auto"/>
              </w:rPr>
              <w:t>12,616,678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63,033</w:t>
            </w:r>
          </w:p>
        </w:tc>
        <w:tc>
          <w:tcPr>
            <w:tcW w:w="0" w:type="dxa"/>
            <w:vAlign w:val="bottom"/>
          </w:tcPr>
          <w:p>
            <w:pPr>
              <w:spacing w:after="0"/>
              <w:rPr>
                <w:sz w:val="1"/>
                <w:szCs w:val="1"/>
                <w:color w:val="auto"/>
              </w:rPr>
            </w:pPr>
          </w:p>
        </w:tc>
      </w:tr>
      <w:tr>
        <w:trPr>
          <w:trHeight w:val="157"/>
        </w:trPr>
        <w:tc>
          <w:tcPr>
            <w:tcW w:w="4820" w:type="dxa"/>
            <w:vAlign w:val="bottom"/>
          </w:tcPr>
          <w:p>
            <w:pPr>
              <w:spacing w:after="0" w:line="157" w:lineRule="exact"/>
              <w:rPr>
                <w:sz w:val="20"/>
                <w:szCs w:val="20"/>
                <w:color w:val="auto"/>
              </w:rPr>
            </w:pPr>
            <w:r>
              <w:rPr>
                <w:rFonts w:ascii="Arial" w:cs="Arial" w:eastAsia="Arial" w:hAnsi="Arial"/>
                <w:sz w:val="14"/>
                <w:szCs w:val="14"/>
                <w:color w:val="auto"/>
              </w:rPr>
              <w:t>basic and diluted</w:t>
            </w: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3" w:right="339" w:bottom="1440" w:gutter="0" w:footer="0" w:header="0"/>
        </w:sectPr>
      </w:pPr>
    </w:p>
    <w:bookmarkStart w:id="7" w:name="page8"/>
    <w:bookmarkEnd w:id="7"/>
    <w:p>
      <w:pPr>
        <w:ind w:left="51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4"/>
        </w:trPr>
        <w:tc>
          <w:tcPr>
            <w:tcW w:w="83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63,700</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72,084</w:t>
            </w: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7,263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222"/>
        </w:trPr>
        <w:tc>
          <w:tcPr>
            <w:tcW w:w="8320" w:type="dxa"/>
            <w:vAlign w:val="bottom"/>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204"/>
        </w:trPr>
        <w:tc>
          <w:tcPr>
            <w:tcW w:w="8320" w:type="dxa"/>
            <w:vAlign w:val="bottom"/>
          </w:tcPr>
          <w:p>
            <w:pPr>
              <w:ind w:left="64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73,463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81,250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1,370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9"/>
        </w:trPr>
        <w:tc>
          <w:tcPr>
            <w:tcW w:w="8320" w:type="dxa"/>
            <w:vAlign w:val="bottom"/>
          </w:tcPr>
          <w:p>
            <w:pPr>
              <w:ind w:left="64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80,513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7"/>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8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222"/>
        </w:trPr>
        <w:tc>
          <w:tcPr>
            <w:tcW w:w="8320" w:type="dxa"/>
            <w:vAlign w:val="bottom"/>
          </w:tcPr>
          <w:p>
            <w:pPr>
              <w:ind w:left="320"/>
              <w:spacing w:after="0"/>
              <w:rPr>
                <w:sz w:val="20"/>
                <w:szCs w:val="20"/>
                <w:color w:val="auto"/>
              </w:rPr>
            </w:pPr>
            <w:r>
              <w:rPr>
                <w:rFonts w:ascii="Arial" w:cs="Arial" w:eastAsia="Arial" w:hAnsi="Arial"/>
                <w:sz w:val="14"/>
                <w:szCs w:val="14"/>
                <w:color w:val="auto"/>
              </w:rPr>
              <w:t>Accrued and other current liabilities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4,317</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204"/>
        </w:trPr>
        <w:tc>
          <w:tcPr>
            <w:tcW w:w="8320" w:type="dxa"/>
            <w:vAlign w:val="bottom"/>
          </w:tcPr>
          <w:p>
            <w:pPr>
              <w:ind w:left="64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5,755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5,895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26,249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25,854</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1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04"/>
        </w:trPr>
        <w:tc>
          <w:tcPr>
            <w:tcW w:w="8320" w:type="dxa"/>
            <w:vAlign w:val="bottom"/>
          </w:tcPr>
          <w:p>
            <w:pPr>
              <w:ind w:left="6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32,672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32,651</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320" w:type="dxa"/>
            <w:vAlign w:val="bottom"/>
          </w:tcPr>
          <w:p>
            <w:pPr>
              <w:ind w:left="340"/>
              <w:spacing w:after="0"/>
              <w:rPr>
                <w:sz w:val="20"/>
                <w:szCs w:val="20"/>
                <w:color w:val="auto"/>
              </w:rPr>
            </w:pPr>
            <w:r>
              <w:rPr>
                <w:rFonts w:ascii="Arial" w:cs="Arial" w:eastAsia="Arial" w:hAnsi="Arial"/>
                <w:sz w:val="14"/>
                <w:szCs w:val="14"/>
                <w:color w:val="auto"/>
              </w:rPr>
              <w:t>Preferred stock, $0.001 par value; 10,000,000 shares authorized, no shares issued or outstanding at June 30, 2020 and</w:t>
            </w:r>
          </w:p>
        </w:tc>
        <w:tc>
          <w:tcPr>
            <w:tcW w:w="160" w:type="dxa"/>
            <w:vAlign w:val="bottom"/>
          </w:tcPr>
          <w:p>
            <w:pPr>
              <w:spacing w:after="0"/>
              <w:rPr>
                <w:sz w:val="14"/>
                <w:szCs w:val="14"/>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December 31, 2019</w:t>
            </w: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320" w:type="dxa"/>
            <w:vAlign w:val="bottom"/>
          </w:tcPr>
          <w:p>
            <w:pPr>
              <w:ind w:left="340"/>
              <w:spacing w:after="0" w:line="152" w:lineRule="exact"/>
              <w:rPr>
                <w:sz w:val="20"/>
                <w:szCs w:val="20"/>
                <w:color w:val="auto"/>
              </w:rPr>
            </w:pPr>
            <w:r>
              <w:rPr>
                <w:rFonts w:ascii="Arial" w:cs="Arial" w:eastAsia="Arial" w:hAnsi="Arial"/>
                <w:sz w:val="14"/>
                <w:szCs w:val="14"/>
                <w:color w:val="auto"/>
              </w:rPr>
              <w:t>Common stock, $0.001 par value; 200,000,000 shares authorized at June 30, 2020 and December 31, 2019; 12,640,409</w:t>
            </w:r>
          </w:p>
        </w:tc>
        <w:tc>
          <w:tcPr>
            <w:tcW w:w="160" w:type="dxa"/>
            <w:vAlign w:val="bottom"/>
          </w:tcPr>
          <w:p>
            <w:pPr>
              <w:spacing w:after="0"/>
              <w:rPr>
                <w:sz w:val="13"/>
                <w:szCs w:val="13"/>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8320" w:type="dxa"/>
            <w:vAlign w:val="bottom"/>
          </w:tcPr>
          <w:p>
            <w:pPr>
              <w:ind w:left="340"/>
              <w:spacing w:after="0"/>
              <w:rPr>
                <w:sz w:val="20"/>
                <w:szCs w:val="20"/>
                <w:color w:val="auto"/>
              </w:rPr>
            </w:pPr>
            <w:r>
              <w:rPr>
                <w:rFonts w:ascii="Arial" w:cs="Arial" w:eastAsia="Arial" w:hAnsi="Arial"/>
                <w:sz w:val="14"/>
                <w:szCs w:val="14"/>
                <w:color w:val="auto"/>
              </w:rPr>
              <w:t>and 12,560,990 shares issued and outstanding at June 30, 2020 and December 31, 2019, respectively</w:t>
            </w: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221,356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220,248</w:t>
            </w:r>
          </w:p>
        </w:tc>
        <w:tc>
          <w:tcPr>
            <w:tcW w:w="0" w:type="dxa"/>
            <w:vAlign w:val="bottom"/>
          </w:tcPr>
          <w:p>
            <w:pPr>
              <w:spacing w:after="0"/>
              <w:rPr>
                <w:sz w:val="1"/>
                <w:szCs w:val="1"/>
                <w:color w:val="auto"/>
              </w:rPr>
            </w:pPr>
          </w:p>
        </w:tc>
      </w:tr>
      <w:tr>
        <w:trPr>
          <w:trHeight w:val="208"/>
        </w:trPr>
        <w:tc>
          <w:tcPr>
            <w:tcW w:w="8320" w:type="dxa"/>
            <w:vAlign w:val="bottom"/>
          </w:tcPr>
          <w:p>
            <w:pPr>
              <w:ind w:left="32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(173,528)</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(164,602)</w:t>
            </w:r>
          </w:p>
        </w:tc>
        <w:tc>
          <w:tcPr>
            <w:tcW w:w="0" w:type="dxa"/>
            <w:vAlign w:val="bottom"/>
          </w:tcPr>
          <w:p>
            <w:pPr>
              <w:spacing w:after="0"/>
              <w:rPr>
                <w:sz w:val="1"/>
                <w:szCs w:val="1"/>
                <w:color w:val="auto"/>
              </w:rPr>
            </w:pPr>
          </w:p>
        </w:tc>
      </w:tr>
      <w:tr>
        <w:trPr>
          <w:trHeight w:val="210"/>
        </w:trPr>
        <w:tc>
          <w:tcPr>
            <w:tcW w:w="8320" w:type="dxa"/>
            <w:vAlign w:val="bottom"/>
          </w:tcPr>
          <w:p>
            <w:pPr>
              <w:ind w:left="6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47,841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80,513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2020-07-28T07:28:15Z</dcterms:created>
  <dcterms:modified xsi:type="dcterms:W3CDTF">2020-07-28T07:28:15Z</dcterms:modified>
</cp:coreProperties>
</file>