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4, 2022</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20" w:space="720"/>
            <w:col w:w="256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3"/>
          <w:szCs w:val="13"/>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jc w:val="center"/>
        <w:ind w:right="15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2520" w:space="720"/>
            <w:col w:w="2680"/>
          </w:cols>
          <w:pgMar w:left="320" w:top="1259" w:right="339"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Trading</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219"/>
        </w:trPr>
        <w:tc>
          <w:tcPr>
            <w:tcW w:w="3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Symbol(s)</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r>
      <w:tr>
        <w:trPr>
          <w:trHeight w:val="234"/>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6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20"/>
                <w:szCs w:val="20"/>
                <w:color w:val="auto"/>
              </w:rPr>
            </w:pPr>
          </w:p>
        </w:tc>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r>
    </w:tbl>
    <w:p>
      <w:pPr>
        <w:spacing w:after="0" w:line="255" w:lineRule="exact"/>
        <w:rPr>
          <w:sz w:val="24"/>
          <w:szCs w:val="24"/>
          <w:color w:val="auto"/>
        </w:rPr>
      </w:pPr>
    </w:p>
    <w:p>
      <w:pPr>
        <w:ind w:right="60"/>
        <w:spacing w:after="0" w:line="218"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August 4, 2022, the Company reported its financial results for the three and six months ended June 30, 2022. A copy of the press release issued by the Company is furnished as Exhibit 99.1 to this report.</w:t>
      </w:r>
    </w:p>
    <w:p>
      <w:pPr>
        <w:spacing w:after="0" w:line="170"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445"/>
        </w:trPr>
        <w:tc>
          <w:tcPr>
            <w:tcW w:w="960" w:type="dxa"/>
            <w:vAlign w:val="bottom"/>
          </w:tcPr>
          <w:p>
            <w:pPr>
              <w:ind w:left="20"/>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978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August 4, 2022</w:t>
              </w:r>
            </w:hyperlink>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520"/>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Exagen Inc. Reports Second Quarter 2022 Results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Records in AVISE® CTD Volume, Ordering Healthcare Providers and Adopters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color w:val="auto"/>
        </w:rPr>
        <w:t>August 4, 2022</w:t>
      </w:r>
    </w:p>
    <w:p>
      <w:pPr>
        <w:spacing w:after="0" w:line="256"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SAN DIEGO – Exagen Inc. (Nasdaq: XGN), a leading provider of autoimmune testing solutions, today reported financial results for the quarter ended June 30, 2022.</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Highlights:</w:t>
      </w:r>
    </w:p>
    <w:p>
      <w:pPr>
        <w:spacing w:after="0" w:line="172" w:lineRule="exact"/>
        <w:rPr>
          <w:sz w:val="20"/>
          <w:szCs w:val="20"/>
          <w:color w:val="auto"/>
        </w:rPr>
      </w:pPr>
    </w:p>
    <w:p>
      <w:pPr>
        <w:ind w:left="980" w:right="380" w:hanging="324"/>
        <w:spacing w:after="0" w:line="261"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Recognized total revenue of $9.0 million for the second quarter of 2022. Our flagship AVISE® CTD test, including AVISE® Lupus, recognized revenue of $7.2 million for the second quarter of 2022.</w:t>
      </w:r>
    </w:p>
    <w:p>
      <w:pPr>
        <w:spacing w:after="0" w:line="134" w:lineRule="exact"/>
        <w:rPr>
          <w:rFonts w:ascii="Arial" w:cs="Arial" w:eastAsia="Arial" w:hAnsi="Arial"/>
          <w:sz w:val="20"/>
          <w:szCs w:val="20"/>
          <w:color w:val="auto"/>
        </w:rPr>
      </w:pPr>
    </w:p>
    <w:p>
      <w:pPr>
        <w:jc w:val="both"/>
        <w:ind w:left="980" w:hanging="324"/>
        <w:spacing w:after="0" w:line="257"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Delivered a record 34,919 AVISE® CTD tests, including AVISE® Lupus, in the second quarter of 2022, a 5% increase over the second quarter of 2021 and a 13% increase over the first quarter of 2022. Since the launch of AVISE® CTD in 2012 through the second quarter of 2022, we have delivered over 680,000 of these tests.</w:t>
      </w:r>
    </w:p>
    <w:p>
      <w:pPr>
        <w:spacing w:after="0" w:line="138" w:lineRule="exact"/>
        <w:rPr>
          <w:rFonts w:ascii="Arial" w:cs="Arial" w:eastAsia="Arial" w:hAnsi="Arial"/>
          <w:sz w:val="20"/>
          <w:szCs w:val="20"/>
          <w:color w:val="auto"/>
        </w:rPr>
      </w:pPr>
    </w:p>
    <w:p>
      <w:pPr>
        <w:ind w:left="980" w:right="80" w:hanging="324"/>
        <w:spacing w:after="0" w:line="257"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Achieved record number of ordering healthcare providers totaling 2,273 in the second quarter of 2022, including a record of 797 adopters for the AVISE® CTD and AVISE® Lupus tests. Additionally, we delivered sequential quarterly retention rate of approximately 99% among adopting healthcare providers from the prior quarter.</w:t>
      </w:r>
    </w:p>
    <w:p>
      <w:pPr>
        <w:spacing w:after="0" w:line="200" w:lineRule="exact"/>
        <w:rPr>
          <w:sz w:val="20"/>
          <w:szCs w:val="20"/>
          <w:color w:val="auto"/>
        </w:rPr>
      </w:pPr>
    </w:p>
    <w:p>
      <w:pPr>
        <w:spacing w:after="0" w:line="303"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“Exagen once again set records in the second quarter for the number of adopters, ordering healthcare providers and AVISE® CTD volume. The CAPSTONE study publication in the Journal of Managed Care &amp; Specialty Pharma was a major milestone for Exagen as it illustrates the superior utility and cost savings of the AVISE® Lupus test relative to the current standard of care. With the payor additions of Centene, WellCare, MediNcrease and Alivio, we now have nearly 100 million in-network lives under contract. Additionally, our research and development team continues to advance AVISE® RADR, with the launch of our clinical experience program study today," said Ron Rocca, President and Chief Executive Officer of Exagen.</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2022 Financial Results</w:t>
      </w:r>
    </w:p>
    <w:p>
      <w:pPr>
        <w:spacing w:after="0" w:line="172"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Testing revenue was $9.0 million for the second quarter of 2022, compared to $12.5 million in the second quarter of 2021, primarily due to a decrease in AVISE® CTD revenue of $3.2 million. The decrease in AVISE® CTD revenue was primarily due to</w:t>
      </w:r>
    </w:p>
    <w:p>
      <w:pPr>
        <w:spacing w:after="0" w:line="2" w:lineRule="exact"/>
        <w:rPr>
          <w:sz w:val="20"/>
          <w:szCs w:val="20"/>
          <w:color w:val="auto"/>
        </w:rPr>
      </w:pPr>
    </w:p>
    <w:p>
      <w:pPr>
        <w:ind w:right="640" w:firstLine="8"/>
        <w:spacing w:after="0" w:line="261" w:lineRule="auto"/>
        <w:tabs>
          <w:tab w:leader="none" w:pos="231" w:val="left"/>
        </w:tabs>
        <w:numPr>
          <w:ilvl w:val="0"/>
          <w:numId w:val="3"/>
        </w:numPr>
        <w:rPr>
          <w:rFonts w:ascii="Arial" w:cs="Arial" w:eastAsia="Arial" w:hAnsi="Arial"/>
          <w:sz w:val="20"/>
          <w:szCs w:val="20"/>
          <w:color w:val="auto"/>
        </w:rPr>
      </w:pPr>
      <w:r>
        <w:rPr>
          <w:rFonts w:ascii="Arial" w:cs="Arial" w:eastAsia="Arial" w:hAnsi="Arial"/>
          <w:sz w:val="20"/>
          <w:szCs w:val="20"/>
          <w:color w:val="auto"/>
        </w:rPr>
        <w:t>a decrease in average reimbursement per AVISE® CTD test, (ii) a net negative adjustment associated with changes in estimated variable consideration related</w:t>
      </w:r>
    </w:p>
    <w:p>
      <w:pPr>
        <w:sectPr>
          <w:pgSz w:w="11900" w:h="16838" w:orient="portrait"/>
          <w:cols w:equalWidth="0" w:num="1">
            <w:col w:w="11220"/>
          </w:cols>
          <w:pgMar w:left="320" w:top="1440" w:right="359" w:bottom="1440" w:gutter="0" w:footer="0" w:header="0"/>
        </w:sectPr>
      </w:pPr>
    </w:p>
    <w:bookmarkStart w:id="4" w:name="page5"/>
    <w:bookmarkEnd w:id="4"/>
    <w:p>
      <w:pPr>
        <w:spacing w:after="0" w:line="6"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to performance obligations satisfied in previous periods and (iii) uncertainty of the outcome of certain claims, which have been deemed fully constrained. Our revenue resulting from the Janssen Agreement contributed no revenue in the second quarter of 2022, compared to $0.3 million in the second quarter of 2021. Total revenue for the three months ended June 30, 2022 was $9.0 million, compared with $12.8 million in the second quarter of 2021. Gross margin was 32.2% in the second quarter of 2022, compared to 57.3% in the second quarter of 2021, primarily due to a decrease in revenue as described above. Testing gross margin was 32.2% in the second quarter of 2022, compared to 56.3% in the second quarter of 2021.</w:t>
      </w:r>
    </w:p>
    <w:p>
      <w:pPr>
        <w:spacing w:after="0" w:line="140" w:lineRule="exact"/>
        <w:rPr>
          <w:sz w:val="20"/>
          <w:szCs w:val="20"/>
          <w:color w:val="auto"/>
        </w:rPr>
      </w:pPr>
    </w:p>
    <w:p>
      <w:pPr>
        <w:ind w:right="480"/>
        <w:spacing w:after="0" w:line="277" w:lineRule="auto"/>
        <w:rPr>
          <w:sz w:val="20"/>
          <w:szCs w:val="20"/>
          <w:color w:val="auto"/>
        </w:rPr>
      </w:pPr>
      <w:r>
        <w:rPr>
          <w:rFonts w:ascii="Arial" w:cs="Arial" w:eastAsia="Arial" w:hAnsi="Arial"/>
          <w:sz w:val="19"/>
          <w:szCs w:val="19"/>
          <w:color w:val="auto"/>
        </w:rPr>
        <w:t>Operating expenses were $21.7 million in the second quarter of 2022, compared with $18.5 million in the second quarter of 2021, due to increases in employee related expenses from headcount growth, including stock-based compensation and recruitment expenses, research and development expenses, and cost of revenue due to the increase in testing volumes.</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color w:val="auto"/>
        </w:rPr>
        <w:t>For the second quarter of 2022, net loss was $13.3 million, compared to a net loss of $6.4 million for the second quarter of 2021.</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Cash and cash equivalents were $76.4 million as of June 30, 2022.</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 Guidance</w:t>
      </w:r>
    </w:p>
    <w:p>
      <w:pPr>
        <w:spacing w:after="0" w:line="172"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auto"/>
        </w:rPr>
        <w:t>For the full year 2022, due to uncertainty in Medicare reimbursement, Exagen revises its guidance and expects revenue to be in the range of $35 million to $40 million.</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186" w:lineRule="exact"/>
        <w:rPr>
          <w:sz w:val="20"/>
          <w:szCs w:val="20"/>
          <w:color w:val="auto"/>
        </w:rPr>
      </w:pPr>
    </w:p>
    <w:p>
      <w:pPr>
        <w:ind w:right="280"/>
        <w:spacing w:after="0" w:line="266" w:lineRule="auto"/>
        <w:rPr>
          <w:sz w:val="20"/>
          <w:szCs w:val="20"/>
          <w:color w:val="auto"/>
        </w:rPr>
      </w:pPr>
      <w:r>
        <w:rPr>
          <w:rFonts w:ascii="Arial" w:cs="Arial" w:eastAsia="Arial" w:hAnsi="Arial"/>
          <w:sz w:val="19"/>
          <w:szCs w:val="19"/>
          <w:color w:val="auto"/>
        </w:rPr>
        <w:t>A conference call to review second quarter 2022 financial results and to provide a business update is scheduled for today August 4, 2022 at 4:30 PM Eastern Time (1:30 PM Pacific Time). Interested parties may access the conference call by dialing</w:t>
      </w:r>
    </w:p>
    <w:p>
      <w:pPr>
        <w:spacing w:after="0" w:line="2" w:lineRule="exact"/>
        <w:rPr>
          <w:sz w:val="20"/>
          <w:szCs w:val="20"/>
          <w:color w:val="auto"/>
        </w:rPr>
      </w:pPr>
    </w:p>
    <w:p>
      <w:pPr>
        <w:ind w:right="320" w:firstLine="8"/>
        <w:spacing w:after="0" w:line="261" w:lineRule="auto"/>
        <w:tabs>
          <w:tab w:leader="none" w:pos="517" w:val="left"/>
        </w:tabs>
        <w:numPr>
          <w:ilvl w:val="0"/>
          <w:numId w:val="4"/>
        </w:numPr>
        <w:rPr>
          <w:rFonts w:ascii="Arial" w:cs="Arial" w:eastAsia="Arial" w:hAnsi="Arial"/>
          <w:sz w:val="20"/>
          <w:szCs w:val="20"/>
          <w:color w:val="auto"/>
        </w:rPr>
      </w:pPr>
      <w:r>
        <w:rPr>
          <w:rFonts w:ascii="Arial" w:cs="Arial" w:eastAsia="Arial" w:hAnsi="Arial"/>
          <w:sz w:val="20"/>
          <w:szCs w:val="20"/>
          <w:color w:val="auto"/>
        </w:rPr>
        <w:t>267-0369 (U.S.) or (888) 437-3179 (international). Additionally, a link to a live webcast of the call will be available in the Investor Relations section of Exagen's website at investors.exagen.com.</w:t>
      </w:r>
    </w:p>
    <w:p>
      <w:pPr>
        <w:spacing w:after="0" w:line="121"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color w:val="auto"/>
        </w:rPr>
        <w:t>Participants are asked to join a few minutes prior to the call to register for the event. A replay of the conference call will be available until Thursday, August 18, 2022 at 11:59 PM Eastern Time (8:59 PM Pacific Time). Interested parties may access the replay by dialing (201) 612-7415 (U.S.) or (877) 660-6853 (international) using passcode 13731768. A link to the replay of the webcast will also be available in the investor relations section of Exagen's website.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186"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Exagen (Nasdaq: XGN) is a leading provider of autoimmune diagnostic, prognostic, and monitoring testing solutions. Exagen is a patient focused, discovery driven organization built on the success of AVISE testing and is investing in its product pipeline to support patients throughout their autoimmune diagnosis and treatment journeys. The goal at Exagen is to assist patients, physicians, and payors by enabling precision medicine. Exagen is located in San Diego County with clinical and research and development laboratories in Vista, CA.</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please visit </w:t>
      </w:r>
      <w:r>
        <w:rPr>
          <w:rFonts w:ascii="Arial" w:cs="Arial" w:eastAsia="Arial" w:hAnsi="Arial"/>
          <w:sz w:val="20"/>
          <w:szCs w:val="20"/>
          <w:color w:val="0563C1"/>
        </w:rPr>
        <w:t>Exagen.com</w:t>
      </w:r>
      <w:r>
        <w:rPr>
          <w:rFonts w:ascii="Arial" w:cs="Arial" w:eastAsia="Arial" w:hAnsi="Arial"/>
          <w:sz w:val="20"/>
          <w:szCs w:val="20"/>
          <w:color w:val="auto"/>
        </w:rPr>
        <w:t xml:space="preserve"> and follow </w:t>
      </w:r>
      <w:r>
        <w:rPr>
          <w:rFonts w:ascii="Arial" w:cs="Arial" w:eastAsia="Arial" w:hAnsi="Arial"/>
          <w:sz w:val="20"/>
          <w:szCs w:val="20"/>
          <w:color w:val="0563C1"/>
        </w:rPr>
        <w:t>@ExagenInc</w:t>
      </w:r>
      <w:r>
        <w:rPr>
          <w:rFonts w:ascii="Arial" w:cs="Arial" w:eastAsia="Arial" w:hAnsi="Arial"/>
          <w:sz w:val="20"/>
          <w:szCs w:val="20"/>
          <w:color w:val="auto"/>
        </w:rPr>
        <w:t xml:space="preserve"> on Twitter.</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ectPr>
          <w:pgSz w:w="11900" w:h="16838" w:orient="portrait"/>
          <w:cols w:equalWidth="0" w:num="1">
            <w:col w:w="11240"/>
          </w:cols>
          <w:pgMar w:left="320" w:top="1440" w:right="339" w:bottom="1440" w:gutter="0" w:footer="0" w:header="0"/>
        </w:sectPr>
      </w:pPr>
    </w:p>
    <w:bookmarkStart w:id="5" w:name="page6"/>
    <w:bookmarkEnd w:id="5"/>
    <w:p>
      <w:pPr>
        <w:spacing w:after="0" w:line="6"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Exagen's goals and strategies; the potential utility and effectiveness of Exagen's services and testing solutions that are currently available or in its development pipeline and any related potential cost-savings; evaluations and interpretation of study results; the expectation that Exagen's in-network agreements will drive availability of its tests, and potential revenue that may be generated by such agreements; Exagen's ability to obtain and maintain consistent reimbursement for its tests, including its reliance on third parties to process and transmit claims to payors and the adverse impact of any delay, data loss, or other disruption in processing or transmitting such claims; the expected impact and results of further investments in its business and collaborations, Exagen's future potential growth and ability to continue to sustain success; and 2022 guidance.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the COVID-19 pandemic may continue to adversely affect its business, financial condition and results of operations, including as a result of slowdown in its operations as well as those of its suppliers and courier services, impeding patient movement and interruptions to healthcare services causing a decrease in test volumes, disruptions to the supply chain of material needed for its tests causing an increase in cost per test, its sales and commercialization activities and its ability to receive specimens and perform or deliver the results from its tests, delays in reimbursement and coverage decisions from Medicare and third-party payors and in interactions with regulatory authorities, and delays in ongoing and planned clinical trials involving its tests; Exagen’s commercial success depends upon attaining and maintaining significant market acceptance of its testing products and promoted therapeutics among rheumatologists, patients, third-party payors and others in the medical community; Exagen’s ability to successfully execute on its business strategies; third-party payors not providing coverage and adequate reimbursement for Exagen’s testing products or promoted therapeutics, including Exagen's ability to collect funds due; Exagen’s ability to obtain and maintain intellectual property protection for its testing products; regulatory developments affecting Exagen’s business; and other risks described in Exagen’s prior press releases and Exagen’s filings with the Securities and Exchange Commission ("SEC"), including under the heading “Risk Factors” in Exagen’s Annual Report on Form 10-K for the year ended December 31, 2021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 Relations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rPr>
          <w:sz w:val="20"/>
          <w:szCs w:val="20"/>
          <w:color w:val="auto"/>
        </w:rPr>
      </w:pPr>
      <w:r>
        <w:rPr>
          <w:rFonts w:ascii="Arial" w:cs="Arial" w:eastAsia="Arial" w:hAnsi="Arial"/>
          <w:sz w:val="20"/>
          <w:szCs w:val="20"/>
          <w:color w:val="auto"/>
        </w:rPr>
        <w:t>Ryan Douglas</w:t>
      </w:r>
    </w:p>
    <w:p>
      <w:pPr>
        <w:spacing w:after="0"/>
        <w:rPr>
          <w:sz w:val="20"/>
          <w:szCs w:val="20"/>
          <w:color w:val="auto"/>
        </w:rPr>
      </w:pPr>
      <w:r>
        <w:rPr>
          <w:rFonts w:ascii="Arial" w:cs="Arial" w:eastAsia="Arial" w:hAnsi="Arial"/>
          <w:sz w:val="20"/>
          <w:szCs w:val="20"/>
          <w:u w:val="single" w:color="auto"/>
          <w:color w:val="0563C1"/>
        </w:rPr>
        <w:t>rdouglas@exagen.com</w:t>
      </w:r>
    </w:p>
    <w:p>
      <w:pPr>
        <w:spacing w:after="0"/>
        <w:rPr>
          <w:sz w:val="20"/>
          <w:szCs w:val="20"/>
          <w:color w:val="auto"/>
        </w:rPr>
      </w:pPr>
      <w:r>
        <w:rPr>
          <w:rFonts w:ascii="Arial" w:cs="Arial" w:eastAsia="Arial" w:hAnsi="Arial"/>
          <w:sz w:val="20"/>
          <w:szCs w:val="20"/>
          <w:color w:val="auto"/>
        </w:rPr>
        <w:t>760.560.1525</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rPr>
          <w:sz w:val="20"/>
          <w:szCs w:val="20"/>
          <w:color w:val="auto"/>
        </w:rPr>
      </w:pPr>
      <w:r>
        <w:rPr>
          <w:rFonts w:ascii="Arial" w:cs="Arial" w:eastAsia="Arial" w:hAnsi="Arial"/>
          <w:sz w:val="20"/>
          <w:szCs w:val="20"/>
          <w:color w:val="auto"/>
        </w:rPr>
        <w:t>Kamal Adawi, Chief Financial Officer</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19"/>
          <w:szCs w:val="19"/>
          <w:u w:val="single" w:color="auto"/>
          <w:color w:val="0563C1"/>
        </w:rPr>
        <w:t>kadawi@exagen.com</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760.477.5514</w:t>
      </w:r>
    </w:p>
    <w:p>
      <w:pPr>
        <w:sectPr>
          <w:pgSz w:w="11900" w:h="16838" w:orient="portrait"/>
          <w:cols w:equalWidth="0" w:num="1">
            <w:col w:w="10139"/>
          </w:cols>
          <w:pgMar w:left="320" w:top="1432" w:right="1440" w:bottom="1440" w:gutter="0" w:footer="0" w:header="0"/>
        </w:sectPr>
      </w:pPr>
    </w:p>
    <w:bookmarkStart w:id="7" w:name="page8"/>
    <w:bookmarkEnd w:id="7"/>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78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59"/>
        </w:trPr>
        <w:tc>
          <w:tcPr>
            <w:tcW w:w="4860" w:type="dxa"/>
            <w:vAlign w:val="bottom"/>
          </w:tcPr>
          <w:p>
            <w:pPr>
              <w:spacing w:after="0"/>
              <w:rPr>
                <w:sz w:val="20"/>
                <w:szCs w:val="20"/>
                <w:color w:val="auto"/>
              </w:rPr>
            </w:pPr>
            <w:r>
              <w:rPr>
                <w:rFonts w:ascii="Arial" w:cs="Arial" w:eastAsia="Arial" w:hAnsi="Arial"/>
                <w:sz w:val="14"/>
                <w:szCs w:val="14"/>
                <w:color w:val="auto"/>
              </w:rPr>
              <w:t>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8,962</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12,772</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19,356</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23,359</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tcPr>
          <w:p>
            <w:pPr>
              <w:ind w:left="340"/>
              <w:spacing w:after="0"/>
              <w:rPr>
                <w:sz w:val="20"/>
                <w:szCs w:val="20"/>
                <w:color w:val="auto"/>
              </w:rPr>
            </w:pPr>
            <w:r>
              <w:rPr>
                <w:rFonts w:ascii="Arial" w:cs="Arial" w:eastAsia="Arial" w:hAnsi="Arial"/>
                <w:sz w:val="14"/>
                <w:szCs w:val="14"/>
                <w:color w:val="auto"/>
              </w:rPr>
              <w:t>Costs of revenue</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6,078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5,451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11,895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10,162</w:t>
            </w:r>
          </w:p>
        </w:tc>
        <w:tc>
          <w:tcPr>
            <w:tcW w:w="0" w:type="dxa"/>
            <w:vAlign w:val="bottom"/>
          </w:tcPr>
          <w:p>
            <w:pPr>
              <w:spacing w:after="0"/>
              <w:rPr>
                <w:sz w:val="1"/>
                <w:szCs w:val="1"/>
                <w:color w:val="auto"/>
              </w:rPr>
            </w:pPr>
          </w:p>
        </w:tc>
      </w:tr>
      <w:tr>
        <w:trPr>
          <w:trHeight w:val="189"/>
        </w:trPr>
        <w:tc>
          <w:tcPr>
            <w:tcW w:w="486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12,903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11,171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25,055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21,211</w:t>
            </w:r>
          </w:p>
        </w:tc>
        <w:tc>
          <w:tcPr>
            <w:tcW w:w="0" w:type="dxa"/>
            <w:vAlign w:val="bottom"/>
          </w:tcPr>
          <w:p>
            <w:pPr>
              <w:spacing w:after="0"/>
              <w:rPr>
                <w:sz w:val="1"/>
                <w:szCs w:val="1"/>
                <w:color w:val="auto"/>
              </w:rPr>
            </w:pPr>
          </w:p>
        </w:tc>
      </w:tr>
      <w:tr>
        <w:trPr>
          <w:trHeight w:val="188"/>
        </w:trPr>
        <w:tc>
          <w:tcPr>
            <w:tcW w:w="4860" w:type="dxa"/>
            <w:vAlign w:val="bottom"/>
          </w:tcPr>
          <w:p>
            <w:pPr>
              <w:ind w:left="340"/>
              <w:spacing w:after="0"/>
              <w:rPr>
                <w:sz w:val="20"/>
                <w:szCs w:val="20"/>
                <w:color w:val="auto"/>
              </w:rPr>
            </w:pPr>
            <w:r>
              <w:rPr>
                <w:rFonts w:ascii="Arial" w:cs="Arial" w:eastAsia="Arial" w:hAnsi="Arial"/>
                <w:sz w:val="14"/>
                <w:szCs w:val="14"/>
                <w:color w:val="auto"/>
              </w:rPr>
              <w:t>Research and development expenses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2,689</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3,295</w:t>
            </w:r>
          </w:p>
        </w:tc>
        <w:tc>
          <w:tcPr>
            <w:tcW w:w="0" w:type="dxa"/>
            <w:vAlign w:val="bottom"/>
          </w:tcPr>
          <w:p>
            <w:pPr>
              <w:spacing w:after="0"/>
              <w:rPr>
                <w:sz w:val="1"/>
                <w:szCs w:val="1"/>
                <w:color w:val="auto"/>
              </w:rPr>
            </w:pPr>
          </w:p>
        </w:tc>
      </w:tr>
      <w:tr>
        <w:trPr>
          <w:trHeight w:val="183"/>
        </w:trPr>
        <w:tc>
          <w:tcPr>
            <w:tcW w:w="4860" w:type="dxa"/>
            <w:vAlign w:val="bottom"/>
          </w:tcPr>
          <w:p>
            <w:pPr>
              <w:ind w:left="66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21,670</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18,514</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41,743</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34,668</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(12,708)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(5,742)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(22,387)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(11,309)</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(1,204)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6"/>
        </w:trPr>
        <w:tc>
          <w:tcPr>
            <w:tcW w:w="4860" w:type="dxa"/>
            <w:vAlign w:val="bottom"/>
          </w:tcPr>
          <w:p>
            <w:pPr>
              <w:spacing w:after="0" w:line="155" w:lineRule="exact"/>
              <w:rPr>
                <w:sz w:val="20"/>
                <w:szCs w:val="20"/>
                <w:color w:val="auto"/>
              </w:rPr>
            </w:pPr>
            <w:r>
              <w:rPr>
                <w:rFonts w:ascii="Arial" w:cs="Arial" w:eastAsia="Arial" w:hAnsi="Arial"/>
                <w:sz w:val="14"/>
                <w:szCs w:val="14"/>
                <w:color w:val="auto"/>
              </w:rPr>
              <w:t>Net loss</w:t>
            </w:r>
          </w:p>
        </w:tc>
        <w:tc>
          <w:tcPr>
            <w:tcW w:w="3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(13,309)</w:t>
            </w:r>
          </w:p>
        </w:tc>
        <w:tc>
          <w:tcPr>
            <w:tcW w:w="120" w:type="dxa"/>
            <w:vAlign w:val="bottom"/>
          </w:tcPr>
          <w:p>
            <w:pPr>
              <w:spacing w:after="0"/>
              <w:rPr>
                <w:sz w:val="13"/>
                <w:szCs w:val="13"/>
                <w:color w:val="auto"/>
              </w:rPr>
            </w:pPr>
          </w:p>
        </w:tc>
        <w:tc>
          <w:tcPr>
            <w:tcW w:w="34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(6,410)</w:t>
            </w:r>
          </w:p>
        </w:tc>
        <w:tc>
          <w:tcPr>
            <w:tcW w:w="120" w:type="dxa"/>
            <w:vAlign w:val="bottom"/>
          </w:tcPr>
          <w:p>
            <w:pPr>
              <w:spacing w:after="0"/>
              <w:rPr>
                <w:sz w:val="13"/>
                <w:szCs w:val="13"/>
                <w:color w:val="auto"/>
              </w:rPr>
            </w:pPr>
          </w:p>
        </w:tc>
        <w:tc>
          <w:tcPr>
            <w:tcW w:w="34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(23,581)</w:t>
            </w:r>
          </w:p>
        </w:tc>
        <w:tc>
          <w:tcPr>
            <w:tcW w:w="120" w:type="dxa"/>
            <w:vAlign w:val="bottom"/>
          </w:tcPr>
          <w:p>
            <w:pPr>
              <w:spacing w:after="0"/>
              <w:rPr>
                <w:sz w:val="13"/>
                <w:szCs w:val="13"/>
                <w:color w:val="auto"/>
              </w:rPr>
            </w:pPr>
          </w:p>
        </w:tc>
        <w:tc>
          <w:tcPr>
            <w:tcW w:w="34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(12,619)</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Net loss per share, basic and diluted</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860" w:type="dxa"/>
            <w:vAlign w:val="bottom"/>
            <w:vMerge w:val="continue"/>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(0.78)</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(0.38)</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21"/>
        </w:trPr>
        <w:tc>
          <w:tcPr>
            <w:tcW w:w="486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net loss per share,</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48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17,058,516</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16,928,613</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17,025,636</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14,946,935</w:t>
            </w:r>
          </w:p>
        </w:tc>
        <w:tc>
          <w:tcPr>
            <w:tcW w:w="0" w:type="dxa"/>
            <w:vAlign w:val="bottom"/>
          </w:tcPr>
          <w:p>
            <w:pPr>
              <w:spacing w:after="0"/>
              <w:rPr>
                <w:sz w:val="1"/>
                <w:szCs w:val="1"/>
                <w:color w:val="auto"/>
              </w:rPr>
            </w:pPr>
          </w:p>
        </w:tc>
      </w:tr>
      <w:tr>
        <w:trPr>
          <w:trHeight w:val="144"/>
        </w:trPr>
        <w:tc>
          <w:tcPr>
            <w:tcW w:w="4860" w:type="dxa"/>
            <w:vAlign w:val="bottom"/>
          </w:tcPr>
          <w:p>
            <w:pPr>
              <w:spacing w:after="0" w:line="144" w:lineRule="exact"/>
              <w:rPr>
                <w:sz w:val="20"/>
                <w:szCs w:val="20"/>
                <w:color w:val="auto"/>
              </w:rPr>
            </w:pPr>
            <w:r>
              <w:rPr>
                <w:rFonts w:ascii="Arial" w:cs="Arial" w:eastAsia="Arial" w:hAnsi="Arial"/>
                <w:sz w:val="14"/>
                <w:szCs w:val="14"/>
                <w:color w:val="auto"/>
              </w:rPr>
              <w:t>basic and diluted</w:t>
            </w: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13" w:right="339" w:bottom="1440" w:gutter="0" w:footer="0" w:header="0"/>
        </w:sectPr>
      </w:pPr>
    </w:p>
    <w:bookmarkStart w:id="8" w:name="page9"/>
    <w:bookmarkEnd w:id="8"/>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Unaudited Condensed Balance Sheets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2022</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70"/>
        </w:trPr>
        <w:tc>
          <w:tcPr>
            <w:tcW w:w="8320" w:type="dxa"/>
            <w:vAlign w:val="bottom"/>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76,387</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99,442</w:t>
            </w: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9,590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9,654</w:t>
            </w:r>
          </w:p>
        </w:tc>
        <w:tc>
          <w:tcPr>
            <w:tcW w:w="0" w:type="dxa"/>
            <w:vAlign w:val="bottom"/>
          </w:tcPr>
          <w:p>
            <w:pPr>
              <w:spacing w:after="0"/>
              <w:rPr>
                <w:sz w:val="1"/>
                <w:szCs w:val="1"/>
                <w:color w:val="auto"/>
              </w:rPr>
            </w:pPr>
          </w:p>
        </w:tc>
      </w:tr>
      <w:tr>
        <w:trPr>
          <w:trHeight w:val="188"/>
        </w:trPr>
        <w:tc>
          <w:tcPr>
            <w:tcW w:w="832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3,062</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3,638</w:t>
            </w:r>
          </w:p>
        </w:tc>
        <w:tc>
          <w:tcPr>
            <w:tcW w:w="0" w:type="dxa"/>
            <w:vAlign w:val="bottom"/>
          </w:tcPr>
          <w:p>
            <w:pPr>
              <w:spacing w:after="0"/>
              <w:rPr>
                <w:sz w:val="1"/>
                <w:szCs w:val="1"/>
                <w:color w:val="auto"/>
              </w:rPr>
            </w:pPr>
          </w:p>
        </w:tc>
      </w:tr>
      <w:tr>
        <w:trPr>
          <w:trHeight w:val="184"/>
        </w:trPr>
        <w:tc>
          <w:tcPr>
            <w:tcW w:w="832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89,039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112,734</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7,216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4,772</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5,338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88"/>
        </w:trPr>
        <w:tc>
          <w:tcPr>
            <w:tcW w:w="8320" w:type="dxa"/>
            <w:vAlign w:val="bottom"/>
          </w:tcPr>
          <w:p>
            <w:pPr>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83"/>
        </w:trPr>
        <w:tc>
          <w:tcPr>
            <w:tcW w:w="832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107,724</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123,445</w:t>
            </w:r>
          </w:p>
        </w:tc>
        <w:tc>
          <w:tcPr>
            <w:tcW w:w="0" w:type="dxa"/>
            <w:vAlign w:val="bottom"/>
          </w:tcPr>
          <w:p>
            <w:pPr>
              <w:spacing w:after="0"/>
              <w:rPr>
                <w:sz w:val="1"/>
                <w:szCs w:val="1"/>
                <w:color w:val="auto"/>
              </w:rPr>
            </w:pPr>
          </w:p>
        </w:tc>
      </w:tr>
      <w:tr>
        <w:trPr>
          <w:trHeight w:val="21"/>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83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3,105</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2,492</w:t>
            </w: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Operating lease liabilities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979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320" w:type="dxa"/>
            <w:vAlign w:val="bottom"/>
          </w:tcPr>
          <w:p>
            <w:pPr>
              <w:ind w:left="340"/>
              <w:spacing w:after="0"/>
              <w:rPr>
                <w:sz w:val="20"/>
                <w:szCs w:val="20"/>
                <w:color w:val="auto"/>
              </w:rPr>
            </w:pPr>
            <w:r>
              <w:rPr>
                <w:rFonts w:ascii="Arial" w:cs="Arial" w:eastAsia="Arial" w:hAnsi="Arial"/>
                <w:sz w:val="14"/>
                <w:szCs w:val="14"/>
                <w:color w:val="auto"/>
              </w:rPr>
              <w:t>Accrued and other current liabilities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5,489</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6,826</w:t>
            </w:r>
          </w:p>
        </w:tc>
        <w:tc>
          <w:tcPr>
            <w:tcW w:w="0" w:type="dxa"/>
            <w:vAlign w:val="bottom"/>
          </w:tcPr>
          <w:p>
            <w:pPr>
              <w:spacing w:after="0"/>
              <w:rPr>
                <w:sz w:val="1"/>
                <w:szCs w:val="1"/>
                <w:color w:val="auto"/>
              </w:rPr>
            </w:pPr>
          </w:p>
        </w:tc>
      </w:tr>
      <w:tr>
        <w:trPr>
          <w:trHeight w:val="184"/>
        </w:trPr>
        <w:tc>
          <w:tcPr>
            <w:tcW w:w="8320" w:type="dxa"/>
            <w:vAlign w:val="bottom"/>
          </w:tcPr>
          <w:p>
            <w:pPr>
              <w:ind w:left="66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9,573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9,318</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27,828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27,478</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Non-current operating lease liabilities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5,027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88"/>
        </w:trPr>
        <w:tc>
          <w:tcPr>
            <w:tcW w:w="83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184"/>
        </w:trPr>
        <w:tc>
          <w:tcPr>
            <w:tcW w:w="8320" w:type="dxa"/>
            <w:vAlign w:val="bottom"/>
          </w:tcPr>
          <w:p>
            <w:pPr>
              <w:ind w:left="66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43,544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38,509</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Stockholders' equity:</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20" w:type="dxa"/>
            <w:vAlign w:val="bottom"/>
          </w:tcPr>
          <w:p>
            <w:pPr>
              <w:ind w:left="340"/>
              <w:spacing w:after="0" w:line="152" w:lineRule="exact"/>
              <w:rPr>
                <w:sz w:val="20"/>
                <w:szCs w:val="20"/>
                <w:color w:val="auto"/>
              </w:rPr>
            </w:pPr>
            <w:r>
              <w:rPr>
                <w:rFonts w:ascii="Arial" w:cs="Arial" w:eastAsia="Arial" w:hAnsi="Arial"/>
                <w:sz w:val="14"/>
                <w:szCs w:val="14"/>
                <w:color w:val="auto"/>
              </w:rPr>
              <w:t>Preferred stock, $0.001 par value; 10,000,000 shares authorized, no shares issued or outstanding at June 30, 2022 and</w:t>
            </w:r>
          </w:p>
        </w:tc>
        <w:tc>
          <w:tcPr>
            <w:tcW w:w="160" w:type="dxa"/>
            <w:vAlign w:val="bottom"/>
          </w:tcPr>
          <w:p>
            <w:pPr>
              <w:spacing w:after="0"/>
              <w:rPr>
                <w:sz w:val="13"/>
                <w:szCs w:val="13"/>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8320" w:type="dxa"/>
            <w:vAlign w:val="bottom"/>
          </w:tcPr>
          <w:p>
            <w:pPr>
              <w:ind w:left="340"/>
              <w:spacing w:after="0"/>
              <w:rPr>
                <w:sz w:val="20"/>
                <w:szCs w:val="20"/>
                <w:color w:val="auto"/>
              </w:rPr>
            </w:pPr>
            <w:r>
              <w:rPr>
                <w:rFonts w:ascii="Arial" w:cs="Arial" w:eastAsia="Arial" w:hAnsi="Arial"/>
                <w:sz w:val="14"/>
                <w:szCs w:val="14"/>
                <w:color w:val="auto"/>
              </w:rPr>
              <w:t>December 31, 2021</w:t>
            </w: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320" w:type="dxa"/>
            <w:vAlign w:val="bottom"/>
          </w:tcPr>
          <w:p>
            <w:pPr>
              <w:ind w:left="340"/>
              <w:spacing w:after="0" w:line="152" w:lineRule="exact"/>
              <w:rPr>
                <w:sz w:val="20"/>
                <w:szCs w:val="20"/>
                <w:color w:val="auto"/>
              </w:rPr>
            </w:pPr>
            <w:r>
              <w:rPr>
                <w:rFonts w:ascii="Arial" w:cs="Arial" w:eastAsia="Arial" w:hAnsi="Arial"/>
                <w:sz w:val="14"/>
                <w:szCs w:val="14"/>
                <w:color w:val="auto"/>
              </w:rPr>
              <w:t>Common stock, $0.001 par value; 200,000,000 shares authorized at June 30, 2022 and December 31, 2021; 16,258,807</w:t>
            </w:r>
          </w:p>
        </w:tc>
        <w:tc>
          <w:tcPr>
            <w:tcW w:w="1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2"/>
        </w:trPr>
        <w:tc>
          <w:tcPr>
            <w:tcW w:w="8320" w:type="dxa"/>
            <w:vAlign w:val="bottom"/>
          </w:tcPr>
          <w:p>
            <w:pPr>
              <w:ind w:left="340"/>
              <w:spacing w:after="0"/>
              <w:rPr>
                <w:sz w:val="20"/>
                <w:szCs w:val="20"/>
                <w:color w:val="auto"/>
              </w:rPr>
            </w:pPr>
            <w:r>
              <w:rPr>
                <w:rFonts w:ascii="Arial" w:cs="Arial" w:eastAsia="Arial" w:hAnsi="Arial"/>
                <w:sz w:val="14"/>
                <w:szCs w:val="14"/>
                <w:color w:val="auto"/>
              </w:rPr>
              <w:t>and 16,164,994 shares issued and outstanding at June 30, 2022 and December 31, 2021, respectively</w:t>
            </w: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295,885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293,060</w:t>
            </w:r>
          </w:p>
        </w:tc>
        <w:tc>
          <w:tcPr>
            <w:tcW w:w="0" w:type="dxa"/>
            <w:vAlign w:val="bottom"/>
          </w:tcPr>
          <w:p>
            <w:pPr>
              <w:spacing w:after="0"/>
              <w:rPr>
                <w:sz w:val="1"/>
                <w:szCs w:val="1"/>
                <w:color w:val="auto"/>
              </w:rPr>
            </w:pPr>
          </w:p>
        </w:tc>
      </w:tr>
      <w:tr>
        <w:trPr>
          <w:trHeight w:val="188"/>
        </w:trPr>
        <w:tc>
          <w:tcPr>
            <w:tcW w:w="8320" w:type="dxa"/>
            <w:vAlign w:val="bottom"/>
          </w:tcPr>
          <w:p>
            <w:pPr>
              <w:ind w:left="34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(231,721)</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(208,140)</w:t>
            </w:r>
          </w:p>
        </w:tc>
        <w:tc>
          <w:tcPr>
            <w:tcW w:w="0" w:type="dxa"/>
            <w:vAlign w:val="bottom"/>
          </w:tcPr>
          <w:p>
            <w:pPr>
              <w:spacing w:after="0"/>
              <w:rPr>
                <w:sz w:val="1"/>
                <w:szCs w:val="1"/>
                <w:color w:val="auto"/>
              </w:rPr>
            </w:pPr>
          </w:p>
        </w:tc>
      </w:tr>
      <w:tr>
        <w:trPr>
          <w:trHeight w:val="183"/>
        </w:trPr>
        <w:tc>
          <w:tcPr>
            <w:tcW w:w="8320" w:type="dxa"/>
            <w:vAlign w:val="bottom"/>
          </w:tcPr>
          <w:p>
            <w:pPr>
              <w:ind w:left="66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64,180</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84,936</w:t>
            </w:r>
          </w:p>
        </w:tc>
        <w:tc>
          <w:tcPr>
            <w:tcW w:w="0" w:type="dxa"/>
            <w:vAlign w:val="bottom"/>
          </w:tcPr>
          <w:p>
            <w:pPr>
              <w:spacing w:after="0"/>
              <w:rPr>
                <w:sz w:val="1"/>
                <w:szCs w:val="1"/>
                <w:color w:val="auto"/>
              </w:rPr>
            </w:pPr>
          </w:p>
        </w:tc>
      </w:tr>
      <w:tr>
        <w:trPr>
          <w:trHeight w:val="183"/>
        </w:trPr>
        <w:tc>
          <w:tcPr>
            <w:tcW w:w="832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107,724</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123,445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decimal"/>
      <w:start w:val="4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2022-08-04T15:27:30Z</dcterms:created>
  <dcterms:modified xsi:type="dcterms:W3CDTF">2022-08-04T15:27:30Z</dcterms:modified>
</cp:coreProperties>
</file>