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10, 2021</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November 10, 2021, the Company reported its financial results for the three and nine months ended September 30, 2021.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290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10, 2021</w:t>
              </w:r>
            </w:hyperlink>
          </w:p>
        </w:tc>
        <w:tc>
          <w:tcPr>
            <w:tcW w:w="688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Exagen Inc. Reports Third Quarter 2021 Results</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Quarterly Records: Ordering Healthcare Providers and Adopters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November 10, 2021</w:t>
      </w:r>
    </w:p>
    <w:p>
      <w:pPr>
        <w:spacing w:after="0" w:line="256"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quarter ended September 30, 2021.</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Highlights:</w:t>
      </w:r>
    </w:p>
    <w:p>
      <w:pPr>
        <w:spacing w:after="0" w:line="172"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$12.3 million for the third quarter of 2021, a 14% increase over the third quarter of 2020.</w:t>
      </w:r>
    </w:p>
    <w:p>
      <w:pPr>
        <w:spacing w:after="0" w:line="161" w:lineRule="exact"/>
        <w:rPr>
          <w:rFonts w:ascii="Arial" w:cs="Arial" w:eastAsia="Arial" w:hAnsi="Arial"/>
          <w:sz w:val="20"/>
          <w:szCs w:val="20"/>
          <w:color w:val="auto"/>
        </w:rPr>
      </w:pPr>
    </w:p>
    <w:p>
      <w:pPr>
        <w:ind w:left="980" w:right="32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flagship AVISE® CTD test, including AVISE® Lupus, generated revenue of $9.9 million for the third quarter of 2021. This represents a 34% increase over the third quarter of 2020.</w:t>
      </w:r>
    </w:p>
    <w:p>
      <w:pPr>
        <w:spacing w:after="0" w:line="134" w:lineRule="exact"/>
        <w:rPr>
          <w:rFonts w:ascii="Arial" w:cs="Arial" w:eastAsia="Arial" w:hAnsi="Arial"/>
          <w:sz w:val="20"/>
          <w:szCs w:val="20"/>
          <w:color w:val="auto"/>
        </w:rPr>
      </w:pPr>
    </w:p>
    <w:p>
      <w:pPr>
        <w:ind w:left="980" w:right="14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31,742 AVISE® CTD tests, including AVISE® Lupus, in the third quarter of 2021, a 21% increase over the third quarter of 2020.</w:t>
      </w:r>
    </w:p>
    <w:p>
      <w:pPr>
        <w:spacing w:after="0" w:line="120"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number of ordering healthcare providers totaling 1,969 in the third quarter of 2021.</w:t>
      </w:r>
    </w:p>
    <w:p>
      <w:pPr>
        <w:spacing w:after="0" w:line="161" w:lineRule="exact"/>
        <w:rPr>
          <w:rFonts w:ascii="Arial" w:cs="Arial" w:eastAsia="Arial" w:hAnsi="Arial"/>
          <w:sz w:val="20"/>
          <w:szCs w:val="20"/>
          <w:color w:val="auto"/>
        </w:rPr>
      </w:pPr>
    </w:p>
    <w:p>
      <w:pPr>
        <w:ind w:left="980" w:right="34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of 714 adopters, and sequential quarterly retention rate of approximately 99% among adopting healthcare providers from the prior quarter.</w:t>
      </w:r>
    </w:p>
    <w:p>
      <w:pPr>
        <w:spacing w:after="0" w:line="200" w:lineRule="exact"/>
        <w:rPr>
          <w:sz w:val="20"/>
          <w:szCs w:val="20"/>
          <w:color w:val="auto"/>
        </w:rPr>
      </w:pPr>
    </w:p>
    <w:p>
      <w:pPr>
        <w:spacing w:after="0" w:line="29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“Exagen continues to achieve record results with our number of ordering healthcare providers and adopters. Our world class research and development team continues to drive our science, as demonstrated by the eight key abstracts that were accepted by the American College of Rheumatology conference. Additionally, we are pleased to expand payor access by signing an agreement with Inland Empire Health Plan, which increased our in-network lives to approximately 68.9 million," said Ron Rocca, President and Chief Executive Officer of Exagen. "We are also happy to announce that we have entered into a pilot agreement to supply AVISE® MTX to a partnership between a retail pharmacy chain and a major payor to advance personalized medicine for patients with rheumatoid arthritis. These accomplishments further our mission of reducing time-to-treatment and improving patient outcomes."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Revenue for the three months ended September 30, 2021 was $12.3 million, compared with $10.8 million in the third quarter of 2020. Testing revenue was $11.9 million for the third quarter of 2021, compared to $9.5 million in the third quarter of 2020, due to increased testing volumes. Our SIMPONI® co-promotion efforts contributed $0.4 million in the third quarter of 2021, compared to $1.3 million in</w:t>
      </w:r>
    </w:p>
    <w:p>
      <w:pPr>
        <w:sectPr>
          <w:pgSz w:w="11900" w:h="16838" w:orient="portrait"/>
          <w:cols w:equalWidth="0" w:num="1">
            <w:col w:w="11200"/>
          </w:cols>
          <w:pgMar w:left="320" w:top="1440" w:right="379" w:bottom="1440" w:gutter="0" w:footer="0" w:header="0"/>
        </w:sectPr>
      </w:pPr>
    </w:p>
    <w:bookmarkStart w:id="4" w:name="page5"/>
    <w:bookmarkEnd w:id="4"/>
    <w:p>
      <w:pPr>
        <w:spacing w:after="0" w:line="6"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the third quarter of 2020. Gross margin was 55% in the third quarter of 2021 compared to 60% in the third quarter of 2020, driven by the decrease in co-promotion revenue.</w:t>
      </w:r>
    </w:p>
    <w:p>
      <w:pPr>
        <w:spacing w:after="0" w:line="13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Operating expenses were $18.8 million in the third quarter of 2021, compared with $14.6 million in the third quarter of 2020, due to increases in employee related expenses from headcount growth, including stock-based compensation, cost of revenue due to the increase in testing volumes, and research and development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2021, net loss was $7.2 million, compared to a net loss of $4.3 million for the third quarter of 2020.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approximately $106.8 million as of September 30, 2021.</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Guidance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2021, Exagen reaffirms its prior guidance and expects revenue to be in the range of $47 million to $49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A conference call to review third quarter 2021 financial results and to provide a business update is scheduled for today November 10, 2021 at 4:30 PM ET (1:30 PM PT). Interested parties may access the conference call by dialing (844) 826-3033 (U.S.) or (412) 317-5185 (international). Additionally, a link to a live webcast of the call will be available in the Investor Relations section of Exagen's website at http://investors.exagen.com.</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Wednesday, November 17, 2021 at 11:59 PM ET (8:59 PM PT). Interested parties may access the replay by dialing (844) 512-2921 (U.S.) or (412) 317-6671 (international) using passcode 10161457.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more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evaluations and judgements regarding published abstracts; the ability of the company to secure wider reimbursement for its tests; the expected impact and results of further investments in our business and collaborations, including the pilot agreement; Exagen's future potential growth in</w:t>
      </w:r>
    </w:p>
    <w:p>
      <w:pPr>
        <w:sectPr>
          <w:pgSz w:w="11900" w:h="16838" w:orient="portrait"/>
          <w:cols w:equalWidth="0" w:num="1">
            <w:col w:w="11220"/>
          </w:cols>
          <w:pgMar w:left="320" w:top="1440" w:right="359" w:bottom="1440" w:gutter="0" w:footer="0" w:header="0"/>
        </w:sectPr>
      </w:pPr>
    </w:p>
    <w:bookmarkStart w:id="5" w:name="page6"/>
    <w:bookmarkEnd w:id="5"/>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2021; and the 2021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payors and others in the medical community; the company’s ability to successfully execute on its business strategies, including its strategy of integrating the promotion of its existing and future proprietary testing products with the promotion of therapeutics; third-party payors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Exagen’s Annual Report on Form 10-K for the year ended December 31, 2020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200"/>
          </w:cols>
          <w:pgMar w:left="320" w:top="1440" w:right="37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7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12,251</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10,775</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35,610</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29,307</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32,739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27,104</w:t>
            </w:r>
          </w:p>
        </w:tc>
        <w:tc>
          <w:tcPr>
            <w:tcW w:w="0" w:type="dxa"/>
            <w:vAlign w:val="bottom"/>
          </w:tcPr>
          <w:p>
            <w:pPr>
              <w:spacing w:after="0"/>
              <w:rPr>
                <w:sz w:val="1"/>
                <w:szCs w:val="1"/>
                <w:color w:val="auto"/>
              </w:rPr>
            </w:pPr>
          </w:p>
        </w:tc>
      </w:tr>
      <w:tr>
        <w:trPr>
          <w:trHeight w:val="18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83"/>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41,731</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(3,786)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(17,813)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(12,424)</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(13,352)</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Income tax benefit</w:t>
            </w:r>
          </w:p>
        </w:tc>
        <w:tc>
          <w:tcPr>
            <w:tcW w:w="2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(4,308)</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(19,798)</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(13,234)</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4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16,945,591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12,644,348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15,636,150</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12,626,259</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4"/>
        </w:trPr>
        <w:tc>
          <w:tcPr>
            <w:tcW w:w="8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106,766</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9,210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118,381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3,446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127,772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36,969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September 30, 2021</w:t>
            </w:r>
          </w:p>
        </w:tc>
        <w:tc>
          <w:tcPr>
            <w:tcW w:w="20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December 31, 2020</w:t>
            </w: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September 30, 2021 and December 31, 2020;</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16,164,232 and 12,652,308 shares issued and outstanding at September 30, 2021 and December 31, 2020, respectively</w:t>
            </w: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291,874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(201,087)</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90,803</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127,772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2021-11-10T15:21:58Z</dcterms:created>
  <dcterms:modified xsi:type="dcterms:W3CDTF">2021-11-10T15:21:58Z</dcterms:modified>
</cp:coreProperties>
</file>